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  <w:rFonts w:eastAsia="黑体"/>
        </w:rPr>
        <w:t>表 3　新生儿层的十二指肠梗阻信号与病情严重度对比（核心结论三）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75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  <w:rFonts w:eastAsia="黑体"/>
              </w:rPr>
              <w:t>指标</w:t>
            </w:r>
          </w:p>
        </w:tc>
        <w:tc>
          <w:tcPr>
            <w:tcW w:type="dxa" w:w="1701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  <w:rFonts w:eastAsia="黑体"/>
              </w:rPr>
              <w:t>腹腔镜完成 n/N(%)</w:t>
            </w:r>
          </w:p>
        </w:tc>
        <w:tc>
          <w:tcPr>
            <w:tcW w:type="dxa" w:w="1701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  <w:rFonts w:eastAsia="黑体"/>
              </w:rPr>
              <w:t>开腹相关 n/N(%)</w:t>
            </w:r>
          </w:p>
        </w:tc>
        <w:tc>
          <w:tcPr>
            <w:tcW w:type="dxa" w:w="2608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  <w:rFonts w:eastAsia="黑体"/>
              </w:rPr>
              <w:t>效应量 / 说明</w:t>
            </w:r>
          </w:p>
        </w:tc>
        <w:tc>
          <w:tcPr>
            <w:tcW w:type="dxa" w:w="1020"/>
            <w:tcBorders>
              <w:top w:sz="12" w:val="single" w:color="000000"/>
              <w:bottom w:sz="8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  <w:rFonts w:eastAsia="黑体"/>
              </w:rPr>
              <w:t>P 值</w:t>
            </w:r>
          </w:p>
        </w:tc>
      </w:tr>
      <w:tr>
        <w:tc>
          <w:tcPr>
            <w:tcW w:type="dxa" w:w="3175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十二指肠持续梗阻</w:t>
            </w:r>
          </w:p>
        </w:tc>
        <w:tc>
          <w:tcPr>
            <w:tcW w:type="dxa" w:w="170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6/142（4.2%）</w:t>
            </w:r>
          </w:p>
        </w:tc>
        <w:tc>
          <w:tcPr>
            <w:tcW w:type="dxa" w:w="170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0/163（0.0%）</w:t>
            </w:r>
          </w:p>
        </w:tc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RD +4.2 个百分点（1.0–8.9）；NNH = 24</w:t>
            </w:r>
          </w:p>
        </w:tc>
        <w:tc>
          <w:tcPr>
            <w:tcW w:type="dxa" w:w="1020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0.0096</w:t>
            </w:r>
          </w:p>
        </w:tc>
      </w:tr>
      <w:tr>
        <w:tc>
          <w:tcPr>
            <w:tcW w:type="dxa" w:w="3175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首次手术肠坏死</w:t>
            </w:r>
          </w:p>
        </w:tc>
        <w:tc>
          <w:tcPr>
            <w:tcW w:type="dxa" w:w="170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5/142（3.5%）</w:t>
            </w:r>
          </w:p>
        </w:tc>
        <w:tc>
          <w:tcPr>
            <w:tcW w:type="dxa" w:w="170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38/163（23.3%）</w:t>
            </w:r>
          </w:p>
        </w:tc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开腹相关约为腹腔镜完成的 6.6 倍</w:t>
            </w:r>
          </w:p>
        </w:tc>
        <w:tc>
          <w:tcPr>
            <w:tcW w:type="dxa" w:w="1020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&lt;0.001</w:t>
            </w:r>
          </w:p>
        </w:tc>
      </w:tr>
      <w:tr>
        <w:tc>
          <w:tcPr>
            <w:tcW w:type="dxa" w:w="3175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窗口内确诊死亡</w:t>
            </w:r>
          </w:p>
        </w:tc>
        <w:tc>
          <w:tcPr>
            <w:tcW w:type="dxa" w:w="170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0/142（0.0%）</w:t>
            </w:r>
          </w:p>
        </w:tc>
        <w:tc>
          <w:tcPr>
            <w:tcW w:type="dxa" w:w="1701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16/163（9.8%）</w:t>
            </w:r>
          </w:p>
        </w:tc>
        <w:tc>
          <w:tcPr>
            <w:tcW w:type="dxa" w:w="2608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全部 16 例死亡均发生于开腹相关组</w:t>
            </w:r>
          </w:p>
        </w:tc>
        <w:tc>
          <w:tcPr>
            <w:tcW w:type="dxa" w:w="1020"/>
            <w:tcBorders>
              <w:top w:sz="0" w:val="nil" w:color="000000"/>
              <w:bottom w:sz="0" w:val="nil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&lt;0.001</w:t>
            </w:r>
          </w:p>
        </w:tc>
      </w:tr>
      <w:tr>
        <w:tc>
          <w:tcPr>
            <w:tcW w:type="dxa" w:w="3175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敏感性：假设 1 例死亡本应是十二指肠梗阻再手术</w:t>
            </w:r>
          </w:p>
        </w:tc>
        <w:tc>
          <w:tcPr>
            <w:tcW w:type="dxa" w:w="1701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6/142（4.2%）</w:t>
            </w:r>
          </w:p>
        </w:tc>
        <w:tc>
          <w:tcPr>
            <w:tcW w:type="dxa" w:w="1701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1/163（0.6%）</w:t>
            </w:r>
          </w:p>
        </w:tc>
        <w:tc>
          <w:tcPr>
            <w:tcW w:type="dxa" w:w="2608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—</w:t>
            </w:r>
          </w:p>
        </w:tc>
        <w:tc>
          <w:tcPr>
            <w:tcW w:type="dxa" w:w="1020"/>
            <w:tcBorders>
              <w:top w:sz="0" w:val="nil" w:color="000000"/>
              <w:bottom w:sz="12" w:val="single" w:color="000000"/>
              <w:left w:sz="0" w:val="nil" w:color="000000"/>
              <w:right w:sz="0" w:val="nil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1"/>
                <w:rFonts w:eastAsia="宋体"/>
              </w:rPr>
              <w:t>0.0528</w:t>
            </w:r>
          </w:p>
        </w:tc>
      </w:tr>
    </w:tbl>
    <w:p>
      <w:r>
        <w:rPr>
          <w:rFonts w:ascii="Times New Roman" w:hAnsi="Times New Roman"/>
          <w:i/>
          <w:sz w:val="18"/>
          <w:rFonts w:eastAsia="宋体"/>
        </w:rPr>
        <w:t>注：新生儿定义为年龄 &lt;28 天（腹腔镜完成 142 例、开腹相关 163 例）。十二指肠持续梗阻的风险差为 Newcombe 95% 置信区间；对照组零事件，OR 不可估。首次手术肠坏死与窗口内确诊死亡两项显示，开腹相关组的病情严重度明显更高——若严重度混杂驱动了该差异，理应使并发症更多出现在开腹相关组，而观察方向相反，故不支持严重度混杂是该发现的解释。末行为稳健性检验：开腹相关组 16 例窗口内死亡使这些新生儿提前离开风险集，若其中恰有 1 例本应发生十二指肠梗阻再手术而未被观测到，Fisher 精确检验 p 值将从 0.0096 升至 0.0528，说明该阳性结果对单个未观测竞争事件并不稳健，此为本研究已披露的主要局限之一。数据来源：本院肠旋转不良患儿数据库 450 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