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Figure captions</w:t>
      </w:r>
    </w:p>
    <w:p>
      <w:r>
        <w:rPr>
          <w:b/>
        </w:rPr>
        <w:t>Manuscript title:</w:t>
      </w:r>
      <w:r>
        <w:t xml:space="preserve"> Why Children Return to Theater After a Ladd Procedure: The Cause of Early Unplanned Reoperation Differs by Age, and by Surgical Approach in Neonates</w:t>
      </w:r>
    </w:p>
    <w:p>
      <w:pPr>
        <w:pStyle w:val="Heading1"/>
      </w:pPr>
      <w:r>
        <w:rPr>
          <w:rFonts w:ascii="Times New Roman" w:hAnsi="Times New Roman"/>
          <w:color w:val="000000"/>
        </w:rPr>
        <w:t>Main figures</w:t>
      </w:r>
    </w:p>
    <w:p>
      <w:r>
        <w:rPr>
          <w:b/>
        </w:rPr>
        <w:t>Figure 1.</w:t>
      </w:r>
      <w:r>
        <w:t xml:space="preserve"> Participant flow. Of 499 children with an operative record in the single-center malrotation database (December 2012–June 2026), 450 had a primary Ladd operation after blinded adjudication of every questionable index record (§2.4). The cohort comprised 255 laparoscopic completions, 53 conversions to open, and 142 open procedures, with 24, 6, and 6 unplanned reoperations respectively (36/450, 8.0%). The right-hand panel shows the outcome adjudication of 53 candidate reoperations. Planned staged procedures were excluded irrespective of timing; counting them as outcomes did not change the comparison between approaches (Table 4).</w:t>
      </w:r>
    </w:p>
    <w:p>
      <w:r>
        <w:rPr>
          <w:b/>
        </w:rPr>
        <w:t>Figure 2.</w:t>
      </w:r>
      <w:r>
        <w:t xml:space="preserve"> Persistent duodenal obstruction, by age at the index operation. </w:t>
      </w:r>
      <w:r>
        <w:rPr>
          <w:b/>
        </w:rPr>
        <w:t>(A)</w:t>
      </w:r>
      <w:r>
        <w:t xml:space="preserve"> Every one of the 12 cases plotted by age on a logarithmic scale, colored by index approach. The distribution is bimodal—six neonates operated at 4–11 days and six children operated at 6.6–13.1 years—with no case between 11 days and 6.6 years. </w:t>
      </w:r>
      <w:r>
        <w:rPr>
          <w:b/>
        </w:rPr>
        <w:t>(B)</w:t>
      </w:r>
      <w:r>
        <w:t xml:space="preserve"> Cause-specific rate within each age stratum, using all children of that age and approach as the denominator; numerals are events over denominator. No open-related child had this outcome in any stratum. Among neonates, where the two arms are of comparable size, the risk difference is 4.2 percentage points (6/142 vs. 0/163, 95% CI 1.0–8.9); this is also the stratum in which all three technically deficient index operations were found. Beyond one year the rate after laparoscopy is 8.5% and every case was adhesive, but only 13 children of that age were operated open, so the stratum contributes no evidence about approach.</w:t>
      </w:r>
    </w:p>
    <w:p>
      <w:pPr>
        <w:pStyle w:val="Heading1"/>
      </w:pPr>
      <w:r>
        <w:rPr>
          <w:rFonts w:ascii="Times New Roman" w:hAnsi="Times New Roman"/>
          <w:color w:val="000000"/>
        </w:rPr>
        <w:t>Supplementary figures</w:t>
      </w:r>
    </w:p>
    <w:p>
      <w:r>
        <w:rPr>
          <w:b/>
        </w:rPr>
        <w:t>Supplementary Figure S1.</w:t>
      </w:r>
      <w:r>
        <w:t xml:space="preserve"> Competing-risk cumulative incidence of unplanned reoperation by index surgical approach, estimated with the Aalen–Johansen method treating confirmed death as the competing event, with administrative censoring at 42 days, matching the outcome window. Shaded areas are 95% bootstrap confidence bands (1000 resamples). Forty-two-day cumulative incidence was 9.4% after laparoscopic completion (n=255) versus 6.2% after open-related surgery (n=195); the corresponding cause-specific Cox hazard ratio was 1.41 (95% CI 0.71–2.82, p=0.331). The competing event itself was far more frequent in the open-related arm (all 16 deaths within the window followed open-related surgery, so the hazard ratio is not estimable), which is why the competing-risk framework was used rather than a naive Kaplan–Meier complement. (File: FigureS1_CIF_reoperation_EN.png / .pdf)</w:t>
      </w:r>
    </w:p>
    <w:p>
      <w:r>
        <w:rPr>
          <w:b/>
        </w:rPr>
        <w:t>Supplementary Figure S2.</w:t>
      </w:r>
      <w:r>
        <w:t xml:space="preserve"> Cause-specific rate of unplanned early reoperation by index surgical approach. Bars are cause-specific rates using the whole approach group as the denominator (255 laparoscopic, 195 open-related); numerals are event counts. No difference was detected in the overall reoperation rate between approaches (9.4% vs. 6.2%, p=0.22), but the composition differed: persistent duodenal obstruction followed only laparoscopic completions (4.7% vs. 0%; risk difference +4.7 percentage points, 95% CI 1.9 to 8.0, Holm p=0.010), whereas necrosis, perforation, or anastomotic complication and “other” complications predominated after open-related surgery. Confidence intervals are given in Table 2; the duodenal-obstruction comparison is shown stratified by age in Figure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