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Unplanned reoperation occurred within 42 days in 8.0% after a primary Ladd procedure.</w:t>
      </w:r>
    </w:p>
    <w:p>
      <w:pPr>
        <w:pStyle w:val="ListBullet"/>
      </w:pPr>
      <w:r>
        <w:t>We detected no difference in the overall reoperation rate between approaches.</w:t>
      </w:r>
    </w:p>
    <w:p>
      <w:pPr>
        <w:pStyle w:val="ListBullet"/>
      </w:pPr>
      <w:r>
        <w:t>Persistent duodenal obstruction fell into two separated age clusters.</w:t>
      </w:r>
    </w:p>
    <w:p>
      <w:pPr>
        <w:pStyle w:val="ListBullet"/>
      </w:pPr>
      <w:r>
        <w:t>No open-related child had one; neonatal risk difference 4.2 points (95% CI 1.0–8.9).</w:t>
      </w:r>
    </w:p>
    <w:p>
      <w:pPr>
        <w:pStyle w:val="ListBullet"/>
      </w:pPr>
      <w:r>
        <w:t>Beyond one year, duodenal reoperation reached 8.5% after laparoscopy, all adhesive.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