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STROBE Statement — checklist of items that should be included in reports of *cohort studies*</w:t>
      </w:r>
    </w:p>
    <w:p>
      <w:r>
        <w:rPr>
          <w:b/>
        </w:rPr>
        <w:t>Manuscript:</w:t>
      </w:r>
      <w:r>
        <w:t xml:space="preserve"> </w:t>
      </w:r>
      <w:r>
        <w:rPr>
          <w:i/>
        </w:rPr>
        <w:t>Why Children Return to Theater After a Ladd Procedure: The Cause of Early Unplanned Reoperation Differs by Age, and by Surgical Approach in Neonates</w:t>
      </w:r>
    </w:p>
    <w:p>
      <w:r>
        <w:t>Section references are to the numbered sections of the submitted manuscript. Where an item is only partly satisfied, this is stated rather than claimed.</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78"/>
        <w:gridCol w:w="3040"/>
        <w:gridCol w:w="8222"/>
      </w:tblGrid>
      <w:tr>
        <w:trPr>
          <w:tblHeader w:val="true"/>
        </w:trPr>
        <w:tc>
          <w:tcPr>
            <w:tcW w:type="dxa" w:w="97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Item No</w:t>
            </w:r>
          </w:p>
        </w:tc>
        <w:tc>
          <w:tcPr>
            <w:tcW w:type="dxa" w:w="304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Recommendation</w:t>
            </w:r>
          </w:p>
        </w:tc>
        <w:tc>
          <w:tcPr>
            <w:tcW w:type="dxa" w:w="822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Reported in</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Title and abstract</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(a)</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Indicate the study's design with a commonly used term in the title or the abstract</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Title page</w:t>
            </w:r>
            <w:r>
              <w:rPr>
                <w:sz w:val="18"/>
              </w:rPr>
              <w:t xml:space="preserve"> ("Type of Study: Retrospective comparative study"); </w:t>
            </w:r>
            <w:r>
              <w:rPr>
                <w:b/>
                <w:sz w:val="18"/>
              </w:rPr>
              <w:t>Abstract, Methods</w:t>
            </w:r>
            <w:r>
              <w:rPr>
                <w:sz w:val="18"/>
              </w:rPr>
              <w:t xml:space="preserve"> ("Retrospective single-center cohort of 450 children…")</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(b)</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Provide in the abstract an informative and balanced summary of what was done and what was found</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Structured Abstract</w:t>
            </w:r>
            <w:r>
              <w:rPr>
                <w:sz w:val="18"/>
              </w:rPr>
              <w:t xml:space="preserve"> (244 words). The null primary comparison is stated before the cause-specific findings; the age stratification is labelled </w:t>
            </w:r>
            <w:r>
              <w:rPr>
                <w:i/>
                <w:sz w:val="18"/>
              </w:rPr>
              <w:t>post hoc</w:t>
            </w:r>
            <w:r>
              <w:rPr>
                <w:sz w:val="18"/>
              </w:rPr>
              <w:t>; every adjusted interval is reported as including 1</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Introduction</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Explain the scientific background and rationale for the investigation being reported</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§1</w:t>
            </w:r>
            <w:r>
              <w:rPr>
                <w:sz w:val="18"/>
              </w:rPr>
              <w:t>, paragraphs 1–3</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State specific objectives, including any prespecified hypotheses</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§1</w:t>
            </w:r>
            <w:r>
              <w:rPr>
                <w:sz w:val="18"/>
              </w:rPr>
              <w:t xml:space="preserve">, final paragraph, objectives (i)–(iii). The same paragraph states explicitly that the age-stratified analysis </w:t>
            </w:r>
            <w:r>
              <w:rPr>
                <w:b/>
                <w:sz w:val="18"/>
              </w:rPr>
              <w:t>was not part of this plan</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Methods</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Present key elements of study design early in the paper</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§2.1</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Describe the setting, locations, and relevant dates, including periods of recruitment, exposure, follow-up, and data collection</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§2.1</w:t>
            </w:r>
            <w:r>
              <w:rPr>
                <w:sz w:val="18"/>
              </w:rPr>
              <w:t xml:space="preserve"> (tertiary children's hospital; December 2012 – June 2026; records extracted July 2026); </w:t>
            </w:r>
            <w:r>
              <w:rPr>
                <w:b/>
                <w:sz w:val="18"/>
              </w:rPr>
              <w:t>§2.3</w:t>
            </w:r>
            <w:r>
              <w:rPr>
                <w:sz w:val="18"/>
              </w:rPr>
              <w:t xml:space="preserve"> (42-day outcome window)</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 (a)</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Give the eligibility criteria, and the sources and methods of selection of participants. Describe methods of follow-up</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§2.2</w:t>
            </w:r>
            <w:r>
              <w:rPr>
                <w:sz w:val="18"/>
              </w:rPr>
              <w:t xml:space="preserve"> (database of 499 children; Chinese-language search terms given verbatim in </w:t>
            </w:r>
            <w:r>
              <w:rPr>
                <w:b/>
                <w:sz w:val="18"/>
              </w:rPr>
              <w:t>Supplementary Table S2</w:t>
            </w:r>
            <w:r>
              <w:rPr>
                <w:sz w:val="18"/>
              </w:rPr>
              <w:t xml:space="preserve">; 49 excluded — 31 at initial keyword screening plus 18 after fourth-pass eligibility adjudication of 19 questionable index records — leaving 450); </w:t>
            </w:r>
            <w:r>
              <w:rPr>
                <w:b/>
                <w:sz w:val="18"/>
              </w:rPr>
              <w:t>§2.3, Primary outcome</w:t>
            </w:r>
            <w:r>
              <w:rPr>
                <w:sz w:val="18"/>
              </w:rPr>
              <w:t xml:space="preserve"> (ascertainment from the institutional registry, which captures readmissions to this hospital); </w:t>
            </w:r>
            <w:r>
              <w:rPr>
                <w:b/>
                <w:sz w:val="18"/>
              </w:rPr>
              <w:t>Figure 1</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 (b)</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For matched studies, give matching criteria and number of exposed and unexposed</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Not applicable — unmatched cohort</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Clearly define all outcomes, exposures, predictors, potential confounders, and effect modifiers. Give diagnostic criteria, if applicable</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§2.3</w:t>
            </w:r>
            <w:r>
              <w:rPr>
                <w:sz w:val="18"/>
              </w:rPr>
              <w:t xml:space="preserve"> (exposure, primary outcome, six cause categories with prespecified priority rules, competing events, age bands). Five of the six cause categories were prespecified; category 4 (missed associated anomaly) was separated out from category 1 after adjudication, by a deterministic rule applied to two fields each reviewer had already scored under blinding (</w:t>
            </w:r>
            <w:r>
              <w:rPr>
                <w:b/>
                <w:sz w:val="18"/>
              </w:rPr>
              <w:t>§2.4</w:t>
            </w:r>
            <w:r>
              <w:rPr>
                <w:sz w:val="18"/>
              </w:rPr>
              <w:t xml:space="preserve">). </w:t>
            </w:r>
            <w:r>
              <w:rPr>
                <w:b/>
                <w:sz w:val="18"/>
              </w:rPr>
              <w:t>Supplementary Table S2</w:t>
            </w:r>
            <w:r>
              <w:rPr>
                <w:sz w:val="18"/>
              </w:rPr>
              <w:t xml:space="preserve"> gives the keyword rules verbatim</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For each variable of interest, give sources of data and details of methods of assessment. Describe comparability of assessment methods if there is more than one group</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§2.2–§2.4</w:t>
            </w:r>
            <w:r>
              <w:rPr>
                <w:sz w:val="18"/>
              </w:rPr>
              <w:t xml:space="preserve">; </w:t>
            </w:r>
            <w:r>
              <w:rPr>
                <w:b/>
                <w:sz w:val="18"/>
              </w:rPr>
              <w:t>Supplementary Tables S1–S2</w:t>
            </w:r>
            <w:r>
              <w:rPr>
                <w:sz w:val="18"/>
              </w:rPr>
              <w:t>. Exposure and index necrosis were assigned for all 450 children by an explicit keyword rule and validated against blinded reviewer consensus in a 132-child subsample; assessment was identical in both groups because reviewers were blinded to approach when assigning cause and to reoperation status when assigning approach</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Describe any efforts to address potential sources of bias</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§2.4</w:t>
            </w:r>
            <w:r>
              <w:rPr>
                <w:sz w:val="18"/>
              </w:rPr>
              <w:t xml:space="preserve"> (four independent blinded adjudication passes — outcome/cause, exposure/severity, mechanism, and eligibility; retrieval of four missing records, which corrected one misclassified exposure); </w:t>
            </w:r>
            <w:r>
              <w:rPr>
                <w:b/>
                <w:sz w:val="18"/>
              </w:rPr>
              <w:t>§2.5</w:t>
            </w:r>
            <w:r>
              <w:rPr>
                <w:sz w:val="18"/>
              </w:rPr>
              <w:t xml:space="preserve"> (competing-risk estimation; Firth penalization for sparse data; restriction to the consensus-adjudicated subsample; E-values); </w:t>
            </w:r>
            <w:r>
              <w:rPr>
                <w:b/>
                <w:sz w:val="18"/>
              </w:rPr>
              <w:t>§4 Limitations</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Explain how the study size was arrived at</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§2.2</w:t>
            </w:r>
            <w:r>
              <w:rPr>
                <w:sz w:val="18"/>
              </w:rPr>
              <w:t xml:space="preserve"> — all eligible children in the database over the study period were included; </w:t>
            </w:r>
            <w:r>
              <w:rPr>
                <w:b/>
                <w:sz w:val="18"/>
              </w:rPr>
              <w:t>no a priori sample-size calculation was performed</w:t>
            </w:r>
            <w:r>
              <w:rPr>
                <w:sz w:val="18"/>
              </w:rPr>
              <w:t xml:space="preserve">, and this is stated. Post hoc power for the null primary comparison is given in the </w:t>
            </w:r>
            <w:r>
              <w:rPr>
                <w:b/>
                <w:sz w:val="18"/>
              </w:rPr>
              <w:t>Table 4 footnote</w:t>
            </w:r>
            <w:r>
              <w:rPr>
                <w:sz w:val="18"/>
              </w:rPr>
              <w:t xml:space="preserve"> (19% to detect an odds ratio of 1.5, 51% for 2.0); the ≥1-year stratum's power is described qualitatively in the </w:t>
            </w:r>
            <w:r>
              <w:rPr>
                <w:b/>
                <w:sz w:val="18"/>
              </w:rPr>
              <w:t>Table 3 footnote</w:t>
            </w:r>
            <w:r>
              <w:rPr>
                <w:sz w:val="18"/>
              </w:rPr>
              <w:t xml:space="preserve"> (only 13 open operations, "almost no power to detect a difference")</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Explain how quantitative variables were handled in the analyses. If applicable, describe which groupings were chosen and why</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§2.3</w:t>
            </w:r>
            <w:r>
              <w:rPr>
                <w:sz w:val="18"/>
              </w:rPr>
              <w:t xml:space="preserve"> (age analyzed continuously and in three bands: neonate &lt;28 days, 28 days–1 year, ≥1 year); </w:t>
            </w:r>
            <w:r>
              <w:rPr>
                <w:b/>
                <w:sz w:val="18"/>
              </w:rPr>
              <w:t>§2.5</w:t>
            </w:r>
            <w:r>
              <w:rPr>
                <w:sz w:val="18"/>
              </w:rPr>
              <w:t xml:space="preserve"> and </w:t>
            </w:r>
            <w:r>
              <w:rPr>
                <w:b/>
                <w:sz w:val="18"/>
              </w:rPr>
              <w:t>§4 Limitations</w:t>
            </w:r>
            <w:r>
              <w:rPr>
                <w:sz w:val="18"/>
              </w:rPr>
              <w:t xml:space="preserve"> state that the band boundaries were chosen after inspecting the bimodal age distribution of the duodenal cases and are covered by no multiplicity correction</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 (a)</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Describe all statistical methods, including those used to control for confounding</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§2.5</w:t>
            </w:r>
            <w:r>
              <w:rPr>
                <w:sz w:val="18"/>
              </w:rPr>
              <w:t xml:space="preserve"> (Fisher exact tests; Wilson, Newcombe and conditional exact intervals; Holm correction; Aalen–Johansen cumulative incidence; cause-specific Cox; Firth penalized likelihood with the constrained-model likelihood-ratio test; Mantel–Haenszel pooling; adjustment for age band, index necrosis and index year)</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 (b)</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Describe any methods used to examine subgroups and interactions</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§2.5</w:t>
            </w:r>
            <w:r>
              <w:rPr>
                <w:sz w:val="18"/>
              </w:rPr>
              <w:t xml:space="preserve">, paragraph 2 — age stratification, declared </w:t>
            </w:r>
            <w:r>
              <w:rPr>
                <w:b/>
                <w:sz w:val="18"/>
              </w:rPr>
              <w:t>not prespecified</w:t>
            </w:r>
            <w:r>
              <w:rPr>
                <w:sz w:val="18"/>
              </w:rPr>
              <w:t xml:space="preserve">; same paragraph states </w:t>
            </w:r>
            <w:r>
              <w:rPr>
                <w:b/>
                <w:sz w:val="18"/>
              </w:rPr>
              <w:t>no formal age-by-approach interaction test was performed</w:t>
            </w:r>
            <w:r>
              <w:rPr>
                <w:sz w:val="18"/>
              </w:rPr>
              <w:t xml:space="preserve"> (elaborated in </w:t>
            </w:r>
            <w:r>
              <w:rPr>
                <w:b/>
                <w:sz w:val="18"/>
              </w:rPr>
              <w:t>§4 Limitations</w:t>
            </w:r>
            <w:r>
              <w:rPr>
                <w:sz w:val="18"/>
              </w:rPr>
              <w:t>); both multiplicity-family definitions reported (</w:t>
            </w:r>
            <w:r>
              <w:rPr>
                <w:b/>
                <w:sz w:val="18"/>
              </w:rPr>
              <w:t>Table 3</w:t>
            </w:r>
            <w:r>
              <w:rPr>
                <w:sz w:val="18"/>
              </w:rPr>
              <w:t xml:space="preserve"> footnote)</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 (c)</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Explain how missing data were addressed</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§2.5</w:t>
            </w:r>
            <w:r>
              <w:rPr>
                <w:sz w:val="18"/>
              </w:rPr>
              <w:t>, final paragraph — sex, age, index date and approach complete for all 450; discharge/pathology text unavailable for 7/450 (1.6%), imputed as anomaly-absent, with the direction of the resulting bias stated</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 (d)</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If applicable, explain how loss to follow-up was addressed</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§2.3, Primary outcome</w:t>
            </w:r>
            <w:r>
              <w:rPr>
                <w:sz w:val="18"/>
              </w:rPr>
              <w:t xml:space="preserve"> — children not returning within 42 days were treated as event-free by design; median stay after the index operation was 12 days (IQR 9–16). </w:t>
            </w:r>
            <w:r>
              <w:rPr>
                <w:b/>
                <w:sz w:val="18"/>
              </w:rPr>
              <w:t>§2.3, Competing event</w:t>
            </w:r>
            <w:r>
              <w:rPr>
                <w:sz w:val="18"/>
              </w:rPr>
              <w:t xml:space="preserve"> — all 24 children discharged against medical advice were traced by telephone so that reoperation elsewhere would not be misclassified as event-free (18 confirmed dead, 4 confirmed alive and unoperated, 2 untraced and censored at discharge). </w:t>
            </w:r>
            <w:r>
              <w:rPr>
                <w:b/>
                <w:sz w:val="18"/>
              </w:rPr>
              <w:t>§4 Limitations</w:t>
            </w:r>
            <w:r>
              <w:rPr>
                <w:sz w:val="18"/>
              </w:rPr>
              <w:t xml:space="preserve"> notes that reoperation at another institution among children not discharged against advice would not be captured</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 (e)</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Describe any sensitivity analyses</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§2.5</w:t>
            </w:r>
            <w:r>
              <w:rPr>
                <w:sz w:val="18"/>
              </w:rPr>
              <w:t xml:space="preserve"> — planned staged reoperations counted as outcomes; reverting the fourth-pass eligibility exclusions; intention-to-treat regrouping of conversions; era effect; adjustment for index year; restriction to the consensus-adjudicated subsample; Gray's test with competing events; E-values. Results in </w:t>
            </w:r>
            <w:r>
              <w:rPr>
                <w:b/>
                <w:sz w:val="18"/>
              </w:rPr>
              <w:t>Table 4</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Results</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 (a)</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Report numbers of individuals at each stage of study</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§3.1</w:t>
            </w:r>
            <w:r>
              <w:rPr>
                <w:sz w:val="18"/>
              </w:rPr>
              <w:t xml:space="preserve">, </w:t>
            </w:r>
            <w:r>
              <w:rPr>
                <w:b/>
                <w:sz w:val="18"/>
              </w:rPr>
              <w:t>§3.2</w:t>
            </w:r>
            <w:r>
              <w:rPr>
                <w:sz w:val="18"/>
              </w:rPr>
              <w:t xml:space="preserve">, </w:t>
            </w:r>
            <w:r>
              <w:rPr>
                <w:b/>
                <w:sz w:val="18"/>
              </w:rPr>
              <w:t>Figure 1</w:t>
            </w:r>
            <w:r>
              <w:rPr>
                <w:sz w:val="18"/>
              </w:rPr>
              <w:t xml:space="preserve">, </w:t>
            </w:r>
            <w:r>
              <w:rPr>
                <w:b/>
                <w:sz w:val="18"/>
              </w:rPr>
              <w:t>Supplementary Table S3</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 (b)</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Give reasons for non-participation at each stage</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§2.2</w:t>
            </w:r>
            <w:r>
              <w:rPr>
                <w:sz w:val="18"/>
              </w:rPr>
              <w:t xml:space="preserve"> and </w:t>
            </w:r>
            <w:r>
              <w:rPr>
                <w:b/>
                <w:sz w:val="18"/>
              </w:rPr>
              <w:t>Figure 1</w:t>
            </w:r>
            <w:r>
              <w:rPr>
                <w:sz w:val="18"/>
              </w:rPr>
              <w:t xml:space="preserve"> (31 excluded at initial screening, itemized); </w:t>
            </w:r>
            <w:r>
              <w:rPr>
                <w:b/>
                <w:sz w:val="18"/>
              </w:rPr>
              <w:t>Supplementary Table S3</w:t>
            </w:r>
            <w:r>
              <w:rPr>
                <w:sz w:val="18"/>
              </w:rPr>
              <w:t xml:space="preserve"> and </w:t>
            </w:r>
            <w:r>
              <w:rPr>
                <w:b/>
                <w:sz w:val="18"/>
              </w:rPr>
              <w:t>Figure 1</w:t>
            </w:r>
            <w:r>
              <w:rPr>
                <w:sz w:val="18"/>
              </w:rPr>
              <w:t xml:space="preserve"> (of 53 candidate reoperations: 11 planned staged procedures, 2 beyond window, 1 records unavailable, 3 index operation not a primary Ladd)</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 (c)</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Consider use of a flow diagram</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Figure 1</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 (a)</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Give characteristics of study participants and information on exposures and potential confounders</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§3.1</w:t>
            </w:r>
            <w:r>
              <w:rPr>
                <w:sz w:val="18"/>
              </w:rPr>
              <w:t xml:space="preserve">, </w:t>
            </w:r>
            <w:r>
              <w:rPr>
                <w:b/>
                <w:sz w:val="18"/>
              </w:rPr>
              <w:t>Table 1</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 (b)</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Indicate number of participants with missing data for each variable of interest</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§2.5</w:t>
            </w:r>
            <w:r>
              <w:rPr>
                <w:sz w:val="18"/>
              </w:rPr>
              <w:t xml:space="preserve">, final paragraph (7/450, 1.6%); </w:t>
            </w:r>
            <w:r>
              <w:rPr>
                <w:b/>
                <w:sz w:val="18"/>
              </w:rPr>
              <w:t>Table 1 footnote</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 (c)</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Summarise follow-up time</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§2.3</w:t>
            </w:r>
            <w:r>
              <w:rPr>
                <w:sz w:val="18"/>
              </w:rPr>
              <w:t xml:space="preserve"> (fixed 42-day window with administrative censoring); </w:t>
            </w:r>
            <w:r>
              <w:rPr>
                <w:b/>
                <w:sz w:val="18"/>
              </w:rPr>
              <w:t>§3.2</w:t>
            </w:r>
            <w:r>
              <w:rPr>
                <w:sz w:val="18"/>
              </w:rPr>
              <w:t xml:space="preserve"> (median interval to reoperation 14.5 days, IQR 10–19, range 2–37); </w:t>
            </w:r>
            <w:r>
              <w:rPr>
                <w:b/>
                <w:sz w:val="18"/>
              </w:rPr>
              <w:t>Supplementary Table S3</w:t>
            </w:r>
            <w:r>
              <w:rPr>
                <w:sz w:val="18"/>
              </w:rPr>
              <w:t xml:space="preserve"> (cohort-level completeness: 396/450, 88.0%, completed the window event-free; 16 competing events; 2 censored early for untraceable discharge against medical advice)</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15</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Report numbers of outcome events or summary measures over time</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§3.2</w:t>
            </w:r>
            <w:r>
              <w:rPr>
                <w:sz w:val="18"/>
              </w:rPr>
              <w:t xml:space="preserve">, </w:t>
            </w:r>
            <w:r>
              <w:rPr>
                <w:b/>
                <w:sz w:val="18"/>
              </w:rPr>
              <w:t>§3.3</w:t>
            </w:r>
            <w:r>
              <w:rPr>
                <w:sz w:val="18"/>
              </w:rPr>
              <w:t xml:space="preserve">, </w:t>
            </w:r>
            <w:r>
              <w:rPr>
                <w:b/>
                <w:sz w:val="18"/>
              </w:rPr>
              <w:t>Supplementary Table S3</w:t>
            </w:r>
            <w:r>
              <w:rPr>
                <w:sz w:val="18"/>
              </w:rPr>
              <w:t xml:space="preserve"> (timing distribution), </w:t>
            </w:r>
            <w:r>
              <w:rPr>
                <w:b/>
                <w:sz w:val="18"/>
              </w:rPr>
              <w:t>Supplementary Figure S1</w:t>
            </w:r>
            <w:r>
              <w:rPr>
                <w:sz w:val="18"/>
              </w:rPr>
              <w:t xml:space="preserve"> (cumulative incidence over time)</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 (a)</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Give unadjusted estimates and, if applicable, confounder-adjusted estimates and their precision. Make clear which confounders were adjusted for and why they were included</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§3.4–§3.6</w:t>
            </w:r>
            <w:r>
              <w:rPr>
                <w:sz w:val="18"/>
              </w:rPr>
              <w:t xml:space="preserve">, </w:t>
            </w:r>
            <w:r>
              <w:rPr>
                <w:b/>
                <w:sz w:val="18"/>
              </w:rPr>
              <w:t>Tables 2–4</w:t>
            </w:r>
            <w:r>
              <w:rPr>
                <w:sz w:val="18"/>
              </w:rPr>
              <w:t xml:space="preserve">. Unadjusted and adjusted estimates are presented side by side; the covariates (neonatal status or age band, index necrosis, index year) and the reason for each are given in </w:t>
            </w:r>
            <w:r>
              <w:rPr>
                <w:b/>
                <w:sz w:val="18"/>
              </w:rPr>
              <w:t>§2.5</w:t>
            </w:r>
            <w:r>
              <w:rPr>
                <w:sz w:val="18"/>
              </w:rPr>
              <w:t xml:space="preserve"> and the </w:t>
            </w:r>
            <w:r>
              <w:rPr>
                <w:b/>
                <w:sz w:val="18"/>
              </w:rPr>
              <w:t>Table 4</w:t>
            </w:r>
            <w:r>
              <w:rPr>
                <w:sz w:val="18"/>
              </w:rPr>
              <w:t xml:space="preserve"> footnote</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 (b)</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Report category boundaries when continuous variables were categorized</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§2.3</w:t>
            </w:r>
            <w:r>
              <w:rPr>
                <w:sz w:val="18"/>
              </w:rPr>
              <w:t xml:space="preserve"> (age bands); </w:t>
            </w:r>
            <w:r>
              <w:rPr>
                <w:b/>
                <w:sz w:val="18"/>
              </w:rPr>
              <w:t>Table 1</w:t>
            </w:r>
            <w:r>
              <w:rPr>
                <w:sz w:val="18"/>
              </w:rPr>
              <w:t xml:space="preserve">, </w:t>
            </w:r>
            <w:r>
              <w:rPr>
                <w:b/>
                <w:sz w:val="18"/>
              </w:rPr>
              <w:t>Table 3</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 (c)</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If relevant, consider translating estimates of relative risk into absolute risk for a meaningful time period</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§3.6</w:t>
            </w:r>
            <w:r>
              <w:rPr>
                <w:sz w:val="18"/>
              </w:rPr>
              <w:t xml:space="preserve"> — neonatal risk difference 4.2 percentage points (Newcombe 95% CI 1.0–8.9), number needed to harm 24, over the 42-day window</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17</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Report other analyses done</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§3.4</w:t>
            </w:r>
            <w:r>
              <w:rPr>
                <w:sz w:val="18"/>
              </w:rPr>
              <w:t xml:space="preserve"> (era, index-year adjustment, intention-to-treat, cohort-definition sensitivity, consensus subsample), </w:t>
            </w:r>
            <w:r>
              <w:rPr>
                <w:b/>
                <w:sz w:val="18"/>
              </w:rPr>
              <w:t>§3.5</w:t>
            </w:r>
            <w:r>
              <w:rPr>
                <w:sz w:val="18"/>
              </w:rPr>
              <w:t xml:space="preserve"> (competing event), </w:t>
            </w:r>
            <w:r>
              <w:rPr>
                <w:b/>
                <w:sz w:val="18"/>
              </w:rPr>
              <w:t>§3.6</w:t>
            </w:r>
            <w:r>
              <w:rPr>
                <w:sz w:val="18"/>
              </w:rPr>
              <w:t xml:space="preserve"> (Mantel–Haenszel, Firth, Gray's test, E-value, era of the technically deficient operations), </w:t>
            </w:r>
            <w:r>
              <w:rPr>
                <w:b/>
                <w:sz w:val="18"/>
              </w:rPr>
              <w:t>§3.7</w:t>
            </w:r>
            <w:r>
              <w:rPr>
                <w:sz w:val="18"/>
              </w:rPr>
              <w:t xml:space="preserve"> (mechanism re-review, taxonomy check); </w:t>
            </w:r>
            <w:r>
              <w:rPr>
                <w:b/>
                <w:sz w:val="18"/>
              </w:rPr>
              <w:t>Tables 2–4</w:t>
            </w:r>
            <w:r>
              <w:rPr>
                <w:sz w:val="18"/>
              </w:rPr>
              <w:t xml:space="preserve">, </w:t>
            </w:r>
            <w:r>
              <w:rPr>
                <w:b/>
                <w:sz w:val="18"/>
              </w:rPr>
              <w:t>Supplementary Table S1</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Discussion</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Summarise key results with reference to study objectives</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§4</w:t>
            </w:r>
            <w:r>
              <w:rPr>
                <w:sz w:val="18"/>
              </w:rPr>
              <w:t xml:space="preserve">, first paragraph, and </w:t>
            </w:r>
            <w:r>
              <w:rPr>
                <w:b/>
                <w:sz w:val="18"/>
              </w:rPr>
              <w:t>Conclusion</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Discuss limitations of the study, taking into account sources of potential bias or imprecision. Discuss both direction and magnitude of any potential bias</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§4 Limitations</w:t>
            </w:r>
            <w:r>
              <w:rPr>
                <w:sz w:val="18"/>
              </w:rPr>
              <w:t xml:space="preserve"> (five paragraphs). Direction is given for each: severity confounding runs against the observed neonatal result; imputation of missing anomaly text biases toward the null; misclassification of exposure is non-differential with respect to outcome; the 42-day window makes the ≥1-year rate a lower bound. Magnitude is quantified where possible — the neonatal comparison is not robust to a single unobserved competing event (p 0.010 → 0.053), and an E-value of 2.10 is required of any unmeasured confounder</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Give a cautious overall interpretation of results considering objectives, limitations, multiplicity of analyses, results from similar studies, and other relevant evidence</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§4</w:t>
            </w:r>
            <w:r>
              <w:rPr>
                <w:sz w:val="18"/>
              </w:rPr>
              <w:t>, paragraphs 2–8. The primary comparison is reported as a bounded null; the ≥1-year stratum is described as absence of evidence rather than evidence of no difference; both multiplicity families are reported; a 2026 meta-analysis reporting a contrary reoperation result is stated explicitly</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21</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Discuss the generalisability (external validity) of the study results</w:t>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§4 Limitations</w:t>
            </w:r>
            <w:r>
              <w:rPr>
                <w:sz w:val="18"/>
              </w:rPr>
              <w:t>, final paragraph — single center; two-thirds of the cohort presented as neonates, so the balance of causes may differ where malrotation presents later</w:t>
            </w:r>
          </w:p>
        </w:tc>
      </w:tr>
      <w:tr>
        <w:tc>
          <w:tcPr>
            <w:tcW w:type="dxa" w:w="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Other information</w:t>
            </w:r>
          </w:p>
        </w:tc>
        <w:tc>
          <w:tcPr>
            <w:tcW w:type="dxa" w:w="30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822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97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22</w:t>
            </w:r>
          </w:p>
        </w:tc>
        <w:tc>
          <w:tcPr>
            <w:tcW w:type="dxa" w:w="304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Give the source of funding and the role of the funders for the present study and, if applicable, for the original study on which the present article is based</w:t>
            </w:r>
          </w:p>
        </w:tc>
        <w:tc>
          <w:tcPr>
            <w:tcW w:type="dxa" w:w="822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b/>
                <w:sz w:val="18"/>
              </w:rPr>
              <w:t>Declarations — Funding</w:t>
            </w:r>
            <w:r>
              <w:rPr>
                <w:sz w:val="18"/>
              </w:rPr>
              <w:t>: no specific grant from any funding agency</w:t>
            </w:r>
          </w:p>
        </w:tc>
      </w:tr>
    </w:tbl>
    <w:p/>
    <w:p>
      <w:pPr>
        <w:sectPr>
          <w:pgSz w:w="15840" w:h="12240" w:orient="landscape"/>
          <w:pgMar w:top="1440" w:right="1800" w:bottom="1440" w:left="1800" w:header="720" w:footer="720" w:gutter="0"/>
          <w:cols w:space="720"/>
          <w:docGrid w:linePitch="360"/>
        </w:sectPr>
      </w:pPr>
    </w:p>
    <w:p>
      <w:r>
        <w:rPr>
          <w:b/>
        </w:rPr>
        <w:t>Note.</w:t>
      </w:r>
      <w:r>
        <w:t xml:space="preserve"> An Explanation and Elaboration article discusses each checklist item and gives methodological background and published examples of transparent reporting. The STROBE checklist is best used in conjunction with that article, which is freely available on the websites of </w:t>
      </w:r>
      <w:r>
        <w:rPr>
          <w:i/>
        </w:rPr>
        <w:t>PLoS Medicine</w:t>
      </w:r>
      <w:r>
        <w:t xml:space="preserve">, </w:t>
      </w:r>
      <w:r>
        <w:rPr>
          <w:i/>
        </w:rPr>
        <w:t>Annals of Internal Medicine</w:t>
      </w:r>
      <w:r>
        <w:t xml:space="preserve">, and </w:t>
      </w:r>
      <w:r>
        <w:rPr>
          <w:i/>
        </w:rPr>
        <w:t>Epidemiology</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