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  <w:rFonts w:eastAsia="黑体"/>
        </w:rPr>
        <w:t>表 1　总体非计划再手术率的组间比较（核心结论一）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948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eastAsia="黑体"/>
              </w:rPr>
              <w:t>分组 / 分析</w:t>
            </w:r>
          </w:p>
        </w:tc>
        <w:tc>
          <w:tcPr>
            <w:tcW w:type="dxa" w:w="1247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eastAsia="黑体"/>
              </w:rPr>
              <w:t>再手术 n/N</w:t>
            </w:r>
          </w:p>
        </w:tc>
        <w:tc>
          <w:tcPr>
            <w:tcW w:type="dxa" w:w="1247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eastAsia="黑体"/>
              </w:rPr>
              <w:t>发生率 (%)</w:t>
            </w:r>
          </w:p>
        </w:tc>
        <w:tc>
          <w:tcPr>
            <w:tcW w:type="dxa" w:w="1361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eastAsia="黑体"/>
              </w:rPr>
              <w:t>95% CI (%)</w:t>
            </w:r>
          </w:p>
        </w:tc>
        <w:tc>
          <w:tcPr>
            <w:tcW w:type="dxa" w:w="2608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eastAsia="黑体"/>
              </w:rPr>
              <w:t>效应量 (95% CI)</w:t>
            </w:r>
          </w:p>
        </w:tc>
        <w:tc>
          <w:tcPr>
            <w:tcW w:type="dxa" w:w="1134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eastAsia="黑体"/>
              </w:rPr>
              <w:t>P 值</w:t>
            </w:r>
          </w:p>
        </w:tc>
      </w:tr>
      <w:tr>
        <w:tc>
          <w:tcPr>
            <w:tcW w:type="dxa" w:w="294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腹腔镜完成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24/255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9.4</w:t>
            </w:r>
          </w:p>
        </w:tc>
        <w:tc>
          <w:tcPr>
            <w:tcW w:type="dxa" w:w="136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6.4–13.6</w:t>
            </w:r>
          </w:p>
        </w:tc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13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</w:tr>
      <w:tr>
        <w:tc>
          <w:tcPr>
            <w:tcW w:type="dxa" w:w="294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中转开腹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6/53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11.3</w:t>
            </w:r>
          </w:p>
        </w:tc>
        <w:tc>
          <w:tcPr>
            <w:tcW w:type="dxa" w:w="136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5.3–22.6</w:t>
            </w:r>
          </w:p>
        </w:tc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13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</w:tr>
      <w:tr>
        <w:tc>
          <w:tcPr>
            <w:tcW w:type="dxa" w:w="294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开腹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6/142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4.2</w:t>
            </w:r>
          </w:p>
        </w:tc>
        <w:tc>
          <w:tcPr>
            <w:tcW w:type="dxa" w:w="136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2.0–8.9</w:t>
            </w:r>
          </w:p>
        </w:tc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13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</w:tr>
      <w:tr>
        <w:tc>
          <w:tcPr>
            <w:tcW w:type="dxa" w:w="294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全队列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36/450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8.0</w:t>
            </w:r>
          </w:p>
        </w:tc>
        <w:tc>
          <w:tcPr>
            <w:tcW w:type="dxa" w:w="136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5.8–10.9</w:t>
            </w:r>
          </w:p>
        </w:tc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13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</w:tr>
      <w:tr>
        <w:tc>
          <w:tcPr>
            <w:tcW w:type="dxa" w:w="294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粗比值比（腹腔镜 vs. 开腹相关）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36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OR 1.58（0.74–3.6）</w:t>
            </w:r>
          </w:p>
        </w:tc>
        <w:tc>
          <w:tcPr>
            <w:tcW w:type="dxa" w:w="113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0.224</w:t>
            </w:r>
          </w:p>
        </w:tc>
      </w:tr>
      <w:tr>
        <w:tc>
          <w:tcPr>
            <w:tcW w:type="dxa" w:w="294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风险差（腹腔镜 − 开腹相关）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36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+3.3 个百分点（−2.0 至 +8.2）</w:t>
            </w:r>
          </w:p>
        </w:tc>
        <w:tc>
          <w:tcPr>
            <w:tcW w:type="dxa" w:w="113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</w:tr>
      <w:tr>
        <w:tc>
          <w:tcPr>
            <w:tcW w:type="dxa" w:w="294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Firth，未校正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36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OR 1.55（0.76–3.16）</w:t>
            </w:r>
          </w:p>
        </w:tc>
        <w:tc>
          <w:tcPr>
            <w:tcW w:type="dxa" w:w="113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0.215</w:t>
            </w:r>
          </w:p>
        </w:tc>
      </w:tr>
      <w:tr>
        <w:tc>
          <w:tcPr>
            <w:tcW w:type="dxa" w:w="294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Firth ＋新生儿 ＋首次手术坏死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36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OR 1.64（0.75–3.60）</w:t>
            </w:r>
          </w:p>
        </w:tc>
        <w:tc>
          <w:tcPr>
            <w:tcW w:type="dxa" w:w="113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0.209</w:t>
            </w:r>
          </w:p>
        </w:tc>
      </w:tr>
      <w:tr>
        <w:tc>
          <w:tcPr>
            <w:tcW w:type="dxa" w:w="2948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Firth ＋年龄段 ＋首次手术坏死</w:t>
            </w:r>
          </w:p>
        </w:tc>
        <w:tc>
          <w:tcPr>
            <w:tcW w:type="dxa" w:w="1247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247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361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2608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OR 1.59（0.72–3.49）</w:t>
            </w:r>
          </w:p>
        </w:tc>
        <w:tc>
          <w:tcPr>
            <w:tcW w:type="dxa" w:w="1134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0.246</w:t>
            </w:r>
          </w:p>
        </w:tc>
      </w:tr>
    </w:tbl>
    <w:p>
      <w:r>
        <w:rPr>
          <w:rFonts w:ascii="Times New Roman" w:hAnsi="Times New Roman"/>
          <w:i/>
          <w:sz w:val="18"/>
          <w:rFonts w:eastAsia="宋体"/>
        </w:rPr>
        <w:t>注：腹腔镜完成 vs. 开腹相关（中转开腹 + 开腹）为预设主要比较，Fisher 精确检验，OR 为条件精确（Cornfield）区间，风险差为 Newcombe 区间；下方三行为 Firth 惩罚似然逻辑回归的敏感性/校正分析。数据来源：本院肠旋转不良患儿数据库 450 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