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</w:rPr>
        <w:t>Table 2.</w:t>
      </w:r>
      <w:r>
        <w:t xml:space="preserve"> Cause of unplanned reoperation, overall and by index approach.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65"/>
        <w:gridCol w:w="1238"/>
        <w:gridCol w:w="1054"/>
        <w:gridCol w:w="1467"/>
        <w:gridCol w:w="1788"/>
        <w:gridCol w:w="1375"/>
        <w:gridCol w:w="870"/>
        <w:gridCol w:w="1283"/>
      </w:tblGrid>
      <w:tr>
        <w:trPr>
          <w:tblHeader w:val="true"/>
        </w:trPr>
        <w:tc>
          <w:tcPr>
            <w:tcW w:type="dxa" w:w="3165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Cause (adjudicated, single choice)</w:t>
            </w:r>
          </w:p>
        </w:tc>
        <w:tc>
          <w:tcPr>
            <w:tcW w:type="dxa" w:w="1238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Overall (n=36)</w:t>
            </w:r>
          </w:p>
        </w:tc>
        <w:tc>
          <w:tcPr>
            <w:tcW w:type="dxa" w:w="1054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Lap (n=24)</w:t>
            </w:r>
          </w:p>
        </w:tc>
        <w:tc>
          <w:tcPr>
            <w:tcW w:type="dxa" w:w="1467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Open-related (n=12)</w:t>
            </w:r>
          </w:p>
        </w:tc>
        <w:tc>
          <w:tcPr>
            <w:tcW w:type="dxa" w:w="1788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Rate, lap vs. open-related</w:t>
            </w:r>
          </w:p>
        </w:tc>
        <w:tc>
          <w:tcPr>
            <w:tcW w:type="dxa" w:w="1375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OR (exact 95% CI)</w:t>
            </w:r>
          </w:p>
        </w:tc>
        <w:tc>
          <w:tcPr>
            <w:tcW w:type="dxa" w:w="870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p*</w:t>
            </w:r>
          </w:p>
        </w:tc>
        <w:tc>
          <w:tcPr>
            <w:tcW w:type="dxa" w:w="1283"/>
            <w:tcBorders>
              <w:top w:val="single" w:sz="12" w:space="0" w:color="000000"/>
              <w:left w:val="nil" w:sz="4" w:space="0" w:color="000000"/>
              <w:bottom w:val="single" w:sz="6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Holm-adjusted p</w:t>
            </w:r>
          </w:p>
        </w:tc>
      </w:tr>
      <w:tr>
        <w:tc>
          <w:tcPr>
            <w:tcW w:type="dxa" w:w="316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 Persistent duodenal obstruction (no intrinsic lesion)</w:t>
            </w:r>
          </w:p>
        </w:tc>
        <w:tc>
          <w:tcPr>
            <w:tcW w:type="dxa" w:w="123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 (33.3%)</w:t>
            </w:r>
          </w:p>
        </w:tc>
        <w:tc>
          <w:tcPr>
            <w:tcW w:type="dxa" w:w="105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467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8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4.7% vs. 0.0%</w:t>
            </w:r>
          </w:p>
        </w:tc>
        <w:tc>
          <w:tcPr>
            <w:tcW w:type="dxa" w:w="137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NE (≥2.19)</w:t>
            </w:r>
          </w:p>
        </w:tc>
        <w:tc>
          <w:tcPr>
            <w:tcW w:type="dxa" w:w="8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0.0016</w:t>
            </w:r>
          </w:p>
        </w:tc>
        <w:tc>
          <w:tcPr>
            <w:tcW w:type="dxa" w:w="128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0.010</w:t>
            </w:r>
          </w:p>
        </w:tc>
      </w:tr>
      <w:tr>
        <w:tc>
          <w:tcPr>
            <w:tcW w:type="dxa" w:w="316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 Necrosis / perforation / anastomotic complication</w:t>
            </w:r>
          </w:p>
        </w:tc>
        <w:tc>
          <w:tcPr>
            <w:tcW w:type="dxa" w:w="123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 (22.2%)</w:t>
            </w:r>
          </w:p>
        </w:tc>
        <w:tc>
          <w:tcPr>
            <w:tcW w:type="dxa" w:w="105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67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8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0.8% vs. 3.1%</w:t>
            </w:r>
          </w:p>
        </w:tc>
        <w:tc>
          <w:tcPr>
            <w:tcW w:type="dxa" w:w="137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0.25 (0.02–1.4)</w:t>
            </w:r>
          </w:p>
        </w:tc>
        <w:tc>
          <w:tcPr>
            <w:tcW w:type="dxa" w:w="8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0.0821</w:t>
            </w:r>
          </w:p>
        </w:tc>
        <w:tc>
          <w:tcPr>
            <w:tcW w:type="dxa" w:w="128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0.411</w:t>
            </w:r>
          </w:p>
        </w:tc>
      </w:tr>
      <w:tr>
        <w:tc>
          <w:tcPr>
            <w:tcW w:type="dxa" w:w="316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3. Adhesive obstruction (non-duodenal)</w:t>
            </w:r>
          </w:p>
        </w:tc>
        <w:tc>
          <w:tcPr>
            <w:tcW w:type="dxa" w:w="123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 (13.9%)</w:t>
            </w:r>
          </w:p>
        </w:tc>
        <w:tc>
          <w:tcPr>
            <w:tcW w:type="dxa" w:w="105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67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8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1.6% vs. 0.5%</w:t>
            </w:r>
          </w:p>
        </w:tc>
        <w:tc>
          <w:tcPr>
            <w:tcW w:type="dxa" w:w="137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3.09 (0.30–153.0)</w:t>
            </w:r>
          </w:p>
        </w:tc>
        <w:tc>
          <w:tcPr>
            <w:tcW w:type="dxa" w:w="8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0.3944</w:t>
            </w:r>
          </w:p>
        </w:tc>
        <w:tc>
          <w:tcPr>
            <w:tcW w:type="dxa" w:w="128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316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4. Missed associated anomaly†</w:t>
            </w:r>
          </w:p>
        </w:tc>
        <w:tc>
          <w:tcPr>
            <w:tcW w:type="dxa" w:w="123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 (11.1%)</w:t>
            </w:r>
          </w:p>
        </w:tc>
        <w:tc>
          <w:tcPr>
            <w:tcW w:type="dxa" w:w="105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67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8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1.2% vs. 0.5%</w:t>
            </w:r>
          </w:p>
        </w:tc>
        <w:tc>
          <w:tcPr>
            <w:tcW w:type="dxa" w:w="137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2.31 (0.18–121.9)</w:t>
            </w:r>
          </w:p>
        </w:tc>
        <w:tc>
          <w:tcPr>
            <w:tcW w:type="dxa" w:w="8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0.6367</w:t>
            </w:r>
          </w:p>
        </w:tc>
        <w:tc>
          <w:tcPr>
            <w:tcW w:type="dxa" w:w="128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316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5. Recurrent volvulus / redo-Ladd</w:t>
            </w:r>
          </w:p>
        </w:tc>
        <w:tc>
          <w:tcPr>
            <w:tcW w:type="dxa" w:w="123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 (5.6%)</w:t>
            </w:r>
          </w:p>
        </w:tc>
        <w:tc>
          <w:tcPr>
            <w:tcW w:type="dxa" w:w="105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67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8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0.8% vs. 0.0%</w:t>
            </w:r>
          </w:p>
        </w:tc>
        <w:tc>
          <w:tcPr>
            <w:tcW w:type="dxa" w:w="137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NE (≥0.14)</w:t>
            </w:r>
          </w:p>
        </w:tc>
        <w:tc>
          <w:tcPr>
            <w:tcW w:type="dxa" w:w="8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0.5078</w:t>
            </w:r>
          </w:p>
        </w:tc>
        <w:tc>
          <w:tcPr>
            <w:tcW w:type="dxa" w:w="128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316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6. Other‡</w:t>
            </w:r>
          </w:p>
        </w:tc>
        <w:tc>
          <w:tcPr>
            <w:tcW w:type="dxa" w:w="123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 (13.9%)</w:t>
            </w:r>
          </w:p>
        </w:tc>
        <w:tc>
          <w:tcPr>
            <w:tcW w:type="dxa" w:w="1054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67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88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0.4% vs. 2.1%</w:t>
            </w:r>
          </w:p>
        </w:tc>
        <w:tc>
          <w:tcPr>
            <w:tcW w:type="dxa" w:w="1375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0.19 (0.00–1.9)</w:t>
            </w:r>
          </w:p>
        </w:tc>
        <w:tc>
          <w:tcPr>
            <w:tcW w:type="dxa" w:w="870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0.1713</w:t>
            </w:r>
          </w:p>
        </w:tc>
        <w:tc>
          <w:tcPr>
            <w:tcW w:type="dxa" w:w="128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0.685</w:t>
            </w:r>
          </w:p>
        </w:tc>
      </w:tr>
      <w:tr>
        <w:tc>
          <w:tcPr>
            <w:tcW w:type="dxa" w:w="3165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Obstructive causes combined (1+3+5)</w:t>
            </w:r>
          </w:p>
        </w:tc>
        <w:tc>
          <w:tcPr>
            <w:tcW w:type="dxa" w:w="1238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19 (52.8%)</w:t>
            </w:r>
          </w:p>
        </w:tc>
        <w:tc>
          <w:tcPr>
            <w:tcW w:type="dxa" w:w="1054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467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88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7.1% vs. 0.5%</w:t>
            </w:r>
          </w:p>
        </w:tc>
        <w:tc>
          <w:tcPr>
            <w:tcW w:type="dxa" w:w="1375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70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83"/>
            <w:tcBorders>
              <w:top w:val="nil" w:sz="4" w:space="0" w:color="000000"/>
              <w:left w:val="nil" w:sz="4" w:space="0" w:color="000000"/>
              <w:bottom w:val="single" w:sz="12" w:space="0" w:color="000000"/>
              <w:right w:val="nil" w:sz="4" w:space="0" w:color="000000"/>
              <w:insideH w:val="nil" w:sz="4" w:space="0" w:color="000000"/>
              <w:insideV w:val="nil" w:sz="4" w:space="0" w:color="000000"/>
            </w:tcBorders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 xml:space="preserve">* Fisher exact test on rates with the full cohort as denominator (255 laparoscopic, 195 open-related); conditional exact (Cornfield) 95% confidence intervals; Holm's step-down correction across the six cause-specific comparisons. </w:t>
      </w:r>
      <w:r>
        <w:rPr>
          <w:b/>
        </w:rPr>
        <w:t>NE, not estimable</w:t>
      </w:r>
      <w:r>
        <w:t>: no open-related child had a persistent duodenal obstruction, so only the one-sided lower bound is informative and the risk difference (+4.7 percentage points, 95% CI 1.9 to 8.0) is the interpretable measure. Conditional on having been reoperated, persistent duodenal obstruction accounted for 12/24 laparoscopic versus 0/12 open-related reoperations; this conditions on a consequence of the exposure and describes case-mix rather than effect.</w:t>
      </w:r>
    </w:p>
    <w:p>
      <w:r>
        <w:t>† Coexisting malformation first identified or confirmed at reoperation: duodenal membrane 3, multiple jejunal atresia 1.</w:t>
      </w:r>
    </w:p>
    <w:p>
      <w:r>
        <w:t>‡ Wound dehiscence 2, stress-ulcer bleeding 2, stoma prolapse 1.</w:t>
      </w:r>
    </w:p>
    <w:p>
      <w:r>
        <w:rPr>
          <w:i/>
        </w:rPr>
        <w:t>Mechanism of the 12 persistent duodenal obstructions</w:t>
      </w:r>
      <w:r>
        <w:t xml:space="preserve"> (operative-note re-review, §3.7): postoperative periduodenal adhesion 9 (all laparoscopic; 3 neonates and 6 children ≥1 year), technical deficiency of the index procedure 3 (all laparoscopic, all neonates).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