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Observational study (retrospective cohort study)</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250 · Main text 4069</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were similar between approaches; the reason for returning to theater was not.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Because the earliest recorded operation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7/450 (1.6%);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p=0.82;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a few millimeters wide, and dividing every band across it, mobilizing it retroperitoneally, and widening the mesenteric base are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This is a specific, verifiable requirement, not a general disadvantage of laparoscopy.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Our results suggest the laparoscopic disadvantage lies less in recurrent volvulus (two children here) than in persistent duodenal obstruction.</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and index necrosis is only a partial proxy for them, so confounding by severity persists within strata.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evidence, pooled reoperation rates are hard to interpret; comparisons of approach should report cause-specific rates within age strata, and the duodenal portion of a neonatal laparoscopic Ladd warrants deliberate intraoperative confirmation and prospective study.</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Disclosures</w:t>
      </w:r>
    </w:p>
    <w:p>
      <w:r>
        <w:t>Jun Shu, Kai Zheng, Hongqiang Bian, Jun Yang, and Xin Wang have no conflicts of interest or financial ties to disclose.</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