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40" w:right="1800" w:bottom="1440" w:left="1800" w:header="720" w:footer="720" w:gutter="0"/>
          <w:cols w:space="720"/>
          <w:docGrid w:linePitch="360"/>
        </w:sectPr>
      </w:pPr>
    </w:p>
    <w:p>
      <w:r>
        <w:rPr>
          <w:b/>
        </w:rPr>
        <w:t>Table 1.</w:t>
      </w:r>
      <w:r>
        <w:t xml:space="preserve"> Baseline characteristics by index surgical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8"/>
        <w:gridCol w:w="1566"/>
        <w:gridCol w:w="2723"/>
        <w:gridCol w:w="1928"/>
        <w:gridCol w:w="916"/>
      </w:tblGrid>
      <w:tr>
        <w:trPr>
          <w:tblHeader w:val="true"/>
        </w:trPr>
        <w:tc>
          <w:tcPr>
            <w:tcW w:type="dxa" w:w="510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56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(n=450)</w:t>
            </w:r>
          </w:p>
        </w:tc>
        <w:tc>
          <w:tcPr>
            <w:tcW w:type="dxa" w:w="272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 (n=255)</w:t>
            </w:r>
          </w:p>
        </w:tc>
        <w:tc>
          <w:tcPr>
            <w:tcW w:type="dxa" w:w="192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(n=195)</w:t>
            </w:r>
          </w:p>
        </w:tc>
        <w:tc>
          <w:tcPr>
            <w:tcW w:type="dxa" w:w="9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SMD*</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344 (76.4)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196 (76.9)</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148 (75.9)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at index operation, months, median (IQR)</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 (0.1–2.0)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 (0.2–22.0)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 (0.1–0.5)</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+0.76</w:t>
            </w:r>
            <w:r>
              <w:rPr>
                <w:sz w:val="18"/>
              </w:rPr>
              <w:t>†</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305 (67.8)</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142 (55.7)</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163 (83.6)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−0.64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28 days –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 (13.6)</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(16.5)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 (9.7)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84 (18.7)</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71 (27.8)</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(6.7)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+0.58</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index operation,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 (12.2)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49 (25.1)</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associated structural anomaly,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74 (16.4)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(11.0)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46 (23.6)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Intrinsic duodenal anomaly (atresia/stenosis/annular pancreas)</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 (4.4)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(7.2)</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Other GI / abdominal-wall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(9.3)</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(5.1)</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29 (14.9)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Structural congenital heart disease</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 (4.0)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(3.5)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(4.6)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−0.05</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Heterotaxy / situs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r>
        <w:tc>
          <w:tcPr>
            <w:tcW w:type="dxa" w:w="510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Chromosomal / syndromic</w:t>
            </w:r>
          </w:p>
        </w:tc>
        <w:tc>
          <w:tcPr>
            <w:tcW w:type="dxa" w:w="156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bl>
    <w:p/>
    <w:p>
      <w:pPr>
        <w:sectPr>
          <w:pgSz w:w="15840" w:h="12240" w:orient="landscape"/>
          <w:pgMar w:top="1440" w:right="1800" w:bottom="1440" w:left="1800" w:header="720" w:footer="720" w:gutter="0"/>
          <w:cols w:space="720"/>
          <w:docGrid w:linePitch="360"/>
        </w:sectPr>
      </w:pPr>
    </w:p>
    <w:p>
      <w:r>
        <w:t xml:space="preserve">* Standardized mean difference (laparoscopic completion minus open-related); |SMD| ≥ 0.10 in bold [25]. We report SMDs rather than p values because the two arms are not samples from a common population; the SMD quantifies the size of the imbalance the analysis must contend with, independently of sample size. The two groups differ on two separate axes: </w:t>
      </w:r>
      <w:r>
        <w:rPr>
          <w:i/>
        </w:rPr>
        <w:t>severity</w:t>
      </w:r>
      <w:r>
        <w:t xml:space="preserve"> (necrosis, associated anomalies — higher in the open-related arm) and </w:t>
      </w:r>
      <w:r>
        <w:rPr>
          <w:i/>
        </w:rPr>
        <w:t>age</w:t>
      </w:r>
      <w:r>
        <w:t xml:space="preserve"> (neonates concentrated in the open-related arm, children ≥1 year in the laparoscopic arm). These push any crude comparison in opposite directions, which is why the cause-specific analysis is presented stratified by age (Table 3). Necrosis is shown as a marker of index-operation severity, not a baseline demographic. Isolated patent foramen ovale, patent ductus arteriosus, and secundum atrial septal defect were treated as physiological in neonates. Diagnostic text was unavailable for 7/450 (1.6%), imputed as anomaly-absent, which biases anomaly-related associations toward the null. Anomaly coding draws on discharge and pathology text from every admission, including any reoperation, so these rows describe anomalies ever recorded rather than anomalies known before the index operation.</w:t>
      </w:r>
    </w:p>
    <w:p>
      <w:r>
        <w:t>† Age is strongly right-skewed, so its SMD is computed on the log(days + 1) scale; the median and IQR are shown untransformed, in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