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Title:</w:t>
      </w:r>
      <w:r>
        <w:t xml:space="preserve"> Early Unplanned Reoperation After Laparoscopic Versus Open Ladd Procedure: Adjudicated Cause and Mechanism in 450 Children</w:t>
      </w:r>
    </w:p>
    <w:p>
      <w:r>
        <w:rPr>
          <w:b/>
        </w:rPr>
        <w:t>Short title:</w:t>
      </w:r>
      <w:r>
        <w:t xml:space="preserve"> Early reoperation after Ladd procedure</w:t>
      </w:r>
    </w:p>
    <w:p>
      <w:r>
        <w:rPr>
          <w:b/>
        </w:rPr>
        <w:t>Authors:</w:t>
      </w:r>
      <w:r>
        <w:t xml:space="preserve"> Jun Shu, Kai Zheng, Hongqiang Bian, Jun Yang, Xin Wang*</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250 · Main text 4021</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were similar between approaches; the reason for returning to theater was not. Duodenal mobilization during neonatal laparoscopic Ladd warrants deliberate intraoperative confirmation and prospective study.</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w:t>
      </w:r>
    </w:p>
    <w:p>
      <w:pPr>
        <w:pStyle w:val="Heading1"/>
      </w:pPr>
      <w:r>
        <w:rPr>
          <w:rFonts w:ascii="Times New Roman" w:hAnsi="Times New Roman"/>
          <w:color w:val="000000"/>
        </w:rPr>
        <w:t>2.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Because the earliest recorded operation is not always the first Ladd procedure, every record whose earliest operation was a diagnostic endoscopy or biopsy, or whose coded diagnosis indicated a previous repair, was adjudicated case by case (§2.4); 19 were reviewed, 18 excluded, and in 3 the index operation was corrected to a later date.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7/450 (1.6%);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p=0.82;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every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It is also here that the operative notes documented a step of the Ladd procedure left undone: all three technically deficient index operations were neonatal and laparoscopic. The neonatal duodenum is a few millimeters wide, and dividing every band across it, mobilizing it retroperitoneally, and widening the mesenteric base are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This is a specific, verifiable requirement, not a general disadvantage of laparoscopy.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Our results suggest the laparoscopic disadvantage lies less in recurrent volvulus (two children here) than in persistent duodenal obstruction.</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their appearance not separating the mechanisms. The 42-day window is arbitrary, so 8.5% after laparoscopy beyond one year is a lower bound, and the design cannot address recurrent volvulus. Indication and urgency were not recorded separately, and index necrosis is only a partial proxy for them, so confounding by severity persists within strata.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evidence, pooled reoperation rates are hard to interpret; comparisons of approach should report cause-specific rates within age strata, and the duodenal portion of a neonatal laparoscopic Ladd warrants deliberate intraoperative confirmation and prospective study.</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Disclosures</w:t>
      </w:r>
    </w:p>
    <w:p>
      <w:r>
        <w:t>Jun Shu, Kai Zheng, Hongqiang Bian, Jun Yang, and Xin Wang have no conflicts of interest or financial ties to disclose.</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