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Original Article (retrospective cohort study)</w:t>
      </w:r>
    </w:p>
    <w:p>
      <w:r>
        <w:rPr>
          <w:b/>
        </w:rPr>
        <w:t>Title:</w:t>
      </w:r>
      <w:r>
        <w:t xml:space="preserve"> Cause and Operative Mechanism of Early Unplanned Reoperation After Primary Ladd Procedure: A Blinded Adjudication Study of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194 · Main text 4201</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Purpose:</w:t>
      </w:r>
      <w:r>
        <w:t xml:space="preserve"> To determine the incidence, adjudicated cause, and operative mechanism of early unplanned reoperation after primary Ladd procedure, and whether cause differs by approach.</w:t>
      </w:r>
    </w:p>
    <w:p>
      <w:r>
        <w:rPr>
          <w:b/>
        </w:rPr>
        <w:t>Methods:</w:t>
      </w:r>
      <w:r>
        <w:t xml:space="preserve"> Single-center retrospective cohort of 450 children after primary Ladd operation (2012–2026); the outcome was unplanned reoperation within 42 days. Eligibility, index approach, cause, and mechanism were adjudicated in four blinded passes (κ 0.82–1.00). Cause-specific rates were compared with Holm-corrected Fisher exact tests; age stratification was post hoc.</w:t>
      </w:r>
    </w:p>
    <w:p>
      <w:r>
        <w:rPr>
          <w:b/>
        </w:rPr>
        <w:t>Results:</w:t>
      </w:r>
      <w:r>
        <w:t xml:space="preserve"> Reoperation occurred in 36/450 (8.0%), median 14.5 days. Persistent duodenal obstruction was the commonest cause (12/36, 33.3%), following 12/255 (4.7%) laparoscopic completions and no open-related operation (risk difference +4.7%, 95% CI 1.9–8.0; Holm p=0.010; odds ratio not estimable). On blinded re-review, 9 of these 12 were periduodenal adhesion and 3 a technical deficiency of the index procedure—all three neonatal and laparoscopic. Cases were bimodal by age; among neonates the risk difference was 4.2% (95% CI 1.0–8.9; 6/142 vs. 0/163). Overall rates did not differ (9.4% vs. 6.2%; risk difference +3.3%, 95% CI −2.0 to +8.2).</w:t>
      </w:r>
    </w:p>
    <w:p>
      <w:r>
        <w:rPr>
          <w:b/>
        </w:rPr>
        <w:t>Conclusion:</w:t>
      </w:r>
      <w:r>
        <w:t xml:space="preserve"> The reason for early reoperation differed by approach and age, while overall rates did not detectably differ.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[13]—a simplification our own primary comparison shares, since it too pools conversions with open surgery (§2.3, §3.4).</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 Recurrent volvulus and non-duodenal adhesive obstruction were each too rare in our cohort to inform the debate above, so our findings speak only to persistent duodenal obstruction, the commonest cause of early reoperation here.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Applying that same rule to each child's earliest recorded operation excluded 31 children whose earliest operation matched none of the five terms—most often a diaphragmatic hernia repair, another intestinal atresia, or an appendectomy that preceded any malrotation-related admission—leaving 468 (itemized in Fig. 1). Because the earliest recorded operation among the remainder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 1); no a priori sample-size calculation was performed.</w:t>
      </w:r>
    </w:p>
    <w:p>
      <w:pPr>
        <w:spacing w:line="240" w:lineRule="auto"/>
        <w:jc w:val="center"/>
      </w:pPr>
      <w:r>
        <w:drawing>
          <wp:inline xmlns:a="http://schemas.openxmlformats.org/drawingml/2006/main" xmlns:pic="http://schemas.openxmlformats.org/drawingml/2006/picture">
            <wp:extent cx="5760720" cy="4440555"/>
            <wp:docPr id="1" name="Picture 1" descr="Fig. 1. Flow diagram: 499 children screened, 450 formed the primary Ladd cohort (255 laparoscopic, 53 conversion, 142 open), with unplanned-reoperation counts per arm and the outcome adjudication of 53 candidate reoperations to 36 included events." title="Fig.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rPr>
          <w:b/>
        </w:rPr>
        <w:t>Fig.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3)</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the prevalence-adjusted bias-adjusted κ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(§3.6).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§3.4.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034"/>
        <w:gridCol w:w="1553"/>
        <w:gridCol w:w="2690"/>
        <w:gridCol w:w="1908"/>
        <w:gridCol w:w="1056"/>
      </w:tblGrid>
      <w:tr>
        <w:trPr>
          <w:tblHeader w:val="true"/>
        </w:trPr>
        <w:tc>
          <w:tcPr>
            <w:tcW w:type="dxa" w:w="503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5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69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105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vertAlign w:val="superscript"/>
              </w:rPr>
              <w:t>a</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03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5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4). Necrosis is shown as a marker of index-operation severity, not a baseline demographic. Isolated patent foramen ovale, patent ductus arteriosus, and secundum atrial septal defect were treated as physiological in neonates. Diagnostic text was unavailable for 6/450 (1.3%),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rPr>
          <w:vertAlign w:val="superscript"/>
        </w:rPr>
        <w:t>a</w:t>
      </w:r>
      <w:r>
        <w:t xml:space="preserve"> Age is strongly right-skewed, so its SMD is computed on the log(days + 1) scale; the median and IQR are shown untransformed, in months.</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r>
              <w:rPr>
                <w:sz w:val="18"/>
                <w:vertAlign w:val="superscript"/>
              </w:rPr>
              <w:t>a</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r>
              <w:rPr>
                <w:sz w:val="18"/>
                <w:vertAlign w:val="superscript"/>
              </w:rPr>
              <w:t>b</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rPr>
          <w:vertAlign w:val="superscript"/>
        </w:rPr>
        <w:t>a</w:t>
      </w:r>
      <w:r>
        <w:t xml:space="preserve"> Coexisting malformation first identified or confirmed at reoperation: duodenal membrane 3, multiple jejunal atresia 1.</w:t>
      </w:r>
    </w:p>
    <w:p>
      <w:r>
        <w:rPr>
          <w:vertAlign w:val="superscript"/>
        </w:rPr>
        <w:t>b</w:t>
      </w:r>
      <w:r>
        <w:t xml:space="preserve">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3). This is a bounded null rather than equivalence: the risk difference was +3.3 percentage points (95% CI −2.0 to +8.2), an interval still compatible with a clinically important excess.</w:t>
      </w:r>
    </w:p>
    <w:p>
      <w:pPr>
        <w:sectPr>
          <w:pgSz w:w="12240" w:h="15840"/>
          <w:pgMar w:top="1440" w:right="1800" w:bottom="1440" w:left="1800" w:header="720" w:footer="720" w:gutter="0"/>
          <w:cols w:space="720"/>
          <w:docGrid w:linePitch="360"/>
        </w:sectPr>
      </w:pPr>
    </w:p>
    <w:p>
      <w:r>
        <w:rPr>
          <w:b/>
        </w:rPr>
        <w:t>Table 3.</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era split (2017) is the median calendar year of the laparoscopic group's own index operations, fixed by that definition rather than chosen from the outcome data; index year enters the Firth model as a continuous, standardized (z-score) covariate.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With only 12 events, the most heavily adjusted model (age band + index necrosis, 4 predictor parameters) has an events-per-variable ratio of 3, well below the conventional EPV≥10 guideline; Firth penalization mitigates but cannot fully resolve the resulting instability. Consistent with that instability, the confidence intervals span more than two orders of magnitude, and one of them includes unity despite a penalized likelihood-ratio p below 0.05. The age-stratified analysis in Table 4 shows where the association actually lies.</w:t>
      </w:r>
    </w:p>
    <w:p>
      <w:r>
        <w:t>Every other analysis of the overall rate was concordant: competing-risk cumulative incidence 9.4% versus 6.2%, and the Cox, Firth, Mantel–Haenszel, planned-as-outcome and eligibility-reversion estimates all between 1.41 and 1.64, every interval including 1 (Table 3;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 2a). With 12 events we did not test this separation formally; it describes the observed distribution rather than establishing two populations.</w:t>
      </w:r>
    </w:p>
    <w:p>
      <w:pPr>
        <w:spacing w:line="240" w:lineRule="auto"/>
        <w:jc w:val="center"/>
      </w:pPr>
      <w:r>
        <w:drawing>
          <wp:inline xmlns:a="http://schemas.openxmlformats.org/drawingml/2006/main" xmlns:pic="http://schemas.openxmlformats.org/drawingml/2006/picture">
            <wp:extent cx="5760720" cy="2649931"/>
            <wp:docPr id="2" name="Picture 2" descr="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rPr>
          <w:b/>
        </w:rPr>
        <w:t>Fig.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t>Among neonates, persistent duodenal obstruction followed 6/142 (4.2%) laparoscopic completions and 0/163 (0%) open-related operations (p=0.0096; risk difference 4.2 percentage points, 95% CI 1.0–8.9; number needed to harm 24) (Table 4, Fig. 2b). The comparison held under formal competing-risk analysis, in the consensus-adjudicated subsample, and across eras (Table 4).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pPr>
        <w:sectPr>
          <w:pgSz w:w="12240" w:h="15840"/>
          <w:pgMar w:top="1440" w:right="1800" w:bottom="1440" w:left="1800" w:header="720" w:footer="720" w:gutter="0"/>
          <w:cols w:space="720"/>
          <w:docGrid w:linePitch="360"/>
        </w:sectPr>
      </w:pPr>
    </w:p>
    <w:p>
      <w:r>
        <w:rPr>
          <w:b/>
        </w:rPr>
        <w:t>Table 4.</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25"/>
        <w:gridCol w:w="3194"/>
        <w:gridCol w:w="2475"/>
        <w:gridCol w:w="1485"/>
        <w:gridCol w:w="1935"/>
        <w:gridCol w:w="1126"/>
      </w:tblGrid>
      <w:tr>
        <w:trPr>
          <w:tblHeader w:val="true"/>
        </w:trPr>
        <w:tc>
          <w:tcPr>
            <w:tcW w:type="dxa" w:w="20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1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4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4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3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112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r>
              <w:rPr>
                <w:sz w:val="18"/>
                <w:vertAlign w:val="superscript"/>
              </w:rPr>
              <w:t>a</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4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112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rPr>
          <w:vertAlign w:val="superscript"/>
        </w:rPr>
        <w:t>a</w:t>
      </w:r>
      <w:r>
        <w:t xml:space="preserve">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t>No open-related child underwent this reoperation in any age stratum, so neither a crude nor a pooled odds ratio is estimable; the Firth-penalized estimates (Table 3)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4).</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standardized mean difference [SMD] +0.02;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any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4 footnote), enough to move the comparison to the edge of significance. What argues against chance is the direction of severity confounding, not the statistical stability of the stratum.</w:t>
      </w:r>
    </w:p>
    <w:p>
      <w:r>
        <w:t>Here too, the operative notes documented a step of the Ladd procedure left undone: all three technically deficient index operations were neonatal and laparoscopic. The neonatal duodenum is narrow, and dividing every band across it, mobilizing it retroperitoneally, and widening the mesenteric base are technically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We read this as a specific, verifiable requirement rather than a general disadvantage of laparoscopy, though our design cannot distinguish the two.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Volvulus recurrence was too rare here (two children) to compare meaningfully against persistent duodenal obstruction; our data speak mainly to the latter.</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since their appearance did not separate the mechanisms. The 42-day window is arbitrary, so 8.5% after laparoscopy beyond one year is a lower bound, and the design cannot address recurrent volvulus. Indication and urgency were not recorded separately, and index necrosis is only a partial proxy for them; necrosis ascertainment itself had only moderate inter-rater reliability (κ=0.57, Supplementary Table S1), so confounding by severity may persist within strata even after adjustment.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retrospective evidence, pooled reoperation rates are hard to interpret, and comparisons of approach should report cause-specific rates within age strata; the duodenal portion of a neonatal laparoscopic Ladd likewise warrants deliberate intraoperative confirmation and prospective study in an independent cohort.</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Declarations</w:t>
      </w:r>
    </w:p>
    <w:p>
      <w:r>
        <w:rPr>
          <w:b/>
        </w:rPr>
        <w:t>Funding.</w:t>
      </w:r>
      <w:r>
        <w:t xml:space="preserve"> This research did not receive any specific grant from funding agencies in the public, commercial, or not-for-profit sectors.</w:t>
      </w:r>
    </w:p>
    <w:p>
      <w:r>
        <w:rPr>
          <w:b/>
        </w:rPr>
        <w:t>Competing interests.</w:t>
      </w:r>
      <w:r>
        <w:t xml:space="preserve"> Jun Shu, Kai Zheng, Hongqiang Bian, Jun Yang, and Xin Wang have no conflicts of interest or financial ties to disclose.</w:t>
      </w:r>
    </w:p>
    <w:p>
      <w:r>
        <w:rPr>
          <w:b/>
        </w:rPr>
        <w:t>Ethics approval.</w:t>
      </w:r>
      <w:r>
        <w:t xml:space="preserve"> Approved by the Ethics Committee of Wuhan Children’s Hospital (Wuhan Maternal and Child Healthcare Hospital), Tongji Medical College, Huazhong University of Science &amp; Technology (approval no. 2026R018-E01). The study was performed in accordance with the ethical standards of the institutional research committee and with the 1964 Declaration of Helsinki and its later amendments.</w:t>
      </w:r>
    </w:p>
    <w:p>
      <w:r>
        <w:rPr>
          <w:b/>
        </w:rPr>
        <w:t>Consent to participate.</w:t>
      </w:r>
      <w:r>
        <w:t xml:space="preserve"> Informed consent was waived by the institutional ethics committee owing to the retrospective design and the use of de-identified records.</w:t>
      </w:r>
    </w:p>
    <w:p>
      <w:r>
        <w:rPr>
          <w:b/>
        </w:rPr>
        <w:t>Consent to publish.</w:t>
      </w:r>
      <w:r>
        <w:t xml:space="preserve"> Not applicable; no individually identifiable data are reported.</w:t>
      </w:r>
    </w:p>
    <w:p>
      <w:r>
        <w:rPr>
          <w:b/>
        </w:rPr>
        <w:t>Data availability.</w:t>
      </w:r>
      <w:r>
        <w:t xml:space="preserve"> 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r>
        <w:rPr>
          <w:b/>
        </w:rPr>
        <w:t>Authors' contributions.</w:t>
      </w:r>
      <w:r>
        <w:t xml:space="preserve"> </w:t>
      </w:r>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r>
        <w:rPr>
          <w:b/>
        </w:rPr>
        <w:t>Use of generative AI.</w:t>
      </w:r>
      <w:r>
        <w:t xml:space="preserve"> 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