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pgSz w:w="12240" w:h="15840"/>
          <w:pgMar w:top="1440" w:right="1800" w:bottom="1440" w:left="1800" w:header="720" w:footer="720" w:gutter="0"/>
          <w:cols w:space="720"/>
          <w:docGrid w:linePitch="360"/>
        </w:sectPr>
      </w:pPr>
    </w:p>
    <w:p>
      <w:r>
        <w:rPr>
          <w:b/>
        </w:rPr>
        <w:t>Table 3.</w:t>
      </w:r>
      <w:r>
        <w:t xml:space="preserve"> Persistent duodenal obstruction and overall unplanned reoperation, stratified by age at the index operation.</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071"/>
        <w:gridCol w:w="3284"/>
        <w:gridCol w:w="2538"/>
        <w:gridCol w:w="1511"/>
        <w:gridCol w:w="1978"/>
        <w:gridCol w:w="858"/>
      </w:tblGrid>
      <w:tr>
        <w:trPr>
          <w:tblHeader w:val="true"/>
        </w:trPr>
        <w:tc>
          <w:tcPr>
            <w:tcW w:type="dxa" w:w="2071"/>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Age stratum</w:t>
            </w:r>
          </w:p>
        </w:tc>
        <w:tc>
          <w:tcPr>
            <w:tcW w:type="dxa" w:w="3284"/>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Outcome</w:t>
            </w:r>
          </w:p>
        </w:tc>
        <w:tc>
          <w:tcPr>
            <w:tcW w:type="dxa" w:w="253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Laparoscopic completion</w:t>
            </w:r>
          </w:p>
        </w:tc>
        <w:tc>
          <w:tcPr>
            <w:tcW w:type="dxa" w:w="1511"/>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Open-related</w:t>
            </w:r>
          </w:p>
        </w:tc>
        <w:tc>
          <w:tcPr>
            <w:tcW w:type="dxa" w:w="197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OR (exact 95% CI)</w:t>
            </w:r>
          </w:p>
        </w:tc>
        <w:tc>
          <w:tcPr>
            <w:tcW w:type="dxa" w:w="85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p*</w:t>
            </w:r>
          </w:p>
        </w:tc>
      </w:tr>
      <w:tr>
        <w:tc>
          <w:tcPr>
            <w:tcW w:type="dxa" w:w="207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Neonate (&lt;28 days)</w:t>
            </w:r>
          </w:p>
        </w:tc>
        <w:tc>
          <w:tcPr>
            <w:tcW w:type="dxa" w:w="328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Persistent duodenal obstruction</w:t>
            </w:r>
          </w:p>
        </w:tc>
        <w:tc>
          <w:tcPr>
            <w:tcW w:type="dxa" w:w="25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6/142 (4.2%)</w:t>
            </w:r>
          </w:p>
        </w:tc>
        <w:tc>
          <w:tcPr>
            <w:tcW w:type="dxa" w:w="151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0/163 (0.0%)</w:t>
            </w:r>
          </w:p>
        </w:tc>
        <w:tc>
          <w:tcPr>
            <w:tcW w:type="dxa" w:w="1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NE (≥1.38)</w:t>
            </w:r>
          </w:p>
        </w:tc>
        <w:tc>
          <w:tcPr>
            <w:tcW w:type="dxa" w:w="85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0.010</w:t>
            </w:r>
          </w:p>
        </w:tc>
      </w:tr>
      <w:tr>
        <w:tc>
          <w:tcPr>
            <w:tcW w:type="dxa" w:w="207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328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Any unplanned reoperation</w:t>
            </w:r>
          </w:p>
        </w:tc>
        <w:tc>
          <w:tcPr>
            <w:tcW w:type="dxa" w:w="25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15/142 (10.6%)</w:t>
            </w:r>
          </w:p>
        </w:tc>
        <w:tc>
          <w:tcPr>
            <w:tcW w:type="dxa" w:w="151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9/163 (5.5%)</w:t>
            </w:r>
          </w:p>
        </w:tc>
        <w:tc>
          <w:tcPr>
            <w:tcW w:type="dxa" w:w="1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2.02 (0.80–5.4)</w:t>
            </w:r>
          </w:p>
        </w:tc>
        <w:tc>
          <w:tcPr>
            <w:tcW w:type="dxa" w:w="85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0.135</w:t>
            </w:r>
          </w:p>
        </w:tc>
      </w:tr>
      <w:tr>
        <w:tc>
          <w:tcPr>
            <w:tcW w:type="dxa" w:w="207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28 days – 1 year</w:t>
            </w:r>
          </w:p>
        </w:tc>
        <w:tc>
          <w:tcPr>
            <w:tcW w:type="dxa" w:w="328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Persistent duodenal obstruction</w:t>
            </w:r>
          </w:p>
        </w:tc>
        <w:tc>
          <w:tcPr>
            <w:tcW w:type="dxa" w:w="25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0/42 (0.0%)</w:t>
            </w:r>
          </w:p>
        </w:tc>
        <w:tc>
          <w:tcPr>
            <w:tcW w:type="dxa" w:w="151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0/19 (0.0%)</w:t>
            </w:r>
          </w:p>
        </w:tc>
        <w:tc>
          <w:tcPr>
            <w:tcW w:type="dxa" w:w="1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NE (—)</w:t>
            </w:r>
          </w:p>
        </w:tc>
        <w:tc>
          <w:tcPr>
            <w:tcW w:type="dxa" w:w="85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207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328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Any unplanned reoperation</w:t>
            </w:r>
          </w:p>
        </w:tc>
        <w:tc>
          <w:tcPr>
            <w:tcW w:type="dxa" w:w="25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0/42 (0.0%)</w:t>
            </w:r>
          </w:p>
        </w:tc>
        <w:tc>
          <w:tcPr>
            <w:tcW w:type="dxa" w:w="151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3/19 (15.8%)</w:t>
            </w:r>
          </w:p>
        </w:tc>
        <w:tc>
          <w:tcPr>
            <w:tcW w:type="dxa" w:w="1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0.00 (0.00–1.0)</w:t>
            </w:r>
          </w:p>
        </w:tc>
        <w:tc>
          <w:tcPr>
            <w:tcW w:type="dxa" w:w="85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0.027</w:t>
            </w:r>
          </w:p>
        </w:tc>
      </w:tr>
      <w:tr>
        <w:tc>
          <w:tcPr>
            <w:tcW w:type="dxa" w:w="207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 year</w:t>
            </w:r>
          </w:p>
        </w:tc>
        <w:tc>
          <w:tcPr>
            <w:tcW w:type="dxa" w:w="328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Persistent duodenal obstruction</w:t>
            </w:r>
          </w:p>
        </w:tc>
        <w:tc>
          <w:tcPr>
            <w:tcW w:type="dxa" w:w="25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6/71 (8.5%)</w:t>
            </w:r>
          </w:p>
        </w:tc>
        <w:tc>
          <w:tcPr>
            <w:tcW w:type="dxa" w:w="151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0/13 (0.0%)</w:t>
            </w:r>
          </w:p>
        </w:tc>
        <w:tc>
          <w:tcPr>
            <w:tcW w:type="dxa" w:w="1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NE (≥0.21)</w:t>
            </w:r>
          </w:p>
        </w:tc>
        <w:tc>
          <w:tcPr>
            <w:tcW w:type="dxa" w:w="85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0.584</w:t>
            </w:r>
          </w:p>
        </w:tc>
      </w:tr>
      <w:tr>
        <w:tc>
          <w:tcPr>
            <w:tcW w:type="dxa" w:w="2071"/>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p>
        </w:tc>
        <w:tc>
          <w:tcPr>
            <w:tcW w:type="dxa" w:w="3284"/>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Any unplanned reoperation</w:t>
            </w:r>
          </w:p>
        </w:tc>
        <w:tc>
          <w:tcPr>
            <w:tcW w:type="dxa" w:w="253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9/71 (12.7%)</w:t>
            </w:r>
          </w:p>
        </w:tc>
        <w:tc>
          <w:tcPr>
            <w:tcW w:type="dxa" w:w="1511"/>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0/13 (0.0%)</w:t>
            </w:r>
          </w:p>
        </w:tc>
        <w:tc>
          <w:tcPr>
            <w:tcW w:type="dxa" w:w="197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NE (≥0.36)</w:t>
            </w:r>
          </w:p>
        </w:tc>
        <w:tc>
          <w:tcPr>
            <w:tcW w:type="dxa" w:w="85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0.343</w:t>
            </w:r>
          </w:p>
        </w:tc>
      </w:tr>
    </w:tbl>
    <w:p/>
    <w:p>
      <w:pPr>
        <w:sectPr>
          <w:pgSz w:w="15840" w:h="12240" w:orient="landscape"/>
          <w:pgMar w:top="1440" w:right="1800" w:bottom="1440" w:left="1800" w:header="720" w:footer="720" w:gutter="0"/>
          <w:cols w:space="720"/>
          <w:docGrid w:linePitch="360"/>
        </w:sectPr>
      </w:pPr>
    </w:p>
    <w:p>
      <w:r>
        <w:t xml:space="preserve">* Fisher exact test; conditional exact (Cornfield) 95% confidence intervals. </w:t>
      </w:r>
      <w:r>
        <w:rPr>
          <w:b/>
        </w:rPr>
        <w:t>NE, not estimable</w:t>
      </w:r>
      <w:r>
        <w:t xml:space="preserve"> (a zero cell); for such comparisons only the one-sided lower bound is informative, and the risk difference is the interpretable effect measure. No child aged 28 days to 1 year had a persistent duodenal obstruction in either arm, so that comparison is not estimable and no p value is given.</w:t>
      </w:r>
    </w:p>
    <w:p>
      <w:r>
        <w:t>§ Gray's test on the subdistribution hazard (χ²=7.01, p=0.008), treating reoperation for another cause and confirmed death as competing events. Sixteen open-related neonates died within the window without having been reoperated, at a median of 1 day (IQR 0–2; 7 on the day of operation), before the days 16–22 in which all six duodenal reoperations occurred. Those children therefore lost their entire period at risk, and the expected number of unobserved duodenal reoperations among them is 0.68; one such event would raise p from 0.010 to 0.053. Children who reached a reoperation before dying are counted as outcomes, not as competing events. An unmeasured confounder would need to be associated with both approach and outcome by a risk ratio of at least 2.10 (E-value for the exact lower bound of 1.38) to move that bound to 1 [21]. The three index operations judged technically deficient were performed in 2016, 2017, and 2022; the three neonatal adhesion-mechanism cases in 2014 and 2015. The fall in the neonatal laparoscopic rate across eras is therefore attributable to the adhesion cases, not to the technical ones. Only 13 children aged ≥1 year were operated open, so that stratum has almost no power to detect a difference: its risk difference of +8.5 percentage points spans −14.8 to +17.2 (Newcombe). The neonatal comparison is not robust to a single unobserved competing event (§4). Applying Holm's correction across the three age strata for persistent duodenal obstruction leaves the neonatal comparison significant (adjusted p=0.029); if all six stratum-by-outcome comparisons in this table are treated as one family, the adjusted p is 0.058 and no longer falls below 0.05. Both are reported so that either family definition can be applied. Because no open-related child had this outcome in any stratum, the Mantel–Haenszel odds ratio pooled across the three age strata is not estimable, as is the crude unstratified odds ratio; the age dependence is therefore shown as rates rather than as a ratio, since children aged ≥1 year had both a higher background rate of duodenal-type reoperation (6/84, 7.1%, versus 6/305, 2.0% in neonates) and a much higher probability of being operated laparoscopically (85% versus 47%). This stratification was post hoc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