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pgSz w:w="12240" w:h="15840"/>
          <w:pgMar w:top="1440" w:right="1800" w:bottom="1440" w:left="1800" w:header="720" w:footer="720" w:gutter="0"/>
          <w:cols w:space="720"/>
          <w:docGrid w:linePitch="360"/>
        </w:sectPr>
      </w:pPr>
    </w:p>
    <w:p>
      <w:r>
        <w:rPr>
          <w:b/>
        </w:rPr>
        <w:t>Table 4.</w:t>
      </w:r>
      <w:r>
        <w:t xml:space="preserve"> Overall unplanned reoperation rate by index approach, with adjusted and sensitivity analyses.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216"/>
        <w:gridCol w:w="3085"/>
        <w:gridCol w:w="2075"/>
        <w:gridCol w:w="864"/>
      </w:tblGrid>
      <w:tr>
        <w:trPr>
          <w:tblHeader w:val="true"/>
        </w:trPr>
        <w:tc>
          <w:tcPr>
            <w:tcW w:type="dxa" w:w="62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Analysis</w:t>
            </w:r>
          </w:p>
        </w:tc>
        <w:tc>
          <w:tcPr>
            <w:tcW w:type="dxa" w:w="308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Estimate</w:t>
            </w:r>
          </w:p>
        </w:tc>
        <w:tc>
          <w:tcPr>
            <w:tcW w:type="dxa" w:w="207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95% CI</w:t>
            </w:r>
          </w:p>
        </w:tc>
        <w:tc>
          <w:tcPr>
            <w:tcW w:type="dxa" w:w="86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Laparoscopic completion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24/255 (9.4%)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6.4–13.6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Conversion to 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6/53 (11.3%)</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5.3–22.6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6/142 (4.2%)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2.0–8.9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All children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36/450 (8.0%)</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5.8–10.9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Crude, laparoscopic vs. open-related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0.74–3.6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0.224</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i/>
                <w:sz w:val="18"/>
              </w:rPr>
              <w:t>Heterogeneity within the comparator:</w:t>
            </w:r>
            <w:r>
              <w:rPr>
                <w:sz w:val="18"/>
              </w:rPr>
              <w:t xml:space="preserve"> conversion vs. 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11.3% vs. 4.2%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0.73–11.3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0.091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Competing-risk cumulative incidence at 42 days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9.4% vs. 6.2%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Cause-specific Cox (competing event censored)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HR 1.41</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0.71–2.82</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0.331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unadjusted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0.76–3.16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0.215</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 neonate (&lt;28 days) + index necrosis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1.64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0.75–3.60</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0.209</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 age band + index necrosis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1.59</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0.72–3.49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0.246</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Mantel–Haenszel, stratified by age band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0.74–3.24</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Intention-to-treat (conversions grouped with laparoscopic)</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2.45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0.97–7.4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0.060</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Era effect within laparoscopic group (≤2017 vs. &gt;2017)</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 vs. 8.8%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0.832</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Counting planned staged reoperations as outcomes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1.48 (28/255 vs. 15/195)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0.74–3.1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0.261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Reverting the fourth-pass eligibility exclusions (n=468)</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1.47 (25/260 vs. 14/208)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0.71–3.2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0.314</w:t>
            </w:r>
          </w:p>
        </w:tc>
      </w:tr>
      <w:tr>
        <w:tc>
          <w:tcPr>
            <w:tcW w:type="dxa" w:w="62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Firth + index year</w:t>
            </w:r>
          </w:p>
        </w:tc>
        <w:tc>
          <w:tcPr>
            <w:tcW w:type="dxa" w:w="308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OR 1.49</w:t>
            </w:r>
          </w:p>
        </w:tc>
        <w:tc>
          <w:tcPr>
            <w:tcW w:type="dxa" w:w="207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0.73–3.06</w:t>
            </w:r>
          </w:p>
        </w:tc>
        <w:tc>
          <w:tcPr>
            <w:tcW w:type="dxa" w:w="86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0.269</w:t>
            </w:r>
          </w:p>
        </w:tc>
      </w:tr>
    </w:tbl>
    <w:p/>
    <w:p>
      <w:pPr>
        <w:sectPr>
          <w:pgSz w:w="15840" w:h="12240" w:orient="landscape"/>
          <w:pgMar w:top="1440" w:right="1800" w:bottom="1440" w:left="1800" w:header="720" w:footer="720" w:gutter="0"/>
          <w:cols w:space="720"/>
          <w:docGrid w:linePitch="360"/>
        </w:sectPr>
      </w:pPr>
    </w:p>
    <w:p>
      <w:r>
        <w:t>Wilson 95% confidence intervals for proportions, Newcombe for the risk difference, conditional exact (Cornfield) for odds ratios. The competing event occurred only after open-related surgery (16 deaths versus none after laparoscopic completion), so its cause-specific hazard ratio is not estimable. The comparator is not internally homogeneous (row 6), and the intention-to-treat row moves exactly that subgroup. Firth p values are from the penalized likelihood-ratio test with the coefficient of interest constrained to zero within the full design matrix; its 95% confidence intervals are Wald-type and under (quasi-)complete separation need not agree with that p value. The consensus-adjudicated subsample comprises the members of that pool who remain in the cohort—35 reoperations plus 89 non-reoperated children sampled at random, 124 in all; because every case and a random fraction of non-cases were included, odds ratios are estimable from it but rates are not. Within it the keyword rule and the blinded reviewer consensus disagreed on 5 of 124 children (4.0%). Every analysis of the overall rate is null, but against the observed open-related rate of 6.2% the study had 19% power to detect an odds ratio of 1.5 and 51% for 2.0, so this is a bounded absence of evidence, not evidence of equivalence.</w:t>
      </w:r>
    </w:p>
    <w:p>
      <w:r>
        <w:rPr>
          <w:i/>
        </w:rPr>
        <w:t>Adjusted models for persistent duodenal obstruction</w:t>
      </w:r>
      <w:r>
        <w:t xml:space="preserve"> (Firth penalized likelihood, laparoscopic vs. open-related):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19"/>
        <w:gridCol w:w="892"/>
        <w:gridCol w:w="1737"/>
        <w:gridCol w:w="892"/>
      </w:tblGrid>
      <w:tr>
        <w:trPr>
          <w:tblHeader w:val="true"/>
        </w:trPr>
        <w:tc>
          <w:tcPr>
            <w:tcW w:type="dxa" w:w="5119"/>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Model</w:t>
            </w:r>
          </w:p>
        </w:tc>
        <w:tc>
          <w:tcPr>
            <w:tcW w:type="dxa" w:w="8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w:t>
            </w:r>
          </w:p>
        </w:tc>
        <w:tc>
          <w:tcPr>
            <w:tcW w:type="dxa" w:w="1737"/>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95% CI</w:t>
            </w:r>
          </w:p>
        </w:tc>
        <w:tc>
          <w:tcPr>
            <w:tcW w:type="dxa" w:w="8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Unadjusted</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20.07</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1.17–343.61</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0.001</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(&lt;28 days)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18.92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1.12–318.53</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0.002</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 index necrosis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16.22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1.18–222.70</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0.006</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log(age in days) + index necrosis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12.62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0.90–177.55</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0.020</w:t>
            </w:r>
          </w:p>
        </w:tc>
      </w:tr>
      <w:tr>
        <w:tc>
          <w:tcPr>
            <w:tcW w:type="dxa" w:w="5119"/>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 age band + index necrosis</w:t>
            </w:r>
          </w:p>
        </w:tc>
        <w:tc>
          <w:tcPr>
            <w:tcW w:type="dxa" w:w="8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14.88</w:t>
            </w:r>
          </w:p>
        </w:tc>
        <w:tc>
          <w:tcPr>
            <w:tcW w:type="dxa" w:w="1737"/>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1.11–199.78</w:t>
            </w:r>
          </w:p>
        </w:tc>
        <w:tc>
          <w:tcPr>
            <w:tcW w:type="dxa" w:w="8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0.009</w:t>
            </w:r>
          </w:p>
        </w:tc>
      </w:tr>
    </w:tbl>
    <w:p/>
    <w:p>
      <w:r>
        <w:t>Adjustment for age attenuates the estimate (from OR 20.1 unadjusted to 12.6–18.9 adjusted), because age predicts both the outcome and the choice of approach. These are penalized estimates under complete separation—no open-related child had this outcome—so they should be read as evidence of direction, not as effect sizes: the confidence intervals span more than two orders of magnitude, and one of them includes unity despite a penalized likelihood-ratio p below 0.05. The age-stratified analysis in Table 3 shows where the association actually 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