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Cover letter</w:t>
      </w:r>
    </w:p>
    <w:p>
      <w:r>
        <w:rPr>
          <w:b/>
        </w:rPr>
        <w:t>To:</w:t>
      </w:r>
      <w:r>
        <w:t xml:space="preserve"> The Editors, </w:t>
      </w:r>
      <w:r>
        <w:rPr>
          <w:i/>
        </w:rPr>
        <w:t>Pediatric Surgery International</w:t>
      </w:r>
    </w:p>
    <w:p>
      <w:r>
        <w:rPr>
          <w:b/>
        </w:rPr>
        <w:t>Re:</w:t>
      </w:r>
      <w:r>
        <w:t xml:space="preserve"> Original article submission — </w:t>
      </w:r>
      <w:r>
        <w:rPr>
          <w:i/>
        </w:rPr>
        <w:t>Cause and Operative Mechanism of Early Unplanned Reoperation After Primary Ladd Procedure: A Blinded Adjudication Study of 450 Children</w:t>
      </w:r>
    </w:p>
    <w:p>
      <w:r>
        <w:t>Dear Editors,</w:t>
      </w:r>
    </w:p>
    <w:p>
      <w:r>
        <w:t xml:space="preserve">We submit for your consideration a single-center cohort of 450 children who underwent a primary Ladd procedure between December 2012 and June 2026 — roughly twice the size of the largest published comparison of the two operative approaches (226 children; </w:t>
      </w:r>
      <w:r>
        <w:rPr>
          <w:i/>
        </w:rPr>
        <w:t>J Pediatr Surg</w:t>
      </w:r>
      <w:r>
        <w:t xml:space="preserve"> 2024;59:161673) — in which the cause and the operative mechanism of every early unplanned reoperation were adjudicated under blinding.</w:t>
      </w:r>
    </w:p>
    <w:p>
      <w:r>
        <w:rPr>
          <w:b/>
        </w:rPr>
        <w:t>What is new.</w:t>
      </w:r>
      <w:r>
        <w:t xml:space="preserve"> Cause was adjudicated, not abstracted. Two reviewers independently assigned a single cause to every reoperation with all approach-identifying wording masked (κ=0.90). A separate blinded pass then classified the </w:t>
      </w:r>
      <w:r>
        <w:rPr>
          <w:i/>
        </w:rPr>
        <w:t>mechanism</w:t>
      </w:r>
      <w:r>
        <w:t xml:space="preserve"> of each duodenal reoperation — technical deficiency of the index procedure versus postoperative adhesion — from the operative narratives alone, with complete agreement on all 12 cases and no access to age or index approach. Eligibility and exposure were adjudicated in two further independent blinded passes. We are not aware of a previous series of this operation that has separated cause from mechanism in this way, and it is that separation, rather than another rate comparison, that produced our principal finding.</w:t>
      </w:r>
    </w:p>
    <w:p>
      <w:r>
        <w:rPr>
          <w:b/>
        </w:rPr>
        <w:t>The finding that bears on operative technique.</w:t>
      </w:r>
      <w:r>
        <w:t xml:space="preserve"> Persistent duodenal obstruction was the commonest cause of early reoperation (12/36) and followed 12/255 laparoscopic completions but no open-related operation (risk difference +4.7 percentage points, 95% CI 1.9–8.0). On blinded re-review, nine of those twelve were postoperative periduodenal adhesion around a duodenum lying where the operation had placed it; three were an unambiguous technical deficiency of the index procedure — a mesenteric base still measuring 2 cm after complete adhesiolysis, membranous bands still crossing the descending and horizontal duodenum, and a duodenum still kinked by membranous traction. All three were neonates, and all three had been laparoscopic. The excess was confined to the neonatal stratum (6/142 vs. 0/163; risk difference 4.2 percentage points, 95% CI 1.0–8.9), and it runs against the direction of severity confounding: neonates selected for open surgery had almost seven-fold more bowel necrosis and every death in that stratum, so severity should have loaded complications into the open arm rather than the laparoscopic one.</w:t>
      </w:r>
    </w:p>
    <w:p>
      <w:r>
        <w:t>*</w:t>
      </w:r>
      <w:r>
        <w:rPr>
          <w:i/>
        </w:rPr>
        <w:t xml:space="preserve">Why this belongs in </w:t>
      </w:r>
      <w:r>
        <w:t>Pediatric Surgery International</w:t>
      </w:r>
      <w:r>
        <w:rPr>
          <w:i/>
        </w:rPr>
        <w:t>.</w:t>
      </w:r>
      <w:r>
        <w:rPr>
          <w:i/>
        </w:rPr>
        <w:t xml:space="preserve"> Much of the comparative literature on this operation has been built in your pages — the systematic review that framed the open-versus-laparoscopic question (</w:t>
      </w:r>
      <w:r>
        <w:t>Pediatr Surg Int</w:t>
      </w:r>
      <w:r>
        <w:rPr>
          <w:i/>
        </w:rPr>
        <w:t xml:space="preserve"> 2016;32:1157–64) and the ten-year complication review that remains a standard reference for post-Ladd morbidity (</w:t>
      </w:r>
      <w:r>
        <w:t>Pediatr Surg Int</w:t>
      </w:r>
      <w:r>
        <w:rPr>
          <w:i/>
        </w:rPr>
        <w:t xml:space="preserve"> 2010;26:203–6). Both answer </w:t>
      </w:r>
      <w:r>
        <w:t>how often</w:t>
      </w:r>
      <w:r>
        <w:rPr>
          <w:i/>
        </w:rPr>
        <w:t xml:space="preserve">. Our paper asks </w:t>
      </w:r>
      <w:r>
        <w:t>why*, and finds that the answer differs by approach and by age even where the pooled rate does not — which may be part of why pooled reoperation rates have proved so hard to reconcile across series. For the surgeon, the practical implication is specific and checkable at the table: in a neonate, the duodenal portion of a laparoscopic Ladd warrants deliberate intraoperative confirmation.</w:t>
      </w:r>
    </w:p>
    <w:p>
      <w:r>
        <w:rPr>
          <w:b/>
        </w:rPr>
        <w:t>A further observation.</w:t>
      </w:r>
      <w:r>
        <w:t xml:space="preserve"> Postoperative contrast studies did not identify what the reoperation found. Two of the three technically deficient operations were followed by a study reporting normal duodenal transit — in one, three days before an operation that found membranous bands still crossing the duodenum. On eight evaluable studies this is a case-series observation and we present it as such, but it argues that an incomplete Ladd is better excluded while the abdomen is still open than on imaging afterwards.</w:t>
      </w:r>
    </w:p>
    <w:p>
      <w:r>
        <w:rPr>
          <w:b/>
        </w:rPr>
        <w:t>Limitations.</w:t>
      </w:r>
      <w:r>
        <w:t xml:space="preserve"> The study is single-center and retrospective; the age stratification was post hoc with data-driven cut-points; and because no open-related child had this outcome, the odds ratio is not estimable, so we report risk differences as the interpretable measure throughout. We state each of these in the manuscript rather than leave them to a reviewer, and we present the comparison as hypothesis-generating for a prospective multicenter study — not as a case against laparoscopy, whose patients here were a systematically less severe group.</w:t>
      </w:r>
    </w:p>
    <w:p>
      <w:r>
        <w:t>The manuscript is 4205 words of main text with a 194-word structured abstract, 4 tables, 2 figures, and supplementary material comprising 5 tables and 2 figures. It is reported in accordance with STROBE; the completed checklist accompanies this submission.</w:t>
      </w:r>
    </w:p>
    <w:p>
      <w:r>
        <w:t>We confirm that this work is original, unpublished, and not under consideration elsewhere; that all authors have approved the submission; that the study was approved by the Ethics Committee of Wuhan Children's Hospital (approval no. 2026R018-E01) with informed consent waived owing to the retrospective design; that the authors have no conflicts of interest; and that the study received no specific funding. Jun Shu and Kai Zheng contributed equally and are listed as co-first authors.</w:t>
      </w:r>
    </w:p>
    <w:p>
      <w:r>
        <w:t>We would be grateful for your consideration.</w:t>
      </w:r>
    </w:p>
    <w:p>
      <w:r>
        <w:t>Yours sincerely,</w:t>
      </w:r>
    </w:p>
    <w:p>
      <w:r>
        <w:rPr>
          <w:b/>
        </w:rPr>
        <w:t>Xin Wang, MD</w:t>
      </w:r>
      <w:r>
        <w:t>, on behalf of all authors</w:t>
      </w:r>
    </w:p>
    <w:p>
      <w:r>
        <w:t>Department of General Surgery, Wuhan Children's Hospital (Wuhan Maternal and Child Healthcare Hospital),</w:t>
      </w:r>
    </w:p>
    <w:p>
      <w:r>
        <w:t>Tongji Medical College, Huazhong University of Science &amp; Technology, Wuhan 430016, Hubei Province, China</w:t>
      </w:r>
    </w:p>
    <w:p>
      <w:r>
        <w:t>Email: wangxin@zgwhfe.com</w:t>
      </w:r>
    </w:p>
    <w:p>
      <w:r>
        <w:t>Tel: +86 18995563848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