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08"/>
        <w:gridCol w:w="1566"/>
        <w:gridCol w:w="2723"/>
        <w:gridCol w:w="1928"/>
        <w:gridCol w:w="916"/>
      </w:tblGrid>
      <w:tr>
        <w:trPr>
          <w:tblHeader w:val="true"/>
        </w:trPr>
        <w:tc>
          <w:tcPr>
            <w:tcW w:type="dxa" w:w="51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6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72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2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rPr>
              <w:t>†</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1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6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3). Necrosis is shown as a marker of index-operation severity, not a baseline demographic. Isolated patent foramen ovale, patent ductus arteriosus, and secundum atrial septal defect were treated as physiological in neonates. Diagnostic text was unavailable for 6/450 (1.3%),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t>† Age is strongly right-skewed, so its SMD is computed on the log(days + 1) scale; the median and IQR are shown untransformed, in months.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