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Observational study (retrospective cohort study)</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250 · Main text 4069</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were similar between approaches; the reason for returning to theater was not.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Because the earliest recorded operation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p=0.82;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a few millimeters wide, and dividing every band across it, mobilizing it retroperitoneally, and widening the mesenteric base are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This is a specific, verifiable requirement, not a general disadvantage of laparoscopy.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Our results suggest the laparoscopic disadvantage lies less in recurrent volvulus (two children here) than in persistent duodenal obstruction.</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and index necrosis is only a partial proxy for them, so confounding by severity persists within strata.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evidence, pooled reoperation rates are hard to interpret; comparisons of approach should report cause-specific rates within age strata, and the duodenal portion of a neonatal laparoscopic Ladd warrants deliberate intraoperative confirmation and prospective study.</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competing interest</w:t>
      </w:r>
    </w:p>
    <w:p>
      <w:r>
        <w:t>Jun Shu, Kai Zheng, Hongqiang Bian, Jun Yang, and Xin Wang have no conflicts of interest or financial ties to disclose.</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Tables</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08"/>
        <w:gridCol w:w="1566"/>
        <w:gridCol w:w="2723"/>
        <w:gridCol w:w="1928"/>
        <w:gridCol w:w="916"/>
      </w:tblGrid>
      <w:tr>
        <w:trPr>
          <w:tblHeader w:val="true"/>
        </w:trPr>
        <w:tc>
          <w:tcPr>
            <w:tcW w:type="dxa" w:w="51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6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72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2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9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rPr>
              <w:t>†</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1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6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3). Necrosis is shown as a marker of index-operation severity, not a baseline demographic. Isolated patent foramen ovale, patent ductus arteriosus, and secundum atrial septal defect were treated as physiological in neonates. Diagnostic text was unavailable for 6/450 (1.3%),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t>† Age is strongly right-skewed, so its SMD is computed on the log(days + 1) scale; the median and IQR are shown untransformed, in months.</w:t>
      </w:r>
    </w:p>
    <w:p>
      <w:r>
        <w:br w:type="page"/>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t>† Coexisting malformation first identified or confirmed at reoperation: duodenal membrane 3, multiple jejunal atresia 1.</w:t>
      </w:r>
    </w:p>
    <w:p>
      <w:r>
        <w:t>‡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r>
        <w:br w:type="page"/>
      </w:r>
    </w:p>
    <w:p>
      <w:pPr>
        <w:sectPr>
          <w:pgSz w:w="12240" w:h="15840"/>
          <w:pgMar w:top="1440" w:right="1800" w:bottom="1440" w:left="1800" w:header="720" w:footer="720" w:gutter="0"/>
          <w:cols w:space="720"/>
          <w:docGrid w:linePitch="360"/>
        </w:sectPr>
      </w:pPr>
    </w:p>
    <w:p>
      <w:r>
        <w:rPr>
          <w:b/>
        </w:rPr>
        <w:t>Table 3.</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71"/>
        <w:gridCol w:w="3284"/>
        <w:gridCol w:w="2538"/>
        <w:gridCol w:w="1511"/>
        <w:gridCol w:w="1978"/>
        <w:gridCol w:w="858"/>
      </w:tblGrid>
      <w:tr>
        <w:trPr>
          <w:tblHeader w:val="true"/>
        </w:trPr>
        <w:tc>
          <w:tcPr>
            <w:tcW w:type="dxa" w:w="207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2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5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51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7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5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7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51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85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t>§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br w:type="page"/>
      </w:r>
    </w:p>
    <w:p>
      <w:pPr>
        <w:sectPr>
          <w:pgSz w:w="12240" w:h="15840"/>
          <w:pgMar w:top="1440" w:right="1800" w:bottom="1440" w:left="1800" w:header="720" w:footer="720" w:gutter="0"/>
          <w:cols w:space="720"/>
          <w:docGrid w:linePitch="360"/>
        </w:sectPr>
      </w:pPr>
    </w:p>
    <w:p>
      <w:r>
        <w:rPr>
          <w:b/>
        </w:rPr>
        <w:t>Table 4.</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the confidence intervals span more than two orders of magnitude, and one of them includes unity despite a penalized likelihood-ratio p below 0.05. The age-stratified analysis in Table 3 shows where the association actually lies.</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p>
      <w:pPr>
        <w:pStyle w:val="Heading1"/>
      </w:pPr>
      <w:r>
        <w:rPr>
          <w:rFonts w:ascii="Times New Roman" w:hAnsi="Times New Roman"/>
          <w:color w:val="000000"/>
        </w:rPr>
        <w:t>Figures</w:t>
      </w:r>
    </w:p>
    <w:p>
      <w:r>
        <w:rPr>
          <w:b/>
        </w:rPr>
        <w:t>Figure 1</w:t>
      </w:r>
    </w:p>
    <w:p>
      <w:pPr>
        <w:spacing w:line="240" w:lineRule="auto"/>
        <w:jc w:val="center"/>
      </w:pPr>
      <w:r>
        <w:drawing>
          <wp:inline xmlns:a="http://schemas.openxmlformats.org/drawingml/2006/main" xmlns:pic="http://schemas.openxmlformats.org/drawingml/2006/picture">
            <wp:extent cx="5760720" cy="4440555"/>
            <wp:docPr id="1" name="Picture 1" descr="Figure 1. Flow diagram: 499 children screened, 450 formed the primary Ladd cohort (255 laparoscopic, 53 conversion, 142 open), with unplanned-reoperation counts per arm and the outcome adjudication of 53 candidate reoperations to 36 included events." title="Figure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br w:type="page"/>
      </w:r>
    </w:p>
    <w:p>
      <w:r>
        <w:rPr>
          <w:b/>
        </w:rPr>
        <w:t>Figure 2</w:t>
      </w:r>
    </w:p>
    <w:p>
      <w:pPr>
        <w:spacing w:line="240" w:lineRule="auto"/>
        <w:jc w:val="center"/>
      </w:pPr>
      <w:r>
        <w:drawing>
          <wp:inline xmlns:a="http://schemas.openxmlformats.org/drawingml/2006/main" xmlns:pic="http://schemas.openxmlformats.org/drawingml/2006/picture">
            <wp:extent cx="5760720" cy="2649931"/>
            <wp:docPr id="2" name="Picture 2" descr="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br w:type="page"/>
      </w:r>
    </w:p>
    <w:p>
      <w:pPr>
        <w:pStyle w:val="Heading1"/>
      </w:pPr>
      <w:r>
        <w:rPr>
          <w:rFonts w:ascii="Times New Roman" w:hAnsi="Times New Roman"/>
          <w:color w:val="000000"/>
        </w:rPr>
        <w:t>Supplementary material</w:t>
      </w:r>
    </w:p>
    <w:p>
      <w:pPr>
        <w:pStyle w:val="ListBullet"/>
      </w:pPr>
      <w:r>
        <w:rPr>
          <w:b/>
        </w:rPr>
        <w:t>Supplementary Table S1.</w:t>
      </w:r>
      <w:r>
        <w:t xml:space="preserve"> Inter-rater agreement for the four-pass blinded adjudication: Cohen’s κ with 95% confidence intervals for every adjudicated item, with observed agreement and prevalence-adjusted bias-adjusted κ (PABAK) for the rare binary items, and validation of the automated approach classifier against the reviewer consensus.</w:t>
      </w:r>
    </w:p>
    <w:p>
      <w:pPr>
        <w:pStyle w:val="ListBullet"/>
      </w:pPr>
      <w:r>
        <w:rPr>
          <w:b/>
        </w:rPr>
        <w:t>Supplementary Table S2.</w:t>
      </w:r>
      <w:r>
        <w:t xml:space="preserve"> Verbatim keyword rules used to assign index surgical approach and index bowel necrosis for all 450 children, with their agreement against blinded reviewer consensus.</w:t>
      </w:r>
    </w:p>
    <w:p>
      <w:pPr>
        <w:pStyle w:val="ListBullet"/>
      </w:pPr>
      <w:r>
        <w:rPr>
          <w:b/>
        </w:rPr>
        <w:t>Supplementary Table S3.</w:t>
      </w:r>
      <w:r>
        <w:t xml:space="preserve"> Timing of unplanned reoperation (n=36).</w:t>
      </w:r>
    </w:p>
    <w:p>
      <w:pPr>
        <w:pStyle w:val="ListBullet"/>
      </w:pPr>
      <w:r>
        <w:rPr>
          <w:b/>
        </w:rPr>
        <w:t>Supplementary Table S4.</w:t>
      </w:r>
      <w:r>
        <w:t xml:space="preserve"> Full four-pass blinded adjudication protocol, including the case-by-case eligibility review of 19 questionable index records and the derivation of the </w:t>
      </w:r>
      <w:r>
        <w:rPr>
          <w:i/>
        </w:rPr>
        <w:t>missed associated anomaly</w:t>
      </w:r>
      <w:r>
        <w:t xml:space="preserve"> category.</w:t>
      </w:r>
    </w:p>
    <w:p>
      <w:pPr>
        <w:pStyle w:val="ListBullet"/>
      </w:pPr>
      <w:r>
        <w:rPr>
          <w:b/>
        </w:rPr>
        <w:t>Supplementary Table S5.</w:t>
      </w:r>
      <w:r>
        <w:t xml:space="preserve"> Complete list of secondary and sensitivity analyses, the taxonomy check against coded intrinsic duodenal anomalies, and the full limitations of the study.</w:t>
      </w:r>
    </w:p>
    <w:p>
      <w:pPr>
        <w:pStyle w:val="ListBullet"/>
      </w:pPr>
      <w:r>
        <w:rPr>
          <w:b/>
        </w:rPr>
        <w:t>Supplementary Figure S1.</w:t>
      </w:r>
      <w:r>
        <w:t xml:space="preserve"> Competing-risk cumulative incidence of unplanned reoperation by index approach, with death as the competing event.</w:t>
      </w:r>
    </w:p>
    <w:p>
      <w:pPr>
        <w:pStyle w:val="ListBullet"/>
      </w:pPr>
      <w:r>
        <w:rPr>
          <w:b/>
        </w:rPr>
        <w:t>Supplementary Figure S2.</w:t>
      </w:r>
      <w:r>
        <w:t xml:space="preserve"> Cause-specific reoperation rates by index approach.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