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  <w:rFonts w:eastAsia="黑体"/>
        </w:rPr>
        <w:t>表 2　再手术病因构成的组间比较（核心结论二）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2608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eastAsia="黑体"/>
              </w:rPr>
              <w:t>病因（单选）</w:t>
            </w:r>
          </w:p>
        </w:tc>
        <w:tc>
          <w:tcPr>
            <w:tcW w:type="dxa" w:w="1361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eastAsia="黑体"/>
              </w:rPr>
              <w:t>腹腔镜 n/N</w:t>
            </w:r>
          </w:p>
        </w:tc>
        <w:tc>
          <w:tcPr>
            <w:tcW w:type="dxa" w:w="1474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eastAsia="黑体"/>
              </w:rPr>
              <w:t>开腹相关 n/N</w:t>
            </w:r>
          </w:p>
        </w:tc>
        <w:tc>
          <w:tcPr>
            <w:tcW w:type="dxa" w:w="2041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eastAsia="黑体"/>
              </w:rPr>
              <w:t>发生率(%) 腹腔镜 vs. 开腹相关</w:t>
            </w:r>
          </w:p>
        </w:tc>
        <w:tc>
          <w:tcPr>
            <w:tcW w:type="dxa" w:w="2041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eastAsia="黑体"/>
              </w:rPr>
              <w:t>OR（精确 95% CI）</w:t>
            </w:r>
          </w:p>
        </w:tc>
        <w:tc>
          <w:tcPr>
            <w:tcW w:type="dxa" w:w="1134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eastAsia="黑体"/>
              </w:rPr>
              <w:t>Fisher p</w:t>
            </w:r>
          </w:p>
        </w:tc>
        <w:tc>
          <w:tcPr>
            <w:tcW w:type="dxa" w:w="1247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eastAsia="黑体"/>
              </w:rPr>
              <w:t>Holm 校正 p</w:t>
            </w:r>
          </w:p>
        </w:tc>
      </w:tr>
      <w:tr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  <w:rFonts w:eastAsia="宋体"/>
              </w:rPr>
              <w:t>1. 十二指肠持续梗阻</w:t>
            </w:r>
          </w:p>
        </w:tc>
        <w:tc>
          <w:tcPr>
            <w:tcW w:type="dxa" w:w="136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eastAsia="宋体"/>
              </w:rPr>
              <w:t>12/255</w:t>
            </w:r>
          </w:p>
        </w:tc>
        <w:tc>
          <w:tcPr>
            <w:tcW w:type="dxa" w:w="147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eastAsia="宋体"/>
              </w:rPr>
              <w:t>0/195</w:t>
            </w:r>
          </w:p>
        </w:tc>
        <w:tc>
          <w:tcPr>
            <w:tcW w:type="dxa" w:w="204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eastAsia="宋体"/>
              </w:rPr>
              <w:t>4.7 vs. 0.0</w:t>
            </w:r>
          </w:p>
        </w:tc>
        <w:tc>
          <w:tcPr>
            <w:tcW w:type="dxa" w:w="204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eastAsia="宋体"/>
              </w:rPr>
              <w:t>NE（≥2.19）</w:t>
            </w:r>
          </w:p>
        </w:tc>
        <w:tc>
          <w:tcPr>
            <w:tcW w:type="dxa" w:w="113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eastAsia="宋体"/>
              </w:rPr>
              <w:t>0.0016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  <w:rFonts w:eastAsia="宋体"/>
              </w:rPr>
              <w:t>0.010</w:t>
            </w:r>
          </w:p>
        </w:tc>
      </w:tr>
      <w:tr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2. 坏死/穿孔/吻合口并发症</w:t>
            </w:r>
          </w:p>
        </w:tc>
        <w:tc>
          <w:tcPr>
            <w:tcW w:type="dxa" w:w="136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2/255</w:t>
            </w:r>
          </w:p>
        </w:tc>
        <w:tc>
          <w:tcPr>
            <w:tcW w:type="dxa" w:w="147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6/195</w:t>
            </w:r>
          </w:p>
        </w:tc>
        <w:tc>
          <w:tcPr>
            <w:tcW w:type="dxa" w:w="204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0.8 vs. 3.1</w:t>
            </w:r>
          </w:p>
        </w:tc>
        <w:tc>
          <w:tcPr>
            <w:tcW w:type="dxa" w:w="204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0.25（0.02–1.42）</w:t>
            </w:r>
          </w:p>
        </w:tc>
        <w:tc>
          <w:tcPr>
            <w:tcW w:type="dxa" w:w="113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0.0821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0.411</w:t>
            </w:r>
          </w:p>
        </w:tc>
      </w:tr>
      <w:tr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3. 粘连性肠梗阻（非十二指肠）</w:t>
            </w:r>
          </w:p>
        </w:tc>
        <w:tc>
          <w:tcPr>
            <w:tcW w:type="dxa" w:w="136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4/255</w:t>
            </w:r>
          </w:p>
        </w:tc>
        <w:tc>
          <w:tcPr>
            <w:tcW w:type="dxa" w:w="147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1/195</w:t>
            </w:r>
          </w:p>
        </w:tc>
        <w:tc>
          <w:tcPr>
            <w:tcW w:type="dxa" w:w="204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1.6 vs. 0.5</w:t>
            </w:r>
          </w:p>
        </w:tc>
        <w:tc>
          <w:tcPr>
            <w:tcW w:type="dxa" w:w="204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3.09（0.30–153.03）</w:t>
            </w:r>
          </w:p>
        </w:tc>
        <w:tc>
          <w:tcPr>
            <w:tcW w:type="dxa" w:w="113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0.3944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1.000</w:t>
            </w:r>
          </w:p>
        </w:tc>
      </w:tr>
      <w:tr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4. 合并畸形漏诊</w:t>
            </w:r>
          </w:p>
        </w:tc>
        <w:tc>
          <w:tcPr>
            <w:tcW w:type="dxa" w:w="136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3/255</w:t>
            </w:r>
          </w:p>
        </w:tc>
        <w:tc>
          <w:tcPr>
            <w:tcW w:type="dxa" w:w="147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1/195</w:t>
            </w:r>
          </w:p>
        </w:tc>
        <w:tc>
          <w:tcPr>
            <w:tcW w:type="dxa" w:w="204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1.2 vs. 0.5</w:t>
            </w:r>
          </w:p>
        </w:tc>
        <w:tc>
          <w:tcPr>
            <w:tcW w:type="dxa" w:w="204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2.31（0.18–121.86）</w:t>
            </w:r>
          </w:p>
        </w:tc>
        <w:tc>
          <w:tcPr>
            <w:tcW w:type="dxa" w:w="113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0.6367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1.000</w:t>
            </w:r>
          </w:p>
        </w:tc>
      </w:tr>
      <w:tr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5. 肠扭转复发</w:t>
            </w:r>
          </w:p>
        </w:tc>
        <w:tc>
          <w:tcPr>
            <w:tcW w:type="dxa" w:w="136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2/255</w:t>
            </w:r>
          </w:p>
        </w:tc>
        <w:tc>
          <w:tcPr>
            <w:tcW w:type="dxa" w:w="147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0/195</w:t>
            </w:r>
          </w:p>
        </w:tc>
        <w:tc>
          <w:tcPr>
            <w:tcW w:type="dxa" w:w="204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0.8 vs. 0.0</w:t>
            </w:r>
          </w:p>
        </w:tc>
        <w:tc>
          <w:tcPr>
            <w:tcW w:type="dxa" w:w="204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NE（≥0.14）</w:t>
            </w:r>
          </w:p>
        </w:tc>
        <w:tc>
          <w:tcPr>
            <w:tcW w:type="dxa" w:w="1134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0.5078</w:t>
            </w:r>
          </w:p>
        </w:tc>
        <w:tc>
          <w:tcPr>
            <w:tcW w:type="dxa" w:w="1247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1.000</w:t>
            </w:r>
          </w:p>
        </w:tc>
      </w:tr>
      <w:tr>
        <w:tc>
          <w:tcPr>
            <w:tcW w:type="dxa" w:w="2608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6. 其他</w:t>
            </w:r>
          </w:p>
        </w:tc>
        <w:tc>
          <w:tcPr>
            <w:tcW w:type="dxa" w:w="1361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1/255</w:t>
            </w:r>
          </w:p>
        </w:tc>
        <w:tc>
          <w:tcPr>
            <w:tcW w:type="dxa" w:w="1474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4/195</w:t>
            </w:r>
          </w:p>
        </w:tc>
        <w:tc>
          <w:tcPr>
            <w:tcW w:type="dxa" w:w="2041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0.4 vs. 2.1</w:t>
            </w:r>
          </w:p>
        </w:tc>
        <w:tc>
          <w:tcPr>
            <w:tcW w:type="dxa" w:w="2041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0.19（0.00–1.93）</w:t>
            </w:r>
          </w:p>
        </w:tc>
        <w:tc>
          <w:tcPr>
            <w:tcW w:type="dxa" w:w="1134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0.1713</w:t>
            </w:r>
          </w:p>
        </w:tc>
        <w:tc>
          <w:tcPr>
            <w:tcW w:type="dxa" w:w="1247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  <w:rFonts w:eastAsia="宋体"/>
              </w:rPr>
              <w:t>0.685</w:t>
            </w:r>
          </w:p>
        </w:tc>
      </w:tr>
    </w:tbl>
    <w:p>
      <w:r>
        <w:rPr>
          <w:rFonts w:ascii="Times New Roman" w:hAnsi="Times New Roman"/>
          <w:i/>
          <w:sz w:val="18"/>
          <w:rFonts w:eastAsia="宋体"/>
        </w:rPr>
        <w:t>注：以全队列为分母（腹腔镜完成 255 例、开腹相关 195 例）；OR 为条件精确（Cornfield）95% 置信区间；Holm 逐步法对六个病因族内校正。持续性十二指肠梗阻在开腹相关组无一例发生，为零单元，OR 不可估（NE），仅单侧下界有意义，风险差为可解释的效应量：+4.7 个百分点（Newcombe 95% CI 1.9 至 8.0）；该项是六个病因中唯一经 Holm 校正后仍 &lt;0.05 者。数据来源：本院肠旋转不良患儿数据库 450 例。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