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pBdr>
          <w:bottom w:val="single" w:color="auto" w:sz="12" w:space="3"/>
        </w:pBdr>
        <w:spacing w:line="360" w:lineRule="auto"/>
        <w:jc w:val="center"/>
        <w:rPr>
          <w:rFonts w:hAnsi="宋体"/>
          <w:b/>
          <w:bCs/>
          <w:kern w:val="0"/>
          <w:sz w:val="30"/>
          <w:szCs w:val="28"/>
        </w:rPr>
      </w:pPr>
      <w:r>
        <w:rPr>
          <w:rFonts w:hAnsi="宋体"/>
          <w:b/>
          <w:bCs/>
          <w:kern w:val="0"/>
          <w:sz w:val="30"/>
          <w:szCs w:val="28"/>
        </w:rPr>
        <w:t>说明书摘要</w:t>
      </w:r>
    </w:p>
    <w:p>
      <w:pPr>
        <w:keepNext w:val="0"/>
        <w:keepLines w:val="0"/>
        <w:pageBreakBefore w:val="0"/>
        <w:widowControl/>
        <w:suppressLineNumbers w:val="0"/>
        <w:kinsoku/>
        <w:wordWrap/>
        <w:overflowPunct/>
        <w:topLinePunct w:val="0"/>
        <w:autoSpaceDE/>
        <w:autoSpaceDN/>
        <w:bidi w:val="0"/>
        <w:adjustRightInd/>
        <w:snapToGrid/>
        <w:spacing w:line="460" w:lineRule="exact"/>
        <w:ind w:firstLine="560" w:firstLineChars="200"/>
        <w:jc w:val="left"/>
        <w:textAlignment w:val="auto"/>
        <w:rPr>
          <w:rFonts w:hint="eastAsia" w:ascii="宋体" w:hAnsi="宋体" w:eastAsia="宋体" w:cs="宋体"/>
          <w:sz w:val="28"/>
          <w:szCs w:val="28"/>
        </w:rPr>
      </w:pPr>
      <w:r>
        <w:rPr>
          <w:rFonts w:hint="eastAsia" w:ascii="宋体" w:hAnsi="宋体" w:eastAsia="宋体" w:cs="宋体"/>
          <w:i w:val="0"/>
          <w:iCs w:val="0"/>
          <w:caps w:val="0"/>
          <w:color w:val="333333"/>
          <w:spacing w:val="0"/>
          <w:kern w:val="0"/>
          <w:sz w:val="28"/>
          <w:szCs w:val="28"/>
          <w:shd w:val="clear" w:fill="FFFFFF"/>
          <w:lang w:val="en-US" w:eastAsia="zh-CN" w:bidi="ar"/>
        </w:rPr>
        <w:t xml:space="preserve">本发明公开了一种面向区块生产者的动态评分与探索利用自适应机制、系统、装置及存储介质。该机制基于区块生产者的行为观测数据，计算对应的动态评分和 </w:t>
      </w:r>
      <w:r>
        <w:rPr>
          <w:rFonts w:hint="default" w:ascii="Times New Roman" w:hAnsi="Times New Roman" w:eastAsia="宋体" w:cs="Times New Roman"/>
          <w:i w:val="0"/>
          <w:iCs w:val="0"/>
          <w:caps w:val="0"/>
          <w:color w:val="333333"/>
          <w:spacing w:val="0"/>
          <w:kern w:val="0"/>
          <w:sz w:val="28"/>
          <w:szCs w:val="28"/>
          <w:shd w:val="clear" w:fill="FFFFFF"/>
          <w:lang w:val="en-US" w:eastAsia="zh-CN" w:bidi="ar"/>
        </w:rPr>
        <w:t xml:space="preserve">reward </w:t>
      </w:r>
      <w:r>
        <w:rPr>
          <w:rFonts w:hint="eastAsia" w:ascii="宋体" w:hAnsi="宋体" w:eastAsia="宋体" w:cs="宋体"/>
          <w:i w:val="0"/>
          <w:iCs w:val="0"/>
          <w:caps w:val="0"/>
          <w:color w:val="333333"/>
          <w:spacing w:val="0"/>
          <w:kern w:val="0"/>
          <w:sz w:val="28"/>
          <w:szCs w:val="28"/>
          <w:shd w:val="clear" w:fill="FFFFFF"/>
          <w:lang w:val="en-US" w:eastAsia="zh-CN" w:bidi="ar"/>
        </w:rPr>
        <w:t xml:space="preserve">学习结果；其中，所述行为观测数据至少包括服务成功率、失败率、异常行为次数、正向行为次数和价值产出信息。进一步地，基于动态评分和 </w:t>
      </w:r>
      <w:r>
        <w:rPr>
          <w:rFonts w:hint="default" w:ascii="Times New Roman" w:hAnsi="Times New Roman" w:eastAsia="宋体" w:cs="Times New Roman"/>
          <w:i w:val="0"/>
          <w:iCs w:val="0"/>
          <w:caps w:val="0"/>
          <w:color w:val="333333"/>
          <w:spacing w:val="0"/>
          <w:kern w:val="0"/>
          <w:sz w:val="28"/>
          <w:szCs w:val="28"/>
          <w:shd w:val="clear" w:fill="FFFFFF"/>
          <w:lang w:val="en-US" w:eastAsia="zh-CN" w:bidi="ar"/>
        </w:rPr>
        <w:t xml:space="preserve">reward </w:t>
      </w:r>
      <w:r>
        <w:rPr>
          <w:rFonts w:hint="eastAsia" w:ascii="宋体" w:hAnsi="宋体" w:eastAsia="宋体" w:cs="宋体"/>
          <w:i w:val="0"/>
          <w:iCs w:val="0"/>
          <w:caps w:val="0"/>
          <w:color w:val="333333"/>
          <w:spacing w:val="0"/>
          <w:kern w:val="0"/>
          <w:sz w:val="28"/>
          <w:szCs w:val="28"/>
          <w:shd w:val="clear" w:fill="FFFFFF"/>
          <w:lang w:val="en-US" w:eastAsia="zh-CN" w:bidi="ar"/>
        </w:rPr>
        <w:t xml:space="preserve">学习结果构造区块生产者的预期收益指标或健康度指标，并结合 </w:t>
      </w:r>
      <w:r>
        <w:rPr>
          <w:rFonts w:hint="default" w:ascii="Times New Roman" w:hAnsi="Times New Roman" w:eastAsia="宋体" w:cs="Times New Roman"/>
          <w:i w:val="0"/>
          <w:iCs w:val="0"/>
          <w:caps w:val="0"/>
          <w:color w:val="333333"/>
          <w:spacing w:val="0"/>
          <w:kern w:val="0"/>
          <w:sz w:val="28"/>
          <w:szCs w:val="28"/>
          <w:shd w:val="clear" w:fill="FFFFFF"/>
          <w:lang w:val="en-US" w:eastAsia="zh-CN" w:bidi="ar"/>
        </w:rPr>
        <w:t>exploration / exploitation</w:t>
      </w:r>
      <w:r>
        <w:rPr>
          <w:rFonts w:hint="eastAsia" w:ascii="宋体" w:hAnsi="宋体" w:eastAsia="宋体" w:cs="宋体"/>
          <w:i w:val="0"/>
          <w:iCs w:val="0"/>
          <w:caps w:val="0"/>
          <w:color w:val="333333"/>
          <w:spacing w:val="0"/>
          <w:kern w:val="0"/>
          <w:sz w:val="28"/>
          <w:szCs w:val="28"/>
          <w:shd w:val="clear" w:fill="FFFFFF"/>
          <w:lang w:val="en-US" w:eastAsia="zh-CN" w:bidi="ar"/>
        </w:rPr>
        <w:t xml:space="preserve"> 分层机制，对样本不足或新加入的区块生产者进行探索评估，对样本充分的区块生产者进行利用评估，从而输出面向区块生产者的排序、筛选、准入、健康评估或调度结果。该方案能够抑制存在高风险行为的区块生产者长期获得优势地位，提升高质量区块生产者的识别精度，并缓解系统长期依赖少数既有区块生产者造成的中心化问题，从而提升区块生产者管理机制的风险控制能力、稳定性和适应性。</w:t>
      </w:r>
    </w:p>
    <w:p>
      <w:pPr>
        <w:keepNext w:val="0"/>
        <w:keepLines w:val="0"/>
        <w:widowControl w:val="0"/>
        <w:kinsoku/>
        <w:wordWrap/>
        <w:overflowPunct/>
        <w:topLinePunct w:val="0"/>
        <w:autoSpaceDE/>
        <w:autoSpaceDN/>
        <w:bidi w:val="0"/>
        <w:adjustRightInd/>
        <w:snapToGrid/>
        <w:spacing w:line="460" w:lineRule="exact"/>
        <w:ind w:firstLine="573"/>
        <w:textAlignment w:val="auto"/>
        <w:rPr>
          <w:rFonts w:hint="default" w:hAnsi="宋体"/>
          <w:kern w:val="0"/>
          <w:sz w:val="28"/>
          <w:szCs w:val="28"/>
          <w:lang w:val="en-US" w:eastAsia="zh-CN"/>
        </w:rPr>
      </w:pPr>
    </w:p>
    <w:p>
      <w:pPr>
        <w:pageBreakBefore/>
        <w:pBdr>
          <w:bottom w:val="single" w:color="auto" w:sz="12" w:space="3"/>
        </w:pBdr>
        <w:spacing w:line="360" w:lineRule="auto"/>
        <w:jc w:val="center"/>
        <w:rPr>
          <w:rFonts w:hAnsi="宋体"/>
          <w:b/>
          <w:bCs/>
          <w:kern w:val="0"/>
          <w:sz w:val="30"/>
          <w:szCs w:val="28"/>
        </w:rPr>
      </w:pPr>
      <w:r>
        <w:rPr>
          <w:rFonts w:hAnsi="宋体"/>
          <w:b/>
          <w:bCs/>
          <w:kern w:val="0"/>
          <w:sz w:val="30"/>
          <w:szCs w:val="28"/>
        </w:rPr>
        <w:t>权利要求书</w:t>
      </w:r>
    </w:p>
    <w:p>
      <w:pPr>
        <w:keepNext w:val="0"/>
        <w:keepLines w:val="0"/>
        <w:widowControl w:val="0"/>
        <w:numPr>
          <w:ilvl w:val="0"/>
          <w:numId w:val="3"/>
        </w:numPr>
        <w:kinsoku/>
        <w:wordWrap/>
        <w:overflowPunct/>
        <w:topLinePunct w:val="0"/>
        <w:autoSpaceDE/>
        <w:autoSpaceDN/>
        <w:bidi w:val="0"/>
        <w:adjustRightInd/>
        <w:snapToGrid/>
        <w:spacing w:line="460" w:lineRule="exact"/>
        <w:ind w:firstLine="573"/>
        <w:textAlignment w:val="auto"/>
        <w:rPr>
          <w:rFonts w:hint="eastAsia" w:hAnsi="宋体"/>
          <w:kern w:val="0"/>
          <w:sz w:val="28"/>
          <w:szCs w:val="28"/>
          <w:lang w:val="en-US" w:eastAsia="zh-CN"/>
        </w:rPr>
      </w:pPr>
      <w:r>
        <w:rPr>
          <w:rFonts w:hint="eastAsia" w:hAnsi="宋体"/>
          <w:kern w:val="0"/>
          <w:sz w:val="28"/>
          <w:szCs w:val="28"/>
          <w:lang w:val="en-US" w:eastAsia="zh-CN"/>
        </w:rPr>
        <w:t>一种面向区块生产者的动态评分与探索利用自适应方法，其特征在于，包括：</w:t>
      </w:r>
    </w:p>
    <w:p>
      <w:pPr>
        <w:keepNext w:val="0"/>
        <w:keepLines w:val="0"/>
        <w:widowControl w:val="0"/>
        <w:kinsoku/>
        <w:wordWrap/>
        <w:overflowPunct/>
        <w:topLinePunct w:val="0"/>
        <w:autoSpaceDE/>
        <w:autoSpaceDN/>
        <w:bidi w:val="0"/>
        <w:adjustRightInd/>
        <w:snapToGrid/>
        <w:spacing w:line="460" w:lineRule="exact"/>
        <w:ind w:firstLine="573"/>
        <w:textAlignment w:val="auto"/>
        <w:rPr>
          <w:rFonts w:hint="eastAsia" w:hAnsi="宋体"/>
          <w:kern w:val="0"/>
          <w:sz w:val="28"/>
          <w:szCs w:val="28"/>
          <w:lang w:val="en-US" w:eastAsia="zh-CN"/>
        </w:rPr>
      </w:pPr>
      <w:r>
        <w:rPr>
          <w:rFonts w:hint="eastAsia" w:hAnsi="宋体"/>
          <w:kern w:val="0"/>
          <w:sz w:val="28"/>
          <w:szCs w:val="28"/>
          <w:lang w:val="en-US" w:eastAsia="zh-CN"/>
        </w:rPr>
        <w:t>获取多个区块生产者的行为观测数据；基于所述行为观测数据，计算各区块生产者的动态评分和 reward 学习结果；</w:t>
      </w:r>
    </w:p>
    <w:p>
      <w:pPr>
        <w:keepNext w:val="0"/>
        <w:keepLines w:val="0"/>
        <w:widowControl w:val="0"/>
        <w:kinsoku/>
        <w:wordWrap/>
        <w:overflowPunct/>
        <w:topLinePunct w:val="0"/>
        <w:autoSpaceDE/>
        <w:autoSpaceDN/>
        <w:bidi w:val="0"/>
        <w:adjustRightInd/>
        <w:snapToGrid/>
        <w:spacing w:line="460" w:lineRule="exact"/>
        <w:ind w:firstLine="573"/>
        <w:textAlignment w:val="auto"/>
        <w:rPr>
          <w:rFonts w:hint="eastAsia" w:hAnsi="宋体"/>
          <w:kern w:val="0"/>
          <w:sz w:val="28"/>
          <w:szCs w:val="28"/>
          <w:lang w:val="en-US" w:eastAsia="zh-CN"/>
        </w:rPr>
      </w:pPr>
      <w:r>
        <w:rPr>
          <w:rFonts w:hint="eastAsia" w:hAnsi="宋体"/>
          <w:kern w:val="0"/>
          <w:sz w:val="28"/>
          <w:szCs w:val="28"/>
          <w:lang w:val="en-US" w:eastAsia="zh-CN"/>
        </w:rPr>
        <w:t>基于所述动态评分和 reward 学习结果，计算各区块生产者的预期收益指标或综合优先级指标；</w:t>
      </w:r>
    </w:p>
    <w:p>
      <w:pPr>
        <w:keepNext w:val="0"/>
        <w:keepLines w:val="0"/>
        <w:widowControl w:val="0"/>
        <w:kinsoku/>
        <w:wordWrap/>
        <w:overflowPunct/>
        <w:topLinePunct w:val="0"/>
        <w:autoSpaceDE/>
        <w:autoSpaceDN/>
        <w:bidi w:val="0"/>
        <w:adjustRightInd/>
        <w:snapToGrid/>
        <w:spacing w:line="460" w:lineRule="exact"/>
        <w:ind w:firstLine="573"/>
        <w:textAlignment w:val="auto"/>
        <w:rPr>
          <w:rFonts w:hint="eastAsia" w:hAnsi="宋体"/>
          <w:kern w:val="0"/>
          <w:sz w:val="28"/>
          <w:szCs w:val="28"/>
          <w:lang w:val="en-US" w:eastAsia="zh-CN"/>
        </w:rPr>
      </w:pPr>
      <w:r>
        <w:rPr>
          <w:rFonts w:hint="eastAsia" w:hAnsi="宋体"/>
          <w:kern w:val="0"/>
          <w:sz w:val="28"/>
          <w:szCs w:val="28"/>
          <w:lang w:val="en-US" w:eastAsia="zh-CN"/>
        </w:rPr>
        <w:t>根据样本充分性将区块生产者分为探索候选集合和利用候选集合，并分别进行探索评估和利用评估；</w:t>
      </w:r>
    </w:p>
    <w:p>
      <w:pPr>
        <w:keepNext w:val="0"/>
        <w:keepLines w:val="0"/>
        <w:widowControl w:val="0"/>
        <w:kinsoku/>
        <w:wordWrap/>
        <w:overflowPunct/>
        <w:topLinePunct w:val="0"/>
        <w:autoSpaceDE/>
        <w:autoSpaceDN/>
        <w:bidi w:val="0"/>
        <w:adjustRightInd/>
        <w:snapToGrid/>
        <w:spacing w:line="460" w:lineRule="exact"/>
        <w:ind w:firstLine="573"/>
        <w:textAlignment w:val="auto"/>
        <w:rPr>
          <w:rFonts w:hint="eastAsia" w:hAnsi="宋体"/>
          <w:kern w:val="0"/>
          <w:sz w:val="28"/>
          <w:szCs w:val="28"/>
          <w:lang w:val="en-US" w:eastAsia="zh-CN"/>
        </w:rPr>
      </w:pPr>
      <w:r>
        <w:rPr>
          <w:rFonts w:hint="eastAsia" w:hAnsi="宋体"/>
          <w:kern w:val="0"/>
          <w:sz w:val="28"/>
          <w:szCs w:val="28"/>
          <w:lang w:val="en-US" w:eastAsia="zh-CN"/>
        </w:rPr>
        <w:t>根据评估结果输出区块生产者排序、健康评估、准入建议或调度结果；</w:t>
      </w:r>
    </w:p>
    <w:p>
      <w:pPr>
        <w:keepNext w:val="0"/>
        <w:keepLines w:val="0"/>
        <w:widowControl w:val="0"/>
        <w:kinsoku/>
        <w:wordWrap/>
        <w:overflowPunct/>
        <w:topLinePunct w:val="0"/>
        <w:autoSpaceDE/>
        <w:autoSpaceDN/>
        <w:bidi w:val="0"/>
        <w:adjustRightInd/>
        <w:snapToGrid/>
        <w:spacing w:line="460" w:lineRule="exact"/>
        <w:ind w:firstLine="573"/>
        <w:textAlignment w:val="auto"/>
        <w:rPr>
          <w:rFonts w:hint="eastAsia" w:hAnsi="宋体"/>
          <w:kern w:val="0"/>
          <w:sz w:val="28"/>
          <w:szCs w:val="28"/>
          <w:lang w:val="en-US" w:eastAsia="zh-CN"/>
        </w:rPr>
      </w:pPr>
      <w:r>
        <w:rPr>
          <w:rFonts w:hint="eastAsia" w:hAnsi="宋体"/>
          <w:kern w:val="0"/>
          <w:sz w:val="28"/>
          <w:szCs w:val="28"/>
          <w:lang w:val="en-US" w:eastAsia="zh-CN"/>
        </w:rPr>
        <w:t>根据反馈结果持续更新所述行为观测数据、动态评分及 reward 学习结果</w:t>
      </w:r>
    </w:p>
    <w:p>
      <w:pPr>
        <w:keepNext w:val="0"/>
        <w:keepLines w:val="0"/>
        <w:widowControl w:val="0"/>
        <w:numPr>
          <w:ilvl w:val="0"/>
          <w:numId w:val="3"/>
        </w:numPr>
        <w:kinsoku/>
        <w:wordWrap/>
        <w:overflowPunct/>
        <w:topLinePunct w:val="0"/>
        <w:autoSpaceDE/>
        <w:autoSpaceDN/>
        <w:bidi w:val="0"/>
        <w:adjustRightInd/>
        <w:snapToGrid/>
        <w:spacing w:line="460" w:lineRule="exact"/>
        <w:ind w:left="0" w:leftChars="0" w:firstLine="573" w:firstLineChars="0"/>
        <w:textAlignment w:val="auto"/>
        <w:rPr>
          <w:rFonts w:hint="default" w:hAnsi="宋体"/>
          <w:kern w:val="0"/>
          <w:sz w:val="28"/>
          <w:szCs w:val="28"/>
          <w:lang w:val="en-US" w:eastAsia="zh-CN"/>
        </w:rPr>
      </w:pPr>
      <w:r>
        <w:rPr>
          <w:rFonts w:hint="eastAsia" w:hAnsi="宋体"/>
          <w:kern w:val="0"/>
          <w:sz w:val="28"/>
          <w:szCs w:val="28"/>
          <w:lang w:val="en-US" w:eastAsia="zh-CN"/>
        </w:rPr>
        <w:t>根据权利要求1所述的方法，其特征在于，所述行为观测数据至少包括服务成功次数、服务失败次数、异常行为次数、正向行为次数和价值产出信息。</w:t>
      </w:r>
    </w:p>
    <w:p>
      <w:pPr>
        <w:keepNext w:val="0"/>
        <w:keepLines w:val="0"/>
        <w:widowControl w:val="0"/>
        <w:numPr>
          <w:ilvl w:val="0"/>
          <w:numId w:val="3"/>
        </w:numPr>
        <w:kinsoku/>
        <w:wordWrap/>
        <w:overflowPunct/>
        <w:topLinePunct w:val="0"/>
        <w:autoSpaceDE/>
        <w:autoSpaceDN/>
        <w:bidi w:val="0"/>
        <w:adjustRightInd/>
        <w:snapToGrid/>
        <w:spacing w:line="460" w:lineRule="exact"/>
        <w:ind w:left="0" w:leftChars="0" w:firstLine="573" w:firstLineChars="0"/>
        <w:textAlignment w:val="auto"/>
        <w:rPr>
          <w:rFonts w:hAnsi="宋体"/>
          <w:b/>
          <w:bCs/>
          <w:kern w:val="0"/>
          <w:sz w:val="30"/>
          <w:szCs w:val="28"/>
        </w:rPr>
      </w:pPr>
      <w:r>
        <w:rPr>
          <w:rFonts w:hint="eastAsia" w:hAnsi="宋体"/>
          <w:kern w:val="0"/>
          <w:sz w:val="28"/>
          <w:szCs w:val="28"/>
          <w:lang w:val="en-US" w:eastAsia="zh-CN"/>
        </w:rPr>
        <w:t>根据权利要求1所述的方法，其特征在于，所述动态评分由可靠性因子、失败惩罚因子、风险惩罚因子、正向奖励因子和价值奖励因子中的至少两项组合得到，用于表征区块生产者的长期信誉水平。</w:t>
      </w:r>
    </w:p>
    <w:p>
      <w:pPr>
        <w:keepNext w:val="0"/>
        <w:keepLines w:val="0"/>
        <w:widowControl w:val="0"/>
        <w:numPr>
          <w:ilvl w:val="0"/>
          <w:numId w:val="3"/>
        </w:numPr>
        <w:kinsoku/>
        <w:wordWrap/>
        <w:overflowPunct/>
        <w:topLinePunct w:val="0"/>
        <w:autoSpaceDE/>
        <w:autoSpaceDN/>
        <w:bidi w:val="0"/>
        <w:adjustRightInd/>
        <w:snapToGrid/>
        <w:spacing w:line="460" w:lineRule="exact"/>
        <w:ind w:left="0" w:leftChars="0" w:firstLine="573" w:firstLineChars="0"/>
        <w:textAlignment w:val="auto"/>
        <w:rPr>
          <w:rFonts w:hAnsi="宋体"/>
          <w:b/>
          <w:bCs/>
          <w:kern w:val="0"/>
          <w:sz w:val="30"/>
          <w:szCs w:val="28"/>
        </w:rPr>
      </w:pPr>
      <w:r>
        <w:rPr>
          <w:rFonts w:hint="eastAsia" w:ascii="宋体" w:hAnsi="宋体" w:eastAsia="宋体" w:cs="宋体"/>
          <w:i w:val="0"/>
          <w:iCs w:val="0"/>
          <w:caps w:val="0"/>
          <w:color w:val="333333"/>
          <w:spacing w:val="0"/>
          <w:kern w:val="0"/>
          <w:sz w:val="28"/>
          <w:szCs w:val="28"/>
          <w:shd w:val="clear" w:fill="FFFFFF"/>
          <w:lang w:val="en-US" w:eastAsia="zh-CN" w:bidi="ar"/>
        </w:rPr>
        <w:t>根据权利要求3所述的方法，其特征在于，当区块生产者产生异常行为时，动态评分的下降速度快于产生正向行为时的上升速度。</w:t>
      </w:r>
    </w:p>
    <w:p>
      <w:pPr>
        <w:keepNext w:val="0"/>
        <w:keepLines w:val="0"/>
        <w:widowControl w:val="0"/>
        <w:numPr>
          <w:ilvl w:val="0"/>
          <w:numId w:val="3"/>
        </w:numPr>
        <w:kinsoku/>
        <w:wordWrap/>
        <w:overflowPunct/>
        <w:topLinePunct w:val="0"/>
        <w:autoSpaceDE/>
        <w:autoSpaceDN/>
        <w:bidi w:val="0"/>
        <w:adjustRightInd/>
        <w:snapToGrid/>
        <w:spacing w:line="460" w:lineRule="exact"/>
        <w:ind w:left="0" w:leftChars="0" w:firstLine="573" w:firstLineChars="0"/>
        <w:textAlignment w:val="auto"/>
        <w:rPr>
          <w:rFonts w:hint="default" w:hAnsi="宋体"/>
          <w:kern w:val="0"/>
          <w:sz w:val="28"/>
          <w:szCs w:val="28"/>
          <w:lang w:val="en-US" w:eastAsia="zh-CN"/>
        </w:rPr>
      </w:pPr>
      <w:r>
        <w:rPr>
          <w:rFonts w:hint="eastAsia" w:hAnsi="宋体"/>
          <w:kern w:val="0"/>
          <w:sz w:val="28"/>
          <w:szCs w:val="28"/>
          <w:lang w:val="en-US" w:eastAsia="zh-CN"/>
        </w:rPr>
        <w:t>根据权利要求1所述的方法，其特征在于，所述 reward 学习结果基于服务成功率、失败率、价值产出、正向行为和异常行为惩罚计算，用于表征区块生产者的近期收益质量。</w:t>
      </w:r>
    </w:p>
    <w:p>
      <w:pPr>
        <w:keepNext w:val="0"/>
        <w:keepLines w:val="0"/>
        <w:widowControl w:val="0"/>
        <w:numPr>
          <w:ilvl w:val="0"/>
          <w:numId w:val="3"/>
        </w:numPr>
        <w:kinsoku/>
        <w:wordWrap/>
        <w:overflowPunct/>
        <w:topLinePunct w:val="0"/>
        <w:autoSpaceDE/>
        <w:autoSpaceDN/>
        <w:bidi w:val="0"/>
        <w:adjustRightInd/>
        <w:snapToGrid/>
        <w:spacing w:line="460" w:lineRule="exact"/>
        <w:ind w:left="0" w:leftChars="0" w:firstLine="573" w:firstLineChars="0"/>
        <w:textAlignment w:val="auto"/>
        <w:rPr>
          <w:rFonts w:hint="default" w:hAnsi="宋体"/>
          <w:kern w:val="0"/>
          <w:sz w:val="28"/>
          <w:szCs w:val="28"/>
          <w:lang w:val="en-US" w:eastAsia="zh-CN"/>
        </w:rPr>
      </w:pPr>
      <w:r>
        <w:rPr>
          <w:rFonts w:hint="eastAsia" w:hAnsi="宋体"/>
          <w:kern w:val="0"/>
          <w:sz w:val="28"/>
          <w:szCs w:val="28"/>
          <w:lang w:val="en-US" w:eastAsia="zh-CN"/>
        </w:rPr>
        <w:t>根据权利要求1所述的方法，其特征在于，所述预期收益指标由动态评分与 reward 学习结果联合计算得到，其中动态评分反映长期信誉水平，reward 学习结果反映近期收益质量。</w:t>
      </w:r>
    </w:p>
    <w:p>
      <w:pPr>
        <w:keepNext w:val="0"/>
        <w:keepLines w:val="0"/>
        <w:widowControl w:val="0"/>
        <w:numPr>
          <w:ilvl w:val="0"/>
          <w:numId w:val="3"/>
        </w:numPr>
        <w:kinsoku/>
        <w:wordWrap/>
        <w:overflowPunct/>
        <w:topLinePunct w:val="0"/>
        <w:autoSpaceDE/>
        <w:autoSpaceDN/>
        <w:bidi w:val="0"/>
        <w:adjustRightInd/>
        <w:snapToGrid/>
        <w:spacing w:line="460" w:lineRule="exact"/>
        <w:ind w:left="0" w:leftChars="0" w:firstLine="573" w:firstLineChars="0"/>
        <w:textAlignment w:val="auto"/>
        <w:rPr>
          <w:rFonts w:hint="eastAsia" w:hAnsi="宋体"/>
          <w:kern w:val="0"/>
          <w:sz w:val="28"/>
          <w:szCs w:val="28"/>
          <w:lang w:val="en-US" w:eastAsia="zh-CN"/>
        </w:rPr>
      </w:pPr>
      <w:r>
        <w:rPr>
          <w:rFonts w:hint="eastAsia" w:hAnsi="宋体"/>
          <w:kern w:val="0"/>
          <w:sz w:val="28"/>
          <w:szCs w:val="28"/>
          <w:lang w:val="en-US" w:eastAsia="zh-CN"/>
        </w:rPr>
        <w:t>根据权利要求1所述的方法，其特征在于，当区块生产者的样本数低于预设阈值或注册时间处于预设宽限期内时，将其纳入探索候选集合。</w:t>
      </w:r>
    </w:p>
    <w:p>
      <w:pPr>
        <w:keepNext w:val="0"/>
        <w:keepLines w:val="0"/>
        <w:widowControl w:val="0"/>
        <w:numPr>
          <w:ilvl w:val="0"/>
          <w:numId w:val="3"/>
        </w:numPr>
        <w:kinsoku/>
        <w:wordWrap/>
        <w:overflowPunct/>
        <w:topLinePunct w:val="0"/>
        <w:autoSpaceDE/>
        <w:autoSpaceDN/>
        <w:bidi w:val="0"/>
        <w:adjustRightInd/>
        <w:snapToGrid/>
        <w:spacing w:line="460" w:lineRule="exact"/>
        <w:ind w:left="0" w:leftChars="0" w:firstLine="573" w:firstLineChars="0"/>
        <w:textAlignment w:val="auto"/>
        <w:rPr>
          <w:rFonts w:hint="eastAsia" w:hAnsi="宋体"/>
          <w:kern w:val="0"/>
          <w:sz w:val="28"/>
          <w:szCs w:val="28"/>
          <w:lang w:val="en-US" w:eastAsia="zh-CN"/>
        </w:rPr>
      </w:pPr>
      <w:r>
        <w:rPr>
          <w:rFonts w:hint="eastAsia" w:hAnsi="宋体"/>
          <w:kern w:val="0"/>
          <w:sz w:val="28"/>
          <w:szCs w:val="28"/>
          <w:lang w:val="en-US" w:eastAsia="zh-CN"/>
        </w:rPr>
        <w:t>根据权利要求1所述的方法，其特征在于，探索评估的探索分值由预期收益、样本不足补偿项、新生产者奖励项和不确定性权重项中的至少一项组合得到。</w:t>
      </w:r>
    </w:p>
    <w:p>
      <w:pPr>
        <w:keepNext w:val="0"/>
        <w:keepLines w:val="0"/>
        <w:widowControl w:val="0"/>
        <w:numPr>
          <w:ilvl w:val="0"/>
          <w:numId w:val="3"/>
        </w:numPr>
        <w:kinsoku/>
        <w:wordWrap/>
        <w:overflowPunct/>
        <w:topLinePunct w:val="0"/>
        <w:autoSpaceDE/>
        <w:autoSpaceDN/>
        <w:bidi w:val="0"/>
        <w:adjustRightInd/>
        <w:snapToGrid/>
        <w:spacing w:line="460" w:lineRule="exact"/>
        <w:ind w:left="0" w:leftChars="0" w:firstLine="573" w:firstLineChars="0"/>
        <w:textAlignment w:val="auto"/>
        <w:rPr>
          <w:rFonts w:hint="eastAsia" w:hAnsi="宋体"/>
          <w:kern w:val="0"/>
          <w:sz w:val="28"/>
          <w:szCs w:val="28"/>
          <w:lang w:val="en-US" w:eastAsia="zh-CN"/>
        </w:rPr>
      </w:pPr>
      <w:r>
        <w:rPr>
          <w:rFonts w:hint="eastAsia" w:hAnsi="宋体"/>
          <w:kern w:val="0"/>
          <w:sz w:val="28"/>
          <w:szCs w:val="28"/>
          <w:lang w:val="en-US" w:eastAsia="zh-CN"/>
        </w:rPr>
        <w:t>根据权利要求1所述的方法，其特征在于，利用评估的利用分值包含竞争集中度惩罚，当区块生产者的流量份额高于预设阈值时，降低其利用分值。</w:t>
      </w:r>
    </w:p>
    <w:p>
      <w:pPr>
        <w:keepNext w:val="0"/>
        <w:keepLines w:val="0"/>
        <w:widowControl w:val="0"/>
        <w:numPr>
          <w:ilvl w:val="0"/>
          <w:numId w:val="3"/>
        </w:numPr>
        <w:kinsoku/>
        <w:wordWrap/>
        <w:overflowPunct/>
        <w:topLinePunct w:val="0"/>
        <w:autoSpaceDE/>
        <w:autoSpaceDN/>
        <w:bidi w:val="0"/>
        <w:adjustRightInd/>
        <w:snapToGrid/>
        <w:spacing w:line="460" w:lineRule="exact"/>
        <w:ind w:left="0" w:leftChars="0" w:firstLine="573" w:firstLineChars="0"/>
        <w:textAlignment w:val="auto"/>
        <w:rPr>
          <w:rFonts w:hint="default" w:hAnsi="宋体"/>
          <w:kern w:val="0"/>
          <w:sz w:val="28"/>
          <w:szCs w:val="28"/>
          <w:lang w:val="en-US" w:eastAsia="zh-CN"/>
        </w:rPr>
      </w:pPr>
      <w:r>
        <w:rPr>
          <w:rFonts w:hint="eastAsia" w:hAnsi="宋体"/>
          <w:kern w:val="0"/>
          <w:sz w:val="28"/>
          <w:szCs w:val="28"/>
          <w:lang w:val="en-US" w:eastAsia="zh-CN"/>
        </w:rPr>
        <w:t>一种面向区块生产者的动态评分与探索利用自适应系统，其特征在于，包括：数据采集模块、区块生产者画像模块、reward 学习模块、分层控制模块、结果输出模块和指标记录模块，所述系统实现权利要求1至9中任一项所述的方法。</w:t>
      </w:r>
    </w:p>
    <w:p>
      <w:pPr>
        <w:keepNext w:val="0"/>
        <w:keepLines w:val="0"/>
        <w:widowControl w:val="0"/>
        <w:numPr>
          <w:ilvl w:val="0"/>
          <w:numId w:val="3"/>
        </w:numPr>
        <w:kinsoku/>
        <w:wordWrap/>
        <w:overflowPunct/>
        <w:topLinePunct w:val="0"/>
        <w:autoSpaceDE/>
        <w:autoSpaceDN/>
        <w:bidi w:val="0"/>
        <w:adjustRightInd/>
        <w:snapToGrid/>
        <w:spacing w:line="460" w:lineRule="exact"/>
        <w:ind w:left="0" w:leftChars="0" w:firstLine="573" w:firstLineChars="0"/>
        <w:textAlignment w:val="auto"/>
        <w:rPr>
          <w:rFonts w:hint="default" w:hAnsi="宋体"/>
          <w:kern w:val="0"/>
          <w:sz w:val="28"/>
          <w:szCs w:val="28"/>
          <w:lang w:val="en-US" w:eastAsia="zh-CN"/>
        </w:rPr>
      </w:pPr>
      <w:r>
        <w:rPr>
          <w:rFonts w:hint="eastAsia" w:hAnsi="宋体"/>
          <w:kern w:val="0"/>
          <w:sz w:val="28"/>
          <w:szCs w:val="28"/>
          <w:lang w:val="en-US" w:eastAsia="zh-CN"/>
        </w:rPr>
        <w:t>一种电子装置，其特征在于，包括处理器和存储器，所述存储器中存储有计算机程序，所述计算机程序被所述处理器执行时实现权利要求1至9中任一项所述的方法。</w:t>
      </w:r>
    </w:p>
    <w:p>
      <w:pPr>
        <w:keepNext w:val="0"/>
        <w:keepLines w:val="0"/>
        <w:widowControl w:val="0"/>
        <w:numPr>
          <w:ilvl w:val="0"/>
          <w:numId w:val="3"/>
        </w:numPr>
        <w:kinsoku/>
        <w:wordWrap/>
        <w:overflowPunct/>
        <w:topLinePunct w:val="0"/>
        <w:autoSpaceDE/>
        <w:autoSpaceDN/>
        <w:bidi w:val="0"/>
        <w:adjustRightInd/>
        <w:snapToGrid/>
        <w:spacing w:line="460" w:lineRule="exact"/>
        <w:ind w:left="0" w:leftChars="0" w:firstLine="573" w:firstLineChars="0"/>
        <w:textAlignment w:val="auto"/>
        <w:rPr>
          <w:rFonts w:hint="default" w:hAnsi="宋体"/>
          <w:kern w:val="0"/>
          <w:sz w:val="28"/>
          <w:szCs w:val="28"/>
          <w:lang w:val="en-US" w:eastAsia="zh-CN"/>
        </w:rPr>
        <w:sectPr>
          <w:footerReference r:id="rId3" w:type="default"/>
          <w:pgSz w:w="11907" w:h="16840"/>
          <w:pgMar w:top="1418" w:right="947" w:bottom="851" w:left="1418" w:header="0" w:footer="851" w:gutter="0"/>
          <w:pgNumType w:start="1"/>
          <w:cols w:space="720" w:num="1"/>
          <w:docGrid w:linePitch="432" w:charSpace="0"/>
        </w:sectPr>
      </w:pPr>
      <w:r>
        <w:rPr>
          <w:rFonts w:hint="eastAsia" w:hAnsi="宋体"/>
          <w:kern w:val="0"/>
          <w:sz w:val="28"/>
          <w:szCs w:val="28"/>
          <w:lang w:val="en-US" w:eastAsia="zh-CN"/>
        </w:rPr>
        <w:t>一种计算机可读存储介质，其上存储有计算机程序，其特征在于，所述计算机程序被处理器执行时实现权利要求1至9中任一项所述的方法。</w:t>
      </w:r>
    </w:p>
    <w:p>
      <w:pPr>
        <w:pageBreakBefore/>
        <w:pBdr>
          <w:bottom w:val="single" w:color="auto" w:sz="12" w:space="1"/>
        </w:pBdr>
        <w:spacing w:line="360" w:lineRule="auto"/>
        <w:jc w:val="center"/>
        <w:rPr>
          <w:b/>
          <w:bCs/>
          <w:kern w:val="0"/>
          <w:sz w:val="30"/>
          <w:szCs w:val="28"/>
        </w:rPr>
      </w:pPr>
      <w:r>
        <w:rPr>
          <w:rFonts w:hAnsi="宋体"/>
          <w:b/>
          <w:bCs/>
          <w:kern w:val="0"/>
          <w:sz w:val="30"/>
          <w:szCs w:val="28"/>
        </w:rPr>
        <w:t>说明书</w:t>
      </w:r>
    </w:p>
    <w:p>
      <w:pPr>
        <w:spacing w:before="240" w:beforeLines="100" w:line="360" w:lineRule="auto"/>
        <w:jc w:val="center"/>
        <w:rPr>
          <w:rFonts w:hint="eastAsia" w:hAnsi="宋体"/>
          <w:b/>
          <w:bCs/>
          <w:kern w:val="0"/>
          <w:sz w:val="30"/>
          <w:szCs w:val="28"/>
          <w:lang w:eastAsia="zh-CN"/>
        </w:rPr>
      </w:pPr>
      <w:r>
        <w:rPr>
          <w:rFonts w:hint="eastAsia" w:hAnsi="宋体"/>
          <w:b/>
          <w:bCs/>
          <w:kern w:val="0"/>
          <w:sz w:val="30"/>
          <w:szCs w:val="28"/>
          <w:lang w:eastAsia="zh-CN"/>
        </w:rPr>
        <w:t>一种面向区块生产者的动态评分与探索利用</w:t>
      </w:r>
    </w:p>
    <w:p>
      <w:pPr>
        <w:spacing w:before="240" w:beforeLines="100" w:line="360" w:lineRule="auto"/>
        <w:jc w:val="center"/>
        <w:rPr>
          <w:rFonts w:hint="default" w:eastAsia="宋体"/>
          <w:b/>
          <w:bCs/>
          <w:kern w:val="0"/>
          <w:sz w:val="30"/>
          <w:szCs w:val="28"/>
          <w:lang w:val="en-US" w:eastAsia="zh-CN"/>
        </w:rPr>
      </w:pPr>
      <w:r>
        <w:rPr>
          <w:rFonts w:hint="eastAsia" w:hAnsi="宋体"/>
          <w:b/>
          <w:bCs/>
          <w:kern w:val="0"/>
          <w:sz w:val="30"/>
          <w:szCs w:val="28"/>
          <w:lang w:eastAsia="zh-CN"/>
        </w:rPr>
        <w:t>自适应机制、系统、装置及存储介质</w:t>
      </w:r>
    </w:p>
    <w:p>
      <w:pPr>
        <w:spacing w:line="360" w:lineRule="auto"/>
        <w:jc w:val="center"/>
        <w:rPr>
          <w:kern w:val="0"/>
          <w:sz w:val="28"/>
          <w:szCs w:val="28"/>
        </w:rPr>
      </w:pPr>
    </w:p>
    <w:p>
      <w:pPr>
        <w:spacing w:line="360" w:lineRule="auto"/>
        <w:rPr>
          <w:kern w:val="0"/>
          <w:sz w:val="30"/>
          <w:szCs w:val="28"/>
          <w:u w:val="single"/>
        </w:rPr>
      </w:pPr>
      <w:r>
        <w:rPr>
          <w:rFonts w:hAnsi="宋体"/>
          <w:kern w:val="0"/>
          <w:sz w:val="30"/>
          <w:szCs w:val="28"/>
          <w:u w:val="single"/>
        </w:rPr>
        <w:t>技术领域</w:t>
      </w:r>
    </w:p>
    <w:p>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rPr>
          <w:kern w:val="0"/>
          <w:sz w:val="28"/>
          <w:szCs w:val="28"/>
        </w:rPr>
      </w:pPr>
      <w:r>
        <w:rPr>
          <w:rFonts w:hint="eastAsia" w:hAnsi="宋体"/>
          <w:kern w:val="0"/>
          <w:sz w:val="28"/>
          <w:szCs w:val="28"/>
          <w:lang w:val="en-US" w:eastAsia="zh-CN"/>
        </w:rPr>
        <w:t>本发明涉及区块链交易处理、区块构建、智能调度和系统健康评估技术领域，尤其涉及一种面向区块生产者的动态评分、reward （回报）学习以及 exploration / exploitation（探索/利用） 自适应机制的方法、系统、装置及存储介质。</w:t>
      </w:r>
    </w:p>
    <w:p>
      <w:pPr>
        <w:spacing w:line="360" w:lineRule="auto"/>
        <w:rPr>
          <w:b/>
          <w:bCs/>
          <w:kern w:val="0"/>
          <w:sz w:val="28"/>
          <w:szCs w:val="28"/>
          <w:u w:val="single"/>
        </w:rPr>
      </w:pPr>
    </w:p>
    <w:p>
      <w:pPr>
        <w:spacing w:line="360" w:lineRule="auto"/>
        <w:rPr>
          <w:rFonts w:ascii="Arial" w:hAnsi="Arial" w:cs="Arial"/>
          <w:color w:val="333333"/>
          <w:sz w:val="16"/>
          <w:szCs w:val="16"/>
          <w:shd w:val="clear" w:color="auto" w:fill="FFFFFF"/>
        </w:rPr>
      </w:pPr>
      <w:r>
        <w:rPr>
          <w:rFonts w:hAnsi="宋体"/>
          <w:kern w:val="0"/>
          <w:sz w:val="30"/>
          <w:szCs w:val="28"/>
          <w:u w:val="single"/>
        </w:rPr>
        <w:t>背景技术</w:t>
      </w:r>
    </w:p>
    <w:p>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rPr>
          <w:rFonts w:hint="eastAsia" w:hAnsi="宋体"/>
          <w:kern w:val="0"/>
          <w:sz w:val="28"/>
          <w:szCs w:val="28"/>
          <w:lang w:val="en-US" w:eastAsia="zh-CN"/>
        </w:rPr>
      </w:pPr>
      <w:r>
        <w:rPr>
          <w:rFonts w:hint="eastAsia" w:hAnsi="宋体"/>
          <w:kern w:val="0"/>
          <w:sz w:val="28"/>
          <w:szCs w:val="28"/>
          <w:lang w:val="en-US" w:eastAsia="zh-CN"/>
        </w:rPr>
        <w:t>当前区块链领域已经存在一些促进区块生产者去中心化的订单流共享、提示传播或返还机制，例如 MEV共享（MEV</w:t>
      </w:r>
      <w:r>
        <w:rPr>
          <w:rFonts w:hint="default" w:hAnsi="宋体"/>
          <w:kern w:val="0"/>
          <w:sz w:val="28"/>
          <w:szCs w:val="28"/>
          <w:lang w:val="en-US" w:eastAsia="zh-CN"/>
        </w:rPr>
        <w:t xml:space="preserve"> Share)</w:t>
      </w:r>
      <w:r>
        <w:rPr>
          <w:rFonts w:hint="eastAsia" w:hAnsi="宋体"/>
          <w:kern w:val="0"/>
          <w:sz w:val="28"/>
          <w:szCs w:val="28"/>
          <w:lang w:val="en-US" w:eastAsia="zh-CN"/>
        </w:rPr>
        <w:t xml:space="preserve"> 一类方案。该类方案通常更关注交易信息的共享方式、暴露粒度和交互路径，而对于底层参与服务的 builder</w:t>
      </w:r>
      <w:r>
        <w:rPr>
          <w:rFonts w:hint="default" w:hAnsi="宋体"/>
          <w:kern w:val="0"/>
          <w:sz w:val="28"/>
          <w:szCs w:val="28"/>
          <w:lang w:val="en-US" w:eastAsia="zh-CN"/>
        </w:rPr>
        <w:t>, validator</w:t>
      </w:r>
      <w:r>
        <w:rPr>
          <w:rFonts w:hint="eastAsia" w:hAnsi="宋体"/>
          <w:kern w:val="0"/>
          <w:sz w:val="28"/>
          <w:szCs w:val="28"/>
          <w:lang w:val="en-US" w:eastAsia="zh-CN"/>
        </w:rPr>
        <w:t xml:space="preserve"> 或 block producer，往往缺少一套独立、可持续学习、可用于长期管理的评价与调度机制。</w:t>
      </w:r>
    </w:p>
    <w:p>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rPr>
          <w:rFonts w:hint="eastAsia" w:hAnsi="宋体"/>
          <w:kern w:val="0"/>
          <w:sz w:val="28"/>
          <w:szCs w:val="28"/>
          <w:lang w:val="en-US" w:eastAsia="zh-CN"/>
        </w:rPr>
      </w:pPr>
      <w:r>
        <w:rPr>
          <w:rFonts w:hint="eastAsia" w:hAnsi="宋体"/>
          <w:kern w:val="0"/>
          <w:sz w:val="28"/>
          <w:szCs w:val="28"/>
          <w:lang w:val="en-US" w:eastAsia="zh-CN"/>
        </w:rPr>
        <w:t>然而，在现有技术中，对于区块生产者的处理方式通常较为粗粒度，存在缺乏面向区块生产者的长期动态评价机制，无法同时反映区块生产者的长期信誉和近期状态变化，难以发现潜在高质量区块生产者等问题。</w:t>
      </w:r>
    </w:p>
    <w:p>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hAnsi="宋体"/>
          <w:kern w:val="0"/>
          <w:sz w:val="28"/>
          <w:szCs w:val="28"/>
          <w:lang w:val="en-US" w:eastAsia="zh-CN"/>
        </w:rPr>
      </w:pPr>
    </w:p>
    <w:p>
      <w:pPr>
        <w:spacing w:line="360" w:lineRule="auto"/>
        <w:rPr>
          <w:rFonts w:hint="eastAsia"/>
          <w:kern w:val="0"/>
          <w:sz w:val="28"/>
          <w:szCs w:val="28"/>
        </w:rPr>
      </w:pPr>
      <w:r>
        <w:rPr>
          <w:rFonts w:hAnsi="宋体"/>
          <w:kern w:val="0"/>
          <w:sz w:val="30"/>
          <w:szCs w:val="28"/>
          <w:u w:val="single"/>
        </w:rPr>
        <w:t>发明内容</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eastAsia"/>
          <w:kern w:val="0"/>
          <w:sz w:val="28"/>
          <w:szCs w:val="28"/>
        </w:rPr>
      </w:pPr>
      <w:r>
        <w:rPr>
          <w:rFonts w:hint="eastAsia"/>
          <w:kern w:val="0"/>
          <w:sz w:val="28"/>
          <w:szCs w:val="28"/>
        </w:rPr>
        <w:t xml:space="preserve">本发明的目的在于提供一种面向区块生产者的动态评分与探索利用自适应机制，通过构建基于行为画像的区块生产者动态评分机制、基于 reward </w:t>
      </w:r>
      <w:r>
        <w:rPr>
          <w:rFonts w:hint="eastAsia"/>
          <w:kern w:val="0"/>
          <w:sz w:val="28"/>
          <w:szCs w:val="28"/>
          <w:lang w:eastAsia="zh-CN"/>
        </w:rPr>
        <w:t>（回报）</w:t>
      </w:r>
      <w:r>
        <w:rPr>
          <w:rFonts w:hint="eastAsia"/>
          <w:kern w:val="0"/>
          <w:sz w:val="28"/>
          <w:szCs w:val="28"/>
        </w:rPr>
        <w:t>的收益学习机制，以及基于 exploration / exploitation</w:t>
      </w:r>
      <w:r>
        <w:rPr>
          <w:rFonts w:hint="default"/>
          <w:kern w:val="0"/>
          <w:sz w:val="28"/>
          <w:szCs w:val="28"/>
          <w:lang w:val="en-US"/>
        </w:rPr>
        <w:t xml:space="preserve"> </w:t>
      </w:r>
      <w:r>
        <w:rPr>
          <w:rFonts w:hint="eastAsia"/>
          <w:kern w:val="0"/>
          <w:sz w:val="28"/>
          <w:szCs w:val="28"/>
          <w:lang w:val="en-US" w:eastAsia="zh-CN"/>
        </w:rPr>
        <w:t>（探索/利用）</w:t>
      </w:r>
      <w:bookmarkStart w:id="2" w:name="_GoBack"/>
      <w:bookmarkEnd w:id="2"/>
      <w:r>
        <w:rPr>
          <w:rFonts w:hint="eastAsia"/>
          <w:kern w:val="0"/>
          <w:sz w:val="28"/>
          <w:szCs w:val="28"/>
        </w:rPr>
        <w:t xml:space="preserve"> 的分层机制，实现对区块生产者进行持续的、可在线更新的长期信誉评估；利用近期 reward 学习结果反映区块生产者的短期状态和收益质量变化；通过 exploration / exploitation 机制解决新加入区块生产者的冷启动问题，并降低长期中心化风险；输出可用于健康评估、准入控制、资源调度、策略排序或业务选择的统一指标结果。</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eastAsia"/>
          <w:kern w:val="0"/>
          <w:sz w:val="28"/>
          <w:szCs w:val="28"/>
          <w:lang w:eastAsia="zh-CN"/>
        </w:rPr>
      </w:pPr>
      <w:r>
        <w:rPr>
          <w:rFonts w:hint="eastAsia"/>
          <w:kern w:val="0"/>
          <w:sz w:val="28"/>
          <w:szCs w:val="28"/>
        </w:rPr>
        <w:t>为实现上述目的，本发明</w:t>
      </w:r>
      <w:r>
        <w:rPr>
          <w:rFonts w:hint="eastAsia"/>
          <w:kern w:val="0"/>
          <w:sz w:val="28"/>
          <w:szCs w:val="28"/>
          <w:lang w:eastAsia="zh-CN"/>
        </w:rPr>
        <w:t>的步骤包括：</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eastAsia"/>
          <w:kern w:val="0"/>
          <w:sz w:val="28"/>
          <w:szCs w:val="28"/>
          <w:lang w:val="en-US" w:eastAsia="zh-CN"/>
        </w:rPr>
      </w:pPr>
      <w:r>
        <w:rPr>
          <w:rFonts w:hint="eastAsia"/>
          <w:kern w:val="0"/>
          <w:sz w:val="28"/>
          <w:szCs w:val="28"/>
          <w:lang w:eastAsia="zh-CN"/>
        </w:rPr>
        <w:t>获取多个区块生产者的行为观测数据</w:t>
      </w:r>
      <w:r>
        <w:rPr>
          <w:rFonts w:hint="eastAsia"/>
          <w:kern w:val="0"/>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eastAsia"/>
          <w:kern w:val="0"/>
          <w:sz w:val="28"/>
          <w:szCs w:val="28"/>
          <w:lang w:val="en-US" w:eastAsia="zh-CN"/>
        </w:rPr>
      </w:pPr>
      <w:r>
        <w:rPr>
          <w:rFonts w:hint="eastAsia"/>
          <w:kern w:val="0"/>
          <w:sz w:val="28"/>
          <w:szCs w:val="28"/>
          <w:lang w:val="en-US" w:eastAsia="zh-CN"/>
        </w:rPr>
        <w:t>基于所述行为观测数据，计算各区块生产者的动态评分；</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eastAsia"/>
          <w:kern w:val="0"/>
          <w:sz w:val="28"/>
          <w:szCs w:val="28"/>
          <w:lang w:val="en-US" w:eastAsia="zh-CN"/>
        </w:rPr>
      </w:pPr>
      <w:r>
        <w:rPr>
          <w:rFonts w:hint="eastAsia"/>
          <w:kern w:val="0"/>
          <w:sz w:val="28"/>
          <w:szCs w:val="28"/>
          <w:lang w:val="en-US" w:eastAsia="zh-CN"/>
        </w:rPr>
        <w:t>基于所述行为观测数据，计算各区块生产者的 reward 学习结果；</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eastAsia"/>
          <w:kern w:val="0"/>
          <w:sz w:val="28"/>
          <w:szCs w:val="28"/>
          <w:lang w:val="en-US" w:eastAsia="zh-CN"/>
        </w:rPr>
      </w:pPr>
      <w:r>
        <w:rPr>
          <w:rFonts w:hint="eastAsia"/>
          <w:kern w:val="0"/>
          <w:sz w:val="28"/>
          <w:szCs w:val="28"/>
          <w:lang w:val="en-US" w:eastAsia="zh-CN"/>
        </w:rPr>
        <w:t>基于所述动态评分和 reward 学习结果，计算各区块生产者的预期收益指标、健康度指标或综合优先级指标；</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eastAsia"/>
          <w:kern w:val="0"/>
          <w:sz w:val="28"/>
          <w:szCs w:val="28"/>
          <w:lang w:val="en-US" w:eastAsia="zh-CN"/>
        </w:rPr>
      </w:pPr>
      <w:r>
        <w:rPr>
          <w:rFonts w:hint="eastAsia"/>
          <w:kern w:val="0"/>
          <w:sz w:val="28"/>
          <w:szCs w:val="28"/>
          <w:lang w:val="en-US" w:eastAsia="zh-CN"/>
        </w:rPr>
        <w:t>识别样本不足、注册时间较短或观测数据不充分的区块生产者，并将其纳入 exploration 候选集合；</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eastAsia"/>
          <w:kern w:val="0"/>
          <w:sz w:val="28"/>
          <w:szCs w:val="28"/>
          <w:lang w:val="en-US" w:eastAsia="zh-CN"/>
        </w:rPr>
      </w:pPr>
      <w:r>
        <w:rPr>
          <w:rFonts w:hint="eastAsia"/>
          <w:kern w:val="0"/>
          <w:sz w:val="28"/>
          <w:szCs w:val="28"/>
          <w:lang w:val="en-US" w:eastAsia="zh-CN"/>
        </w:rPr>
        <w:t>当命中 exploration 条件时，基于预期收益、不确定性加权、样本不足补偿、新生产者奖励和/或 UCB bonus 计算探索分值，并依据探索分值选择目标区块生产者或输出探索评估结果；</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eastAsia"/>
          <w:kern w:val="0"/>
          <w:sz w:val="28"/>
          <w:szCs w:val="28"/>
          <w:lang w:val="en-US" w:eastAsia="zh-CN"/>
        </w:rPr>
      </w:pPr>
      <w:r>
        <w:rPr>
          <w:rFonts w:hint="eastAsia"/>
          <w:kern w:val="0"/>
          <w:sz w:val="28"/>
          <w:szCs w:val="28"/>
          <w:lang w:val="en-US" w:eastAsia="zh-CN"/>
        </w:rPr>
        <w:t>当未命中 exploration 条件时，基于动态评分和 reward 学习结果计算 exploitation 分值，并依据 exploitation 分值选择目标区块生产者或输出利用评估结果；</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eastAsia"/>
          <w:kern w:val="0"/>
          <w:sz w:val="28"/>
          <w:szCs w:val="28"/>
          <w:lang w:val="en-US" w:eastAsia="zh-CN"/>
        </w:rPr>
      </w:pPr>
      <w:r>
        <w:rPr>
          <w:rFonts w:hint="eastAsia"/>
          <w:kern w:val="0"/>
          <w:sz w:val="28"/>
          <w:szCs w:val="28"/>
          <w:lang w:val="en-US" w:eastAsia="zh-CN"/>
        </w:rPr>
        <w:t>根据后续反馈结果持续更新所述行为观测数据、动态评分和 reward 学习结果；</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eastAsia"/>
          <w:kern w:val="0"/>
          <w:sz w:val="28"/>
          <w:szCs w:val="28"/>
          <w:lang w:val="en-US" w:eastAsia="zh-CN"/>
        </w:rPr>
      </w:pPr>
      <w:r>
        <w:rPr>
          <w:rFonts w:hint="eastAsia"/>
          <w:kern w:val="0"/>
          <w:sz w:val="28"/>
          <w:szCs w:val="28"/>
          <w:lang w:val="en-US" w:eastAsia="zh-CN"/>
        </w:rPr>
        <w:t>输出区块生产者排序结果、健康评估结果、准入建议、风险预警结果或调度结果中的至少一种。</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eastAsia"/>
          <w:kern w:val="0"/>
          <w:sz w:val="28"/>
          <w:szCs w:val="28"/>
          <w:lang w:val="en-US" w:eastAsia="zh-CN"/>
        </w:rPr>
      </w:pPr>
      <w:r>
        <w:rPr>
          <w:rFonts w:hint="eastAsia"/>
          <w:kern w:val="0"/>
          <w:sz w:val="28"/>
          <w:szCs w:val="28"/>
          <w:lang w:val="en-US" w:eastAsia="zh-CN"/>
        </w:rPr>
        <w:t>与现有技术相比，本发明至少具有以下有益效果：</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default"/>
          <w:kern w:val="0"/>
          <w:sz w:val="28"/>
          <w:szCs w:val="28"/>
          <w:lang w:val="en-US" w:eastAsia="zh-CN"/>
        </w:rPr>
      </w:pPr>
      <w:r>
        <w:rPr>
          <w:rFonts w:hint="default"/>
          <w:kern w:val="0"/>
          <w:sz w:val="28"/>
          <w:szCs w:val="28"/>
          <w:lang w:val="en-US" w:eastAsia="zh-CN"/>
        </w:rPr>
        <w:t>通过面向区块生产者建立独立的动态评分机制，可以将长期信誉评估从具体业务链路中抽象出来，形成可复用的底层能力；</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default"/>
          <w:kern w:val="0"/>
          <w:sz w:val="28"/>
          <w:szCs w:val="28"/>
          <w:lang w:val="en-US" w:eastAsia="zh-CN"/>
        </w:rPr>
      </w:pPr>
      <w:r>
        <w:rPr>
          <w:rFonts w:hint="default"/>
          <w:kern w:val="0"/>
          <w:sz w:val="28"/>
          <w:szCs w:val="28"/>
          <w:lang w:val="en-US" w:eastAsia="zh-CN"/>
        </w:rPr>
        <w:t>通过 reward 学习结果反映区块生产者的近期状态变化，可提升对状态突变、行为恶化或收益波动的响应速度；</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default"/>
          <w:kern w:val="0"/>
          <w:sz w:val="28"/>
          <w:szCs w:val="28"/>
          <w:lang w:val="en-US" w:eastAsia="zh-CN"/>
        </w:rPr>
      </w:pPr>
      <w:r>
        <w:rPr>
          <w:rFonts w:hint="default"/>
          <w:kern w:val="0"/>
          <w:sz w:val="28"/>
          <w:szCs w:val="28"/>
          <w:lang w:val="en-US" w:eastAsia="zh-CN"/>
        </w:rPr>
        <w:t>通过 exploration / exploitation 分层机制，可在稳定利用成熟区块生产者与发现潜在优质新区块生产者之间取得平衡；</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default"/>
          <w:kern w:val="0"/>
          <w:sz w:val="28"/>
          <w:szCs w:val="28"/>
          <w:lang w:val="en-US" w:eastAsia="zh-CN"/>
        </w:rPr>
      </w:pPr>
      <w:r>
        <w:rPr>
          <w:rFonts w:hint="default"/>
          <w:kern w:val="0"/>
          <w:sz w:val="28"/>
          <w:szCs w:val="28"/>
          <w:lang w:val="en-US" w:eastAsia="zh-CN"/>
        </w:rPr>
        <w:t>通过对异常行为、风险行为和正向行为进行联合建模，可提升区块生产者健康评估的准确性与解释性；</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default"/>
          <w:kern w:val="0"/>
          <w:sz w:val="28"/>
          <w:szCs w:val="28"/>
          <w:lang w:val="en-US" w:eastAsia="zh-CN"/>
        </w:rPr>
      </w:pPr>
      <w:r>
        <w:rPr>
          <w:rFonts w:hint="default"/>
          <w:kern w:val="0"/>
          <w:sz w:val="28"/>
          <w:szCs w:val="28"/>
          <w:lang w:val="en-US" w:eastAsia="zh-CN"/>
        </w:rPr>
        <w:t>该机制不仅可用于具体的业务选择或策略路由，还可扩展用于健康评估、准入控制、风险预警和资源调度等场景。</w:t>
      </w:r>
    </w:p>
    <w:p>
      <w:pPr>
        <w:keepNext w:val="0"/>
        <w:keepLines w:val="0"/>
        <w:pageBreakBefore w:val="0"/>
        <w:widowControl w:val="0"/>
        <w:kinsoku/>
        <w:wordWrap/>
        <w:overflowPunct/>
        <w:topLinePunct w:val="0"/>
        <w:autoSpaceDE/>
        <w:autoSpaceDN/>
        <w:bidi w:val="0"/>
        <w:adjustRightInd/>
        <w:snapToGrid/>
        <w:spacing w:line="460" w:lineRule="exact"/>
        <w:ind w:firstLine="573"/>
        <w:textAlignment w:val="auto"/>
        <w:rPr>
          <w:rFonts w:hint="eastAsia"/>
          <w:kern w:val="0"/>
          <w:sz w:val="28"/>
          <w:szCs w:val="28"/>
        </w:rPr>
      </w:pPr>
    </w:p>
    <w:p>
      <w:pPr>
        <w:spacing w:line="360" w:lineRule="auto"/>
        <w:ind w:firstLine="562" w:firstLineChars="200"/>
        <w:rPr>
          <w:b/>
          <w:bCs/>
          <w:kern w:val="0"/>
          <w:sz w:val="28"/>
          <w:szCs w:val="28"/>
          <w:u w:val="single"/>
        </w:rPr>
      </w:pPr>
    </w:p>
    <w:p>
      <w:pPr>
        <w:spacing w:line="360" w:lineRule="auto"/>
        <w:rPr>
          <w:kern w:val="0"/>
          <w:sz w:val="30"/>
          <w:szCs w:val="28"/>
          <w:u w:val="single"/>
        </w:rPr>
      </w:pPr>
      <w:r>
        <w:rPr>
          <w:rFonts w:hAnsi="宋体"/>
          <w:kern w:val="0"/>
          <w:sz w:val="30"/>
          <w:szCs w:val="28"/>
          <w:u w:val="single"/>
        </w:rPr>
        <w:t>附图说明</w:t>
      </w:r>
    </w:p>
    <w:p>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rPr>
          <w:rFonts w:hAnsi="宋体"/>
          <w:kern w:val="0"/>
          <w:sz w:val="28"/>
          <w:szCs w:val="28"/>
        </w:rPr>
      </w:pPr>
      <w:r>
        <w:rPr>
          <w:rFonts w:hint="eastAsia" w:hAnsi="宋体"/>
          <w:kern w:val="0"/>
          <w:sz w:val="28"/>
          <w:szCs w:val="28"/>
        </w:rPr>
        <w:t>为了更清楚地说明本申请实施例中的技术方案，下面将对实施例或现有技术描述中所需要使用的附图作简单地介绍，显而易见地，下面描述中的附图仅仅是本申请的一些实施例，对于本领域普通技术人员来讲，在不付出创造性劳动的前提下，还可以根据这些附图获得其他的附图。</w:t>
      </w:r>
    </w:p>
    <w:p>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rPr>
          <w:rFonts w:hint="eastAsia" w:hAnsi="宋体" w:eastAsia="宋体"/>
          <w:kern w:val="0"/>
          <w:sz w:val="28"/>
          <w:szCs w:val="28"/>
          <w:lang w:eastAsia="zh-CN"/>
        </w:rPr>
      </w:pPr>
      <w:r>
        <w:rPr>
          <w:rFonts w:hint="eastAsia" w:hAnsi="宋体"/>
          <w:kern w:val="0"/>
          <w:sz w:val="28"/>
          <w:szCs w:val="28"/>
        </w:rPr>
        <w:t>图1是本申请一实施例提供的</w:t>
      </w:r>
      <w:r>
        <w:rPr>
          <w:rFonts w:hint="eastAsia" w:hAnsi="宋体"/>
          <w:kern w:val="0"/>
          <w:sz w:val="28"/>
          <w:szCs w:val="28"/>
          <w:lang w:eastAsia="zh-CN"/>
        </w:rPr>
        <w:t>区块生产者动态评分与探索利用自适应机制的整体架构示意图。</w:t>
      </w:r>
    </w:p>
    <w:p>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rPr>
          <w:rFonts w:hint="eastAsia" w:hAnsi="宋体"/>
          <w:kern w:val="0"/>
          <w:sz w:val="28"/>
          <w:szCs w:val="28"/>
          <w:lang w:eastAsia="zh-CN"/>
        </w:rPr>
      </w:pPr>
      <w:r>
        <w:rPr>
          <w:rFonts w:hint="eastAsia" w:hAnsi="宋体"/>
          <w:kern w:val="0"/>
          <w:sz w:val="28"/>
          <w:szCs w:val="28"/>
        </w:rPr>
        <w:t>图2是本申请一实施例提供的</w:t>
      </w:r>
      <w:r>
        <w:rPr>
          <w:rFonts w:hint="eastAsia" w:hAnsi="宋体"/>
          <w:kern w:val="0"/>
          <w:sz w:val="28"/>
          <w:szCs w:val="28"/>
          <w:lang w:eastAsia="zh-CN"/>
        </w:rPr>
        <w:t>区块生产者动态评分与探索利用自适应机制中分层机制流程图。</w:t>
      </w:r>
    </w:p>
    <w:p>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rPr>
          <w:rFonts w:hAnsi="宋体"/>
          <w:kern w:val="0"/>
          <w:sz w:val="28"/>
          <w:szCs w:val="28"/>
        </w:rPr>
      </w:pPr>
      <w:r>
        <w:rPr>
          <w:rFonts w:hint="eastAsia" w:hAnsi="宋体"/>
          <w:kern w:val="0"/>
          <w:sz w:val="28"/>
          <w:szCs w:val="28"/>
        </w:rPr>
        <w:t>图3是本申请</w:t>
      </w:r>
      <w:r>
        <w:rPr>
          <w:rFonts w:hint="eastAsia" w:hAnsi="宋体"/>
          <w:kern w:val="0"/>
          <w:sz w:val="28"/>
          <w:szCs w:val="28"/>
          <w:lang w:eastAsia="zh-CN"/>
        </w:rPr>
        <w:t>方法实验场景的结果图。</w:t>
      </w:r>
    </w:p>
    <w:p>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rPr>
          <w:kern w:val="0"/>
          <w:sz w:val="28"/>
          <w:szCs w:val="28"/>
        </w:rPr>
      </w:pPr>
      <w:r>
        <w:rPr>
          <w:rFonts w:hint="eastAsia"/>
          <w:kern w:val="0"/>
          <w:sz w:val="28"/>
          <w:szCs w:val="28"/>
        </w:rPr>
        <w:t>图</w:t>
      </w:r>
      <w:r>
        <w:rPr>
          <w:rFonts w:hint="eastAsia"/>
          <w:kern w:val="0"/>
          <w:sz w:val="28"/>
          <w:szCs w:val="28"/>
          <w:lang w:val="en-US" w:eastAsia="zh-CN"/>
        </w:rPr>
        <w:t>4</w:t>
      </w:r>
      <w:r>
        <w:rPr>
          <w:rFonts w:hint="eastAsia"/>
          <w:kern w:val="0"/>
          <w:sz w:val="28"/>
          <w:szCs w:val="28"/>
        </w:rPr>
        <w:t>是本申请一实施例提供的</w:t>
      </w:r>
      <w:r>
        <w:rPr>
          <w:rFonts w:hint="eastAsia"/>
          <w:kern w:val="0"/>
          <w:sz w:val="28"/>
          <w:szCs w:val="28"/>
          <w:lang w:eastAsia="zh-CN"/>
        </w:rPr>
        <w:t>终端设备</w:t>
      </w:r>
      <w:r>
        <w:rPr>
          <w:rFonts w:hint="eastAsia"/>
          <w:kern w:val="0"/>
          <w:sz w:val="28"/>
          <w:szCs w:val="28"/>
        </w:rPr>
        <w:t>的</w:t>
      </w:r>
      <w:bookmarkStart w:id="0" w:name="OLE_LINK2"/>
      <w:bookmarkStart w:id="1" w:name="OLE_LINK1"/>
      <w:r>
        <w:rPr>
          <w:rFonts w:hint="eastAsia"/>
          <w:kern w:val="0"/>
          <w:sz w:val="28"/>
          <w:szCs w:val="28"/>
        </w:rPr>
        <w:t>结构示意图</w:t>
      </w:r>
      <w:bookmarkEnd w:id="0"/>
      <w:bookmarkEnd w:id="1"/>
      <w:r>
        <w:rPr>
          <w:rFonts w:hint="eastAsia"/>
          <w:kern w:val="0"/>
          <w:sz w:val="28"/>
          <w:szCs w:val="28"/>
        </w:rPr>
        <w:t>。</w:t>
      </w:r>
    </w:p>
    <w:p>
      <w:pPr>
        <w:spacing w:line="360" w:lineRule="auto"/>
        <w:rPr>
          <w:kern w:val="0"/>
          <w:sz w:val="28"/>
          <w:szCs w:val="28"/>
        </w:rPr>
      </w:pPr>
    </w:p>
    <w:p>
      <w:pPr>
        <w:spacing w:line="360" w:lineRule="auto"/>
        <w:rPr>
          <w:kern w:val="0"/>
          <w:sz w:val="30"/>
          <w:szCs w:val="28"/>
          <w:u w:val="single"/>
        </w:rPr>
      </w:pPr>
      <w:r>
        <w:rPr>
          <w:rFonts w:hAnsi="宋体"/>
          <w:kern w:val="0"/>
          <w:sz w:val="30"/>
          <w:szCs w:val="28"/>
          <w:u w:val="single"/>
        </w:rPr>
        <w:t>具体实施方式</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以下描述中，为了说明而不是为了限定，提出了诸如特定系统结构、技术之类的具体细节，以便透彻理解本申请实施例。然而，本领域的技术人员应当清楚，在没有这些具体细节的其它实施例中也可以实现本申请。在其它情况中，省略对众所周知的系统、装置、电路以及方法的详细说明，以免不必要的细节妨碍本申请的描述。</w:t>
      </w:r>
    </w:p>
    <w:p>
      <w:pPr>
        <w:keepNext w:val="0"/>
        <w:keepLines w:val="0"/>
        <w:widowControl w:val="0"/>
        <w:kinsoku/>
        <w:wordWrap/>
        <w:overflowPunct/>
        <w:topLinePunct w:val="0"/>
        <w:autoSpaceDE/>
        <w:autoSpaceDN/>
        <w:bidi w:val="0"/>
        <w:adjustRightInd/>
        <w:snapToGrid/>
        <w:spacing w:line="460" w:lineRule="exact"/>
        <w:ind w:firstLine="560" w:firstLineChars="200"/>
        <w:rPr>
          <w:rFonts w:hAnsi="宋体"/>
          <w:kern w:val="0"/>
          <w:sz w:val="28"/>
          <w:szCs w:val="28"/>
        </w:rPr>
      </w:pPr>
      <w:r>
        <w:rPr>
          <w:rFonts w:hint="eastAsia" w:hAnsi="宋体"/>
          <w:kern w:val="0"/>
          <w:sz w:val="28"/>
          <w:szCs w:val="28"/>
        </w:rPr>
        <w:t>应当理解，当在本申请说明书和所附权利要求书中使用时，术语“包括”指示所描述特征、整体、步骤、操作、元素和/或组件的存在，但并不排除一个或多个其它特征、整体、步骤、操作、元素、组件和/或其集合的存在或添加。</w:t>
      </w:r>
    </w:p>
    <w:p>
      <w:pPr>
        <w:keepNext w:val="0"/>
        <w:keepLines w:val="0"/>
        <w:widowControl w:val="0"/>
        <w:kinsoku/>
        <w:wordWrap/>
        <w:overflowPunct/>
        <w:topLinePunct w:val="0"/>
        <w:autoSpaceDE/>
        <w:autoSpaceDN/>
        <w:bidi w:val="0"/>
        <w:adjustRightInd/>
        <w:snapToGrid/>
        <w:spacing w:line="460" w:lineRule="exact"/>
        <w:ind w:firstLine="560" w:firstLineChars="200"/>
        <w:rPr>
          <w:rFonts w:hAnsi="宋体"/>
          <w:kern w:val="0"/>
          <w:sz w:val="28"/>
          <w:szCs w:val="28"/>
        </w:rPr>
      </w:pPr>
      <w:r>
        <w:rPr>
          <w:rFonts w:hint="eastAsia" w:hAnsi="宋体"/>
          <w:kern w:val="0"/>
          <w:sz w:val="28"/>
          <w:szCs w:val="28"/>
        </w:rPr>
        <w:t>还应当理解，在本申请说明书和所附权利要求书中使用的术语“和/或”是指相关联列出的项中的一个或多个的任何组合以及所有可能组合，并且包括这些组合。</w:t>
      </w:r>
    </w:p>
    <w:p>
      <w:pPr>
        <w:keepNext w:val="0"/>
        <w:keepLines w:val="0"/>
        <w:widowControl w:val="0"/>
        <w:kinsoku/>
        <w:wordWrap/>
        <w:overflowPunct/>
        <w:topLinePunct w:val="0"/>
        <w:autoSpaceDE/>
        <w:autoSpaceDN/>
        <w:bidi w:val="0"/>
        <w:adjustRightInd/>
        <w:snapToGrid/>
        <w:spacing w:line="460" w:lineRule="exact"/>
        <w:ind w:firstLine="560" w:firstLineChars="200"/>
        <w:rPr>
          <w:rFonts w:hAnsi="宋体"/>
          <w:kern w:val="0"/>
          <w:sz w:val="28"/>
          <w:szCs w:val="28"/>
        </w:rPr>
      </w:pPr>
      <w:r>
        <w:rPr>
          <w:rFonts w:hint="eastAsia" w:hAnsi="宋体"/>
          <w:kern w:val="0"/>
          <w:sz w:val="28"/>
          <w:szCs w:val="28"/>
        </w:rPr>
        <w:t>如在本申请说明书和所附权利要求书中所使用的那样，术语“如果”可以依据上下文被解释为“当...时”或“一旦”或“响应于确定”或“响应于检测到”。类似地，短语“如果确定”或“如果检测到[所描述条件或事件]”可以依据上下文被解释为意指“一旦确定”或“响应于确定”或“一旦检测到[所描述条件或事件]”或“响应于检测到[所描述条件或事件]”。</w:t>
      </w:r>
    </w:p>
    <w:p>
      <w:pPr>
        <w:keepNext w:val="0"/>
        <w:keepLines w:val="0"/>
        <w:widowControl w:val="0"/>
        <w:kinsoku/>
        <w:wordWrap/>
        <w:overflowPunct/>
        <w:topLinePunct w:val="0"/>
        <w:autoSpaceDE/>
        <w:autoSpaceDN/>
        <w:bidi w:val="0"/>
        <w:adjustRightInd/>
        <w:snapToGrid/>
        <w:spacing w:line="460" w:lineRule="exact"/>
        <w:ind w:firstLine="560" w:firstLineChars="200"/>
        <w:rPr>
          <w:rFonts w:hAnsi="宋体"/>
          <w:kern w:val="0"/>
          <w:sz w:val="28"/>
          <w:szCs w:val="28"/>
        </w:rPr>
      </w:pPr>
      <w:r>
        <w:rPr>
          <w:rFonts w:hint="eastAsia" w:hAnsi="宋体"/>
          <w:kern w:val="0"/>
          <w:sz w:val="28"/>
          <w:szCs w:val="28"/>
        </w:rPr>
        <w:t>另外，在本申请说明书和所附权利要求书的描述中，术语“第一”、“第二”、“第三”等仅用于区分描述，而不能理解为指示或暗示相对重要性。</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本申请说明书中描述的参考“一个实施例”或“一些实施例”等意味着在本申请的一个或多个实施例中包括结合该实施例描述的特定特征、结构或特点。由此，在本说明书中的不同之处出现的语句“在一个实施例中”、“在一些实施例中”、“在其他一些实施例中”、“在另外一些实施例中”等不是必然都参考相同的实施例，而是意味着“一个或多个但不是所有的实施例”，除非是以其他方式另外特别强调。术语“包括”、“包含”、“具有”及它们的变形都意味着“包括但不限于”，除非是以其他方式另外特别强调。</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本发明所述面向区块生产者的动态评分与探索利用自适应机制可通过以下方式实施。在本申请实施例的一种实现方式中，系统整体由数据采集模块、区块生产者画像模块、reward学习模块、分层控制模块、结果输出模块和指标记录模块构成。</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其中，数据采集模块用于采集各区块生产者的行为观测数据。区块生产者画像模块用于维护各区块生产者的行为统计、动态评分和历史状态。reward学习模块用于根据行为观测结果生成近期收益质量信号。分层控制模块用于基于exploration与exploitation机制对区块生产者进行评估、选择或调度。结果输出模块用于输出区块生产者排序、健康评估、准入建议、风险预警或调度结果。指标记录模块用于记录区块生产者画像快照、评分变化、reward变化和分层决策结果。</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lang w:eastAsia="zh-CN"/>
        </w:rPr>
        <w:t>步骤一：</w:t>
      </w:r>
      <w:r>
        <w:rPr>
          <w:rFonts w:hint="eastAsia" w:hAnsi="宋体"/>
          <w:kern w:val="0"/>
          <w:sz w:val="28"/>
          <w:szCs w:val="28"/>
        </w:rPr>
        <w:t>数据采集模块</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在本申请实施例的一种实现方式中，系统运行时，首先通过数据采集模块获取各区块生产者的行为观测数据。</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每个区块生产者对应一组行为观测数据，所述行为观测数据至少包括服务尝试次数、服务成功次数、服务失败次数、异常行为次数、正向行为次数、价值产出累计值、reward样本数、累计reward、平均reward以及最近reward等信息。</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需要说明的是，异常行为是指区块生产者在服务过程中表现出的风险行为或违规行为。异常行为包括但不限于：sandwich attack行为、异常失效率上升、违规响应、超时响应以及其他可识别的风险模式。</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相应地，正向行为是指区块生产者在服务过程中表现出的健康行为或优质行为。正向行为包括但不限于：稳定完成服务、持续高质量产出、符合预设规范的行为、响应及时以及其他可归因为健康信号的行为。</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在实际应用中，价值产出信息可以包括但不限于：区块生产者为系统或用户创造的收益值、成功完成的订单价值</w:t>
      </w:r>
      <w:r>
        <w:rPr>
          <w:rFonts w:hint="eastAsia" w:hAnsi="宋体"/>
          <w:kern w:val="0"/>
          <w:sz w:val="28"/>
          <w:szCs w:val="28"/>
          <w:lang w:eastAsia="zh-CN"/>
        </w:rPr>
        <w:t>、</w:t>
      </w:r>
      <w:r>
        <w:rPr>
          <w:rFonts w:hint="eastAsia" w:hAnsi="宋体"/>
          <w:kern w:val="0"/>
          <w:sz w:val="28"/>
          <w:szCs w:val="28"/>
        </w:rPr>
        <w:t>MEV贡献值以及其他可量化的价值指标。</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lang w:eastAsia="zh-CN"/>
        </w:rPr>
        <w:t>步骤</w:t>
      </w:r>
      <w:r>
        <w:rPr>
          <w:rFonts w:hint="eastAsia" w:hAnsi="宋体"/>
          <w:kern w:val="0"/>
          <w:sz w:val="28"/>
          <w:szCs w:val="28"/>
        </w:rPr>
        <w:t>二</w:t>
      </w:r>
      <w:r>
        <w:rPr>
          <w:rFonts w:hint="eastAsia" w:hAnsi="宋体"/>
          <w:kern w:val="0"/>
          <w:sz w:val="28"/>
          <w:szCs w:val="28"/>
          <w:lang w:eastAsia="zh-CN"/>
        </w:rPr>
        <w:t>：</w:t>
      </w:r>
      <w:r>
        <w:rPr>
          <w:rFonts w:hint="eastAsia" w:hAnsi="宋体"/>
          <w:kern w:val="0"/>
          <w:sz w:val="28"/>
          <w:szCs w:val="28"/>
        </w:rPr>
        <w:t>区块生产者画像模块</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在本申请实施例的一种实现方式中，系统基于所述行为观测数据，通过区块生产者画像模块计算各区块生产者的动态评分。</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所述动态评分用于表征区块生产者的长期信誉水平。动态评分由成功率对应的可靠性因子、连续失败对应的失败惩罚因子、异常行为对应的风险惩罚因子、正向行为对应的奖励因子以及价值产出对应的价值奖励因子共同确定。</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在一个具体实现中，区块生产者的有效分数可表示为：</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effective_score = base_score×reliability_factor×failure_factor×risk_factor ×positive_factor×value_factor</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其中，base_score为基础分数；reliability_factor为可靠性因子，由服务成功率确定；failure_factor为失败惩罚因子，随连续失败次数增加而下降；risk_factor为风险惩罚因子，随异常行为次数增加而下降；positive_factor为正向奖励因子，随正向行为次数增加而上升；value_factor为价值奖励因子，随价值产出增加而上升。</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需要说明的是，为避免评分偏离合理区间，所述动态评分按照百分制或归一化分值进行约束，并设置评分上限和最低有效分数。</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本申请实施例的一种实现方式中，当区块生产者产生正向行为时，系统以小于负向更新步长的正向更新步长使动态评分向正向目标分平滑上升。相应地，当区块生产者产生异常行为或失败行为时，系统以负向更新步长使动态评分向负向目标分下降。通过上述不对称更新机制，使异常行为造成的评分下降速度快于正常行为造成的评分上升速度，从而实现对高风险行为的快速抑制。</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lang w:eastAsia="zh-CN"/>
        </w:rPr>
        <w:t>步骤</w:t>
      </w:r>
      <w:r>
        <w:rPr>
          <w:rFonts w:hint="eastAsia" w:hAnsi="宋体"/>
          <w:kern w:val="0"/>
          <w:sz w:val="28"/>
          <w:szCs w:val="28"/>
        </w:rPr>
        <w:t>三、Reward学习模块</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在本申请实施例的一种实现方式中，系统在计算动态评分的同时，通过reward学习模块计算各区块生产者的reward学习结果。</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所述reward作为近期收益质量的学习信号，用于反映区块生产者近期表现是否优于或劣于其长期平均水平。</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所述reward可基于服务成功率、失败率、价值产出、正向行为和异常行为惩罚计算。</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在一个具体实现中，reward可表示为各因素的加权组合：</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reward=success_weight×success_rate</w:t>
      </w:r>
      <w:r>
        <w:rPr>
          <w:rFonts w:hint="eastAsia" w:hAnsi="宋体"/>
          <w:kern w:val="0"/>
          <w:sz w:val="28"/>
          <w:szCs w:val="28"/>
          <w:lang w:val="en-US" w:eastAsia="zh-CN"/>
        </w:rPr>
        <w:t xml:space="preserve"> </w:t>
      </w:r>
      <w:r>
        <w:rPr>
          <w:rFonts w:hint="eastAsia" w:hAnsi="宋体"/>
          <w:kern w:val="0"/>
          <w:sz w:val="28"/>
          <w:szCs w:val="28"/>
        </w:rPr>
        <w:t>+</w:t>
      </w:r>
      <w:r>
        <w:rPr>
          <w:rFonts w:hint="eastAsia" w:hAnsi="宋体"/>
          <w:kern w:val="0"/>
          <w:sz w:val="28"/>
          <w:szCs w:val="28"/>
          <w:lang w:val="en-US" w:eastAsia="zh-CN"/>
        </w:rPr>
        <w:t xml:space="preserve"> </w:t>
      </w:r>
      <w:r>
        <w:rPr>
          <w:rFonts w:hint="eastAsia" w:hAnsi="宋体"/>
          <w:kern w:val="0"/>
          <w:sz w:val="28"/>
          <w:szCs w:val="28"/>
        </w:rPr>
        <w:t>value_weight×value_component + positive_weight×positive_component</w:t>
      </w:r>
      <w:r>
        <w:rPr>
          <w:rFonts w:hint="eastAsia" w:hAnsi="宋体"/>
          <w:kern w:val="0"/>
          <w:sz w:val="28"/>
          <w:szCs w:val="28"/>
          <w:lang w:val="en-US" w:eastAsia="zh-CN"/>
        </w:rPr>
        <w:t xml:space="preserve"> </w:t>
      </w:r>
      <w:r>
        <w:rPr>
          <w:rFonts w:hint="eastAsia" w:hAnsi="宋体"/>
          <w:kern w:val="0"/>
          <w:sz w:val="28"/>
          <w:szCs w:val="28"/>
        </w:rPr>
        <w:t>-</w:t>
      </w:r>
      <w:r>
        <w:rPr>
          <w:rFonts w:hint="eastAsia" w:hAnsi="宋体"/>
          <w:kern w:val="0"/>
          <w:sz w:val="28"/>
          <w:szCs w:val="28"/>
          <w:lang w:val="en-US" w:eastAsia="zh-CN"/>
        </w:rPr>
        <w:t xml:space="preserve"> f</w:t>
      </w:r>
      <w:r>
        <w:rPr>
          <w:rFonts w:hint="eastAsia" w:hAnsi="宋体"/>
          <w:kern w:val="0"/>
          <w:sz w:val="28"/>
          <w:szCs w:val="28"/>
        </w:rPr>
        <w:t>ailure_weight×failure_rate</w:t>
      </w:r>
      <w:r>
        <w:rPr>
          <w:rFonts w:hint="eastAsia" w:hAnsi="宋体"/>
          <w:kern w:val="0"/>
          <w:sz w:val="28"/>
          <w:szCs w:val="28"/>
          <w:lang w:val="en-US" w:eastAsia="zh-CN"/>
        </w:rPr>
        <w:t xml:space="preserve"> </w:t>
      </w:r>
      <w:r>
        <w:rPr>
          <w:rFonts w:hint="eastAsia" w:hAnsi="宋体"/>
          <w:kern w:val="0"/>
          <w:sz w:val="28"/>
          <w:szCs w:val="28"/>
        </w:rPr>
        <w:t>-</w:t>
      </w:r>
      <w:r>
        <w:rPr>
          <w:rFonts w:hint="eastAsia" w:hAnsi="宋体"/>
          <w:kern w:val="0"/>
          <w:sz w:val="28"/>
          <w:szCs w:val="28"/>
          <w:lang w:val="en-US" w:eastAsia="zh-CN"/>
        </w:rPr>
        <w:t xml:space="preserve"> </w:t>
      </w:r>
      <w:r>
        <w:rPr>
          <w:rFonts w:hint="eastAsia" w:hAnsi="宋体"/>
          <w:kern w:val="0"/>
          <w:sz w:val="28"/>
          <w:szCs w:val="28"/>
        </w:rPr>
        <w:t>risk_weight×abnormal_events</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其中，success_weight为成功率权重；success_rate为服务成功率；value_weight为价值权重；value_component为价值产出归一化值；positive_weight为正向行为权重；positive_component为正向行为归一化值；failure_weight为失败率权重；failure_rate为服务失败率；risk_weight为风险事件权重；abnormal_events为异常行为归一化值。</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本申请实施例的一种实现方式中，系统根据多个reward样本累计得到平均reward，并据此构建区块生产者的近期收益质量刻画。通过该机制，reward学习结果能够及时反映区块生产者近期状态的变化，所述变化包括但不限于：服务质量突变、行为恶化、收益波动以及其他可反映区块生产者近期状态异常的信号。</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需要说明的是，系统并非仅依据动态评分或仅依据reward单独做评估决策，而是将两者联合使用。动态评分反映区块生产者的长期信誉水平，reward反映区块生产者近期收益质量和状态变化。</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预期收益指标、健康度指标或综合优先级指标通过动态评分与reward组合得到，用于统一刻画区块生产者当前的综合状态。</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在一个具体实现中，预期收益可表示为：</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expected_reward = reputation_score × reward_multiplier</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其中，reputation_score为声誉分数，来源于动态评分结果；reward_multiplier为reward倍数，来源于reward学习结果。</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通过该联合建模方式，可以避免仅依赖长期历史均值导致对近期恶化响应过慢，也可以避免仅依赖短期reward导致评估结果波动过大，从而提升区块生产者健康评估的准确性和稳定性。</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lang w:eastAsia="zh-CN"/>
        </w:rPr>
        <w:t>步骤</w:t>
      </w:r>
      <w:r>
        <w:rPr>
          <w:rFonts w:hint="eastAsia" w:hAnsi="宋体"/>
          <w:kern w:val="0"/>
          <w:sz w:val="28"/>
          <w:szCs w:val="28"/>
        </w:rPr>
        <w:t>四</w:t>
      </w:r>
      <w:r>
        <w:rPr>
          <w:rFonts w:hint="eastAsia" w:hAnsi="宋体"/>
          <w:kern w:val="0"/>
          <w:sz w:val="28"/>
          <w:szCs w:val="28"/>
          <w:lang w:eastAsia="zh-CN"/>
        </w:rPr>
        <w:t>：</w:t>
      </w:r>
      <w:r>
        <w:rPr>
          <w:rFonts w:hint="eastAsia" w:hAnsi="宋体"/>
          <w:kern w:val="0"/>
          <w:sz w:val="28"/>
          <w:szCs w:val="28"/>
        </w:rPr>
        <w:t>分层控制模块</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在本申请实施例的一种实现方式中，系统基于上述动态评分和reward学习结果，通过分层控制模块实施exploration与exploitation分层机制。</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系统根据样本数、注册时间或观测数据充分性，将区块生产者分为成熟区块生产者与待探索区块生产者。</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若区块生产者满足以下任一条件，则将该区块生产者纳入待探索区块生产者集合：样本数低于预设样本阈值；注册时间处于预设宽限期内；观测数据不充分；或不确定性高于预设不确定性阈值。其中，预设样本阈值、预设宽限期和预设不确定性阈值可以根据实际需要设置，此处不作限制。</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当系统命中exploration条件时，从待探索区块生产者集合中进行探索评估。所述exploration条件包括但不限于：触发探索概率、待探索区块生产者集合非空、当前区块处于探索周期内以及其他预设探索触发条件。</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在本申请实施例的一种实现方式中，探索分值可由预期收益、样本不足补偿项、新生产者奖励项、不确定性权重项以及UCB bonus等因素组合得到。</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其中，样本不足补偿项用于对样本数较少的区块生产者给予额外权重，避免因样本不足导致低估。</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新生产者奖励项用于对注册时间较短的区块生产者给予初期扶持，促进新生产者的公平竞争机会。</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不确定性权重项用于对观测数据不确定性较高的区块生产者给予探索激励，鼓励系统发现潜在优质区块生产者。</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UCB bonus即置信上界奖励项，基于多臂老虎机理论中的UCB（Upper Confidence Bound）算法思想，为不确定性高的选项赋予探索价值。</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系统根据探索分值对exploration候选区块生产者进行排序、筛选、准入评估或调度选择。</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当系统未命中exploration条件，或者待探索区块生产者集合为空时，系统进入exploitation模式，基于预期收益或综合优先级指标对成熟区块生产者进行利用评估。</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在本申请实施例的一种实现方式中，exploitation分值可由动态评分、reward学习结果、预期收益指标、健康度指标、历史成功率、风险惩罚、价值产出以及竞争集中度惩罚等因素组合得到。</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其中，竞争集中度惩罚用于避免系统长期依赖少数既有区块生产者造成的中心化问题。当某一区块生产者的流量份额高于预设集中度阈值，或其相对收益低于预设收益阈值时，系统降低该区块生产者的exploitation分值，从而促进流量在多个高质量区块生产者之间的合理分配。</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通过上述设计，系统不再仅依赖历史优势区块生产者，而是能够在保持整体稳定性的同时，持续发现潜在高质量的新区块生产者，从而缓解长期中心化问题。</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lang w:eastAsia="zh-CN"/>
        </w:rPr>
        <w:t>步骤</w:t>
      </w:r>
      <w:r>
        <w:rPr>
          <w:rFonts w:hint="eastAsia" w:hAnsi="宋体"/>
          <w:kern w:val="0"/>
          <w:sz w:val="28"/>
          <w:szCs w:val="28"/>
        </w:rPr>
        <w:t>五</w:t>
      </w:r>
      <w:r>
        <w:rPr>
          <w:rFonts w:hint="eastAsia" w:hAnsi="宋体"/>
          <w:kern w:val="0"/>
          <w:sz w:val="28"/>
          <w:szCs w:val="28"/>
          <w:lang w:eastAsia="zh-CN"/>
        </w:rPr>
        <w:t>：</w:t>
      </w:r>
      <w:r>
        <w:rPr>
          <w:rFonts w:hint="eastAsia" w:hAnsi="宋体"/>
          <w:kern w:val="0"/>
          <w:sz w:val="28"/>
          <w:szCs w:val="28"/>
        </w:rPr>
        <w:t>结果输出模块</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在本申请实施例的一种实现方式中，系统通过结果输出模块输出区块生产者排序结果、健康评估结果、准入建议、风险预警结果或调度结果中的至少一种。</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上述输出结果可独立应用于以下场景中的一种或多种：区块生产者健康评估、区块生产者准入控制、区块生产者风险预警、资源调度与策略排序、面向具体业务的区块生产者选择。需要说明的是，面向具体业务的区块生产者选择仅是本发明的一个应用场景，而非对本发明的限定。</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lang w:eastAsia="zh-CN"/>
        </w:rPr>
        <w:t>步骤六：</w:t>
      </w:r>
      <w:r>
        <w:rPr>
          <w:rFonts w:hint="eastAsia" w:hAnsi="宋体"/>
          <w:kern w:val="0"/>
          <w:sz w:val="28"/>
          <w:szCs w:val="28"/>
        </w:rPr>
        <w:t>指标记录模块</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在本申请实施例的一种实现方式中，系统通过指标记录模块记录区块生产者画像快照、评分变化、reward变化和分层决策结果，从而支持历史溯源、效果分析和机制调优。</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根据后续反馈结果，系统持续更新所述行为观测数据、动态评分及reward学习结果，实现在线学习和自适应调整，使区块生产者评估机制能够随着区块生产者行为的变化而动态演进。</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在一个实验中，设置7个区块生产者并连续模拟约10000个目标区块，通过新区块事件为每个区块随机生成0至5个bundle，并采用exploration与exploitation交替调度。</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实验产生25618个bundle，其中exploration与exploitation各为12809次，平均每个目标区块约2.52个bundle。</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实验中，初始评分为85的区块生产者alpha在稳定运行后评分上升至97.16，其订单流分发占比为23.6%。</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其中一个初始评分为85的高分生产者在后半程持续产生sandwich行为，评分降至19.12。</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另一恶意生产者评分降至1.70，表明系统对异常行为具有快速识别和持续惩罚能力。</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中途加入的区块生产者zeta获得3824次分发，其中2000次为exploration分发，表明系统为新加入的区块生产者提供了充分的探索机会。</w:t>
      </w:r>
    </w:p>
    <w:p>
      <w:pPr>
        <w:keepNext w:val="0"/>
        <w:keepLines w:val="0"/>
        <w:widowControl w:val="0"/>
        <w:kinsoku/>
        <w:wordWrap/>
        <w:overflowPunct/>
        <w:topLinePunct w:val="0"/>
        <w:autoSpaceDE/>
        <w:autoSpaceDN/>
        <w:bidi w:val="0"/>
        <w:adjustRightInd/>
        <w:snapToGrid/>
        <w:spacing w:line="460" w:lineRule="exact"/>
        <w:ind w:firstLine="560" w:firstLineChars="200"/>
        <w:rPr>
          <w:rFonts w:hint="default" w:hAnsi="宋体" w:eastAsia="宋体"/>
          <w:kern w:val="0"/>
          <w:sz w:val="28"/>
          <w:szCs w:val="28"/>
          <w:lang w:val="en-US" w:eastAsia="zh-CN"/>
        </w:rPr>
      </w:pPr>
      <w:r>
        <w:rPr>
          <w:rFonts w:hint="eastAsia" w:hAnsi="宋体"/>
          <w:kern w:val="0"/>
          <w:sz w:val="28"/>
          <w:szCs w:val="28"/>
          <w:lang w:eastAsia="zh-CN"/>
        </w:rPr>
        <w:t>图</w:t>
      </w:r>
      <w:r>
        <w:rPr>
          <w:rFonts w:hint="eastAsia" w:hAnsi="宋体"/>
          <w:kern w:val="0"/>
          <w:sz w:val="28"/>
          <w:szCs w:val="28"/>
          <w:lang w:val="en-US" w:eastAsia="zh-CN"/>
        </w:rPr>
        <w:t>3为实验中各个区块生产者在不同区块的评分变化。</w:t>
      </w:r>
    </w:p>
    <w:p>
      <w:pPr>
        <w:keepNext w:val="0"/>
        <w:keepLines w:val="0"/>
        <w:widowControl w:val="0"/>
        <w:kinsoku/>
        <w:wordWrap/>
        <w:overflowPunct/>
        <w:topLinePunct w:val="0"/>
        <w:autoSpaceDE/>
        <w:autoSpaceDN/>
        <w:bidi w:val="0"/>
        <w:adjustRightInd/>
        <w:snapToGrid/>
        <w:spacing w:line="460" w:lineRule="exact"/>
        <w:ind w:firstLine="560" w:firstLineChars="200"/>
        <w:rPr>
          <w:rFonts w:hint="eastAsia" w:hAnsi="宋体"/>
          <w:kern w:val="0"/>
          <w:sz w:val="28"/>
          <w:szCs w:val="28"/>
        </w:rPr>
      </w:pPr>
      <w:r>
        <w:rPr>
          <w:rFonts w:hint="eastAsia" w:hAnsi="宋体"/>
          <w:kern w:val="0"/>
          <w:sz w:val="28"/>
          <w:szCs w:val="28"/>
        </w:rPr>
        <w:t>实验结果表明，所述动态评分与交替探索利用机制能够在保持高质量生产者优势的同时抑制流量集中，并降低恶意区块生产者的后续分发权重，从而验证了本发明所述机制在区块生产者管理中的有效性和适应性。</w:t>
      </w:r>
    </w:p>
    <w:p>
      <w:pPr>
        <w:keepNext w:val="0"/>
        <w:keepLines w:val="0"/>
        <w:widowControl w:val="0"/>
        <w:kinsoku/>
        <w:wordWrap/>
        <w:overflowPunct/>
        <w:topLinePunct w:val="0"/>
        <w:autoSpaceDE/>
        <w:autoSpaceDN/>
        <w:bidi w:val="0"/>
        <w:adjustRightInd/>
        <w:snapToGrid/>
        <w:spacing w:line="460" w:lineRule="exact"/>
        <w:ind w:firstLine="570"/>
        <w:rPr>
          <w:rFonts w:hAnsi="宋体"/>
          <w:kern w:val="0"/>
          <w:sz w:val="28"/>
          <w:szCs w:val="28"/>
        </w:rPr>
      </w:pPr>
      <w:r>
        <w:rPr>
          <w:rFonts w:hAnsi="宋体"/>
          <w:kern w:val="0"/>
          <w:sz w:val="28"/>
          <w:szCs w:val="28"/>
        </w:rPr>
        <w:t>需要说明的是，上述装置</w:t>
      </w:r>
      <w:r>
        <w:rPr>
          <w:kern w:val="0"/>
          <w:sz w:val="28"/>
          <w:szCs w:val="28"/>
        </w:rPr>
        <w:t>/</w:t>
      </w:r>
      <w:r>
        <w:rPr>
          <w:rFonts w:hAnsi="宋体"/>
          <w:kern w:val="0"/>
          <w:sz w:val="28"/>
          <w:szCs w:val="28"/>
        </w:rPr>
        <w:t>单元之间的信息交互、执行过程等内容，由于与本申请方法实施例基于同一构思，其具体功能及带来的技术效果，具体可参见方法实施例部分，此处不再赘述。</w:t>
      </w:r>
    </w:p>
    <w:p>
      <w:pPr>
        <w:keepNext w:val="0"/>
        <w:keepLines w:val="0"/>
        <w:widowControl w:val="0"/>
        <w:kinsoku/>
        <w:wordWrap/>
        <w:overflowPunct/>
        <w:topLinePunct w:val="0"/>
        <w:autoSpaceDE/>
        <w:autoSpaceDN/>
        <w:bidi w:val="0"/>
        <w:adjustRightInd/>
        <w:snapToGrid/>
        <w:spacing w:line="460" w:lineRule="exact"/>
        <w:ind w:firstLine="570"/>
        <w:rPr>
          <w:rFonts w:hAnsi="宋体"/>
          <w:kern w:val="0"/>
          <w:sz w:val="28"/>
          <w:szCs w:val="28"/>
        </w:rPr>
      </w:pPr>
      <w:r>
        <w:rPr>
          <w:rFonts w:hAnsi="宋体"/>
          <w:kern w:val="0"/>
          <w:sz w:val="28"/>
          <w:szCs w:val="28"/>
        </w:rPr>
        <w:t>所属领域的技术人员可以清楚地了</w:t>
      </w:r>
      <w:r>
        <w:rPr>
          <w:rFonts w:hAnsi="宋体"/>
          <w:color w:val="000000"/>
          <w:sz w:val="28"/>
          <w:szCs w:val="28"/>
        </w:rPr>
        <w:t>解到，为了描</w:t>
      </w:r>
      <w:r>
        <w:rPr>
          <w:rFonts w:hAnsi="宋体"/>
          <w:kern w:val="0"/>
          <w:sz w:val="28"/>
          <w:szCs w:val="28"/>
        </w:rPr>
        <w:t>述的方便和简洁，仅以上述各功能单元、模块的划分进行举例说明，实际应用中，可以根据需要而将上述功能分配由不同的功能单元、模块完成，即将所述装置的内部结构划分成不同的功能单元或模块，以完成以上描述的全部或者部分功能。实施例中的各功能单元、模块可以集成在一个处理单元中，也可以是各个单元单独物理存在，也可以两个或两个以上单元集成在一个单元中，上述集成的单元既可以采用硬件的形式实现，也可以采用软件功能单元的形式实现。另外，各功能单元、模块的具体名称也只是为了便于相互区分，并不用于限制本申请的保护范围。上述系统中单元、模块的具体工作过程，可以参考前述方法实施例中的对应过程，在此不再赘述。</w:t>
      </w:r>
    </w:p>
    <w:p>
      <w:pPr>
        <w:keepNext w:val="0"/>
        <w:keepLines w:val="0"/>
        <w:widowControl w:val="0"/>
        <w:kinsoku/>
        <w:wordWrap/>
        <w:overflowPunct/>
        <w:topLinePunct w:val="0"/>
        <w:autoSpaceDE/>
        <w:autoSpaceDN/>
        <w:bidi w:val="0"/>
        <w:adjustRightInd/>
        <w:snapToGrid/>
        <w:spacing w:line="460" w:lineRule="exact"/>
        <w:ind w:firstLine="570"/>
        <w:rPr>
          <w:rFonts w:hAnsi="宋体"/>
          <w:kern w:val="0"/>
          <w:sz w:val="28"/>
          <w:szCs w:val="28"/>
        </w:rPr>
      </w:pPr>
      <w:r>
        <w:rPr>
          <w:rFonts w:hint="eastAsia" w:hAnsi="宋体"/>
          <w:kern w:val="0"/>
          <w:sz w:val="28"/>
          <w:szCs w:val="28"/>
        </w:rPr>
        <w:t>图</w:t>
      </w:r>
      <w:r>
        <w:rPr>
          <w:rFonts w:hint="default" w:hAnsi="宋体"/>
          <w:kern w:val="0"/>
          <w:sz w:val="28"/>
          <w:szCs w:val="28"/>
          <w:lang w:val="en-US"/>
        </w:rPr>
        <w:t>4</w:t>
      </w:r>
      <w:r>
        <w:rPr>
          <w:rFonts w:hint="eastAsia" w:hAnsi="宋体"/>
          <w:kern w:val="0"/>
          <w:sz w:val="28"/>
          <w:szCs w:val="28"/>
        </w:rPr>
        <w:t>为</w:t>
      </w:r>
      <w:r>
        <w:rPr>
          <w:rFonts w:hint="eastAsia"/>
          <w:kern w:val="0"/>
          <w:sz w:val="28"/>
          <w:szCs w:val="28"/>
        </w:rPr>
        <w:t>本申请一实施例提供的</w:t>
      </w:r>
      <w:r>
        <w:rPr>
          <w:rFonts w:hint="eastAsia"/>
          <w:kern w:val="0"/>
          <w:sz w:val="28"/>
          <w:szCs w:val="28"/>
          <w:lang w:eastAsia="zh-CN"/>
        </w:rPr>
        <w:t>终端设备</w:t>
      </w:r>
      <w:r>
        <w:rPr>
          <w:rFonts w:hint="eastAsia"/>
          <w:kern w:val="0"/>
          <w:sz w:val="28"/>
          <w:szCs w:val="28"/>
        </w:rPr>
        <w:t>的结构示意图</w:t>
      </w:r>
      <w:r>
        <w:rPr>
          <w:rFonts w:hint="eastAsia" w:hAnsi="宋体"/>
          <w:kern w:val="0"/>
          <w:sz w:val="28"/>
          <w:szCs w:val="28"/>
        </w:rPr>
        <w:t>。如图</w:t>
      </w:r>
      <w:r>
        <w:rPr>
          <w:rFonts w:hint="default" w:hAnsi="宋体"/>
          <w:kern w:val="0"/>
          <w:sz w:val="28"/>
          <w:szCs w:val="28"/>
          <w:lang w:val="en-US"/>
        </w:rPr>
        <w:t>4</w:t>
      </w:r>
      <w:r>
        <w:rPr>
          <w:rFonts w:hint="eastAsia" w:hAnsi="宋体"/>
          <w:kern w:val="0"/>
          <w:sz w:val="28"/>
          <w:szCs w:val="28"/>
        </w:rPr>
        <w:t>所示，该实施例的</w:t>
      </w:r>
      <w:r>
        <w:rPr>
          <w:rFonts w:hint="eastAsia" w:hAnsi="宋体"/>
          <w:kern w:val="0"/>
          <w:sz w:val="28"/>
          <w:szCs w:val="28"/>
          <w:lang w:eastAsia="zh-CN"/>
        </w:rPr>
        <w:t>终端设备</w:t>
      </w:r>
      <w:r>
        <w:rPr>
          <w:rFonts w:hint="default" w:hAnsi="宋体"/>
          <w:kern w:val="0"/>
          <w:sz w:val="28"/>
          <w:szCs w:val="28"/>
          <w:lang w:val="en-US" w:eastAsia="zh-CN"/>
        </w:rPr>
        <w:t>4</w:t>
      </w:r>
      <w:r>
        <w:rPr>
          <w:rFonts w:hint="eastAsia" w:hAnsi="宋体"/>
          <w:kern w:val="0"/>
          <w:sz w:val="28"/>
          <w:szCs w:val="28"/>
        </w:rPr>
        <w:t>包括：至少一个处理器</w:t>
      </w:r>
      <w:r>
        <w:rPr>
          <w:rFonts w:hint="eastAsia" w:hAnsi="宋体"/>
          <w:kern w:val="0"/>
          <w:sz w:val="28"/>
          <w:szCs w:val="28"/>
          <w:lang w:eastAsia="zh-CN"/>
        </w:rPr>
        <w:t>（</w:t>
      </w:r>
      <w:r>
        <w:rPr>
          <w:rFonts w:hint="eastAsia" w:hAnsi="宋体"/>
          <w:kern w:val="0"/>
          <w:sz w:val="28"/>
          <w:szCs w:val="28"/>
        </w:rPr>
        <w:t>图</w:t>
      </w:r>
      <w:r>
        <w:rPr>
          <w:rFonts w:hint="eastAsia" w:hAnsi="宋体"/>
          <w:kern w:val="0"/>
          <w:sz w:val="28"/>
          <w:szCs w:val="28"/>
          <w:lang w:val="en-US" w:eastAsia="zh-CN"/>
        </w:rPr>
        <w:t>4</w:t>
      </w:r>
      <w:r>
        <w:rPr>
          <w:rFonts w:hint="eastAsia" w:hAnsi="宋体"/>
          <w:kern w:val="0"/>
          <w:sz w:val="28"/>
          <w:szCs w:val="28"/>
        </w:rPr>
        <w:t>中仅示出一个）</w:t>
      </w:r>
      <w:r>
        <w:rPr>
          <w:rFonts w:hint="eastAsia"/>
          <w:kern w:val="0"/>
          <w:sz w:val="28"/>
          <w:szCs w:val="28"/>
        </w:rPr>
        <w:t>、存储器以及存储在所述存储器中并可在所述至少一个处理器上运行的计算机程序</w:t>
      </w:r>
      <w:r>
        <w:rPr>
          <w:rFonts w:hint="eastAsia" w:hAnsi="宋体"/>
          <w:kern w:val="0"/>
          <w:sz w:val="28"/>
          <w:szCs w:val="28"/>
        </w:rPr>
        <w:t>，</w:t>
      </w:r>
      <w:r>
        <w:rPr>
          <w:rFonts w:hint="eastAsia"/>
          <w:kern w:val="0"/>
          <w:sz w:val="28"/>
          <w:szCs w:val="28"/>
        </w:rPr>
        <w:t>所述处理器执行所述计算机程序时实现上述</w:t>
      </w:r>
      <w:r>
        <w:rPr>
          <w:rFonts w:hint="eastAsia" w:hAnsi="宋体"/>
          <w:kern w:val="0"/>
          <w:sz w:val="28"/>
          <w:szCs w:val="28"/>
        </w:rPr>
        <w:t>任意</w:t>
      </w:r>
      <w:r>
        <w:rPr>
          <w:rFonts w:hint="eastAsia" w:hAnsi="宋体"/>
          <w:kern w:val="0"/>
          <w:sz w:val="28"/>
          <w:szCs w:val="28"/>
          <w:lang w:eastAsia="zh-CN"/>
        </w:rPr>
        <w:t>验证者动态评分与适应机制</w:t>
      </w:r>
      <w:r>
        <w:rPr>
          <w:rFonts w:hint="eastAsia" w:hAnsi="宋体"/>
          <w:kern w:val="0"/>
          <w:sz w:val="28"/>
          <w:szCs w:val="28"/>
        </w:rPr>
        <w:t>实施例中的步骤。</w:t>
      </w:r>
    </w:p>
    <w:p>
      <w:pPr>
        <w:keepNext w:val="0"/>
        <w:keepLines w:val="0"/>
        <w:widowControl w:val="0"/>
        <w:kinsoku/>
        <w:wordWrap/>
        <w:overflowPunct/>
        <w:topLinePunct w:val="0"/>
        <w:autoSpaceDE/>
        <w:autoSpaceDN/>
        <w:bidi w:val="0"/>
        <w:adjustRightInd/>
        <w:snapToGrid/>
        <w:spacing w:line="460" w:lineRule="exact"/>
        <w:ind w:firstLine="570"/>
        <w:rPr>
          <w:rFonts w:hAnsi="宋体"/>
          <w:kern w:val="0"/>
          <w:sz w:val="28"/>
          <w:szCs w:val="28"/>
        </w:rPr>
      </w:pPr>
      <w:r>
        <w:rPr>
          <w:rFonts w:hint="eastAsia" w:hAnsi="宋体"/>
          <w:kern w:val="0"/>
          <w:sz w:val="28"/>
          <w:szCs w:val="28"/>
        </w:rPr>
        <w:t>该</w:t>
      </w:r>
      <w:r>
        <w:rPr>
          <w:rFonts w:hint="eastAsia" w:hAnsi="宋体"/>
          <w:kern w:val="0"/>
          <w:sz w:val="28"/>
          <w:szCs w:val="28"/>
          <w:lang w:eastAsia="zh-CN"/>
        </w:rPr>
        <w:t>终端设备</w:t>
      </w:r>
      <w:r>
        <w:rPr>
          <w:rFonts w:hint="eastAsia" w:hAnsi="宋体"/>
          <w:kern w:val="0"/>
          <w:sz w:val="28"/>
          <w:szCs w:val="28"/>
          <w:lang w:val="en-US" w:eastAsia="zh-CN"/>
        </w:rPr>
        <w:t>4</w:t>
      </w:r>
      <w:r>
        <w:rPr>
          <w:rFonts w:hint="eastAsia" w:hAnsi="宋体"/>
          <w:kern w:val="0"/>
          <w:sz w:val="28"/>
          <w:szCs w:val="28"/>
        </w:rPr>
        <w:t>可包括，但不仅限于，</w:t>
      </w:r>
      <w:r>
        <w:rPr>
          <w:rFonts w:hint="eastAsia"/>
          <w:kern w:val="0"/>
          <w:sz w:val="28"/>
          <w:szCs w:val="28"/>
        </w:rPr>
        <w:t>处理器、存储器</w:t>
      </w:r>
      <w:r>
        <w:rPr>
          <w:rFonts w:hint="eastAsia" w:hAnsi="宋体"/>
          <w:kern w:val="0"/>
          <w:sz w:val="28"/>
          <w:szCs w:val="28"/>
        </w:rPr>
        <w:t>。本领域技术人员可以理解，图</w:t>
      </w:r>
      <w:r>
        <w:rPr>
          <w:rFonts w:hint="eastAsia" w:hAnsi="宋体"/>
          <w:kern w:val="0"/>
          <w:sz w:val="28"/>
          <w:szCs w:val="28"/>
          <w:lang w:val="en-US" w:eastAsia="zh-CN"/>
        </w:rPr>
        <w:t>4</w:t>
      </w:r>
      <w:r>
        <w:rPr>
          <w:rFonts w:hint="eastAsia" w:hAnsi="宋体"/>
          <w:kern w:val="0"/>
          <w:sz w:val="28"/>
          <w:szCs w:val="28"/>
        </w:rPr>
        <w:t>仅仅是</w:t>
      </w:r>
      <w:r>
        <w:rPr>
          <w:rFonts w:hint="eastAsia" w:hAnsi="宋体"/>
          <w:kern w:val="0"/>
          <w:sz w:val="28"/>
          <w:szCs w:val="28"/>
          <w:lang w:eastAsia="zh-CN"/>
        </w:rPr>
        <w:t>终端设备</w:t>
      </w:r>
      <w:r>
        <w:rPr>
          <w:rFonts w:hint="eastAsia" w:hAnsi="宋体"/>
          <w:kern w:val="0"/>
          <w:sz w:val="28"/>
          <w:szCs w:val="28"/>
        </w:rPr>
        <w:t>的举例，并不构成对</w:t>
      </w:r>
      <w:r>
        <w:rPr>
          <w:rFonts w:hint="eastAsia" w:hAnsi="宋体"/>
          <w:kern w:val="0"/>
          <w:sz w:val="28"/>
          <w:szCs w:val="28"/>
          <w:lang w:eastAsia="zh-CN"/>
        </w:rPr>
        <w:t>终端设备</w:t>
      </w:r>
      <w:r>
        <w:rPr>
          <w:rFonts w:hint="eastAsia" w:hAnsi="宋体"/>
          <w:kern w:val="0"/>
          <w:sz w:val="28"/>
          <w:szCs w:val="28"/>
        </w:rPr>
        <w:t>的限定，可以包括比图示更多或更少的部件，或者组合某些部件，或者不同的部件，例如还可以包括输入输出设备、网络接入设备等。</w:t>
      </w:r>
    </w:p>
    <w:p>
      <w:pPr>
        <w:keepNext w:val="0"/>
        <w:keepLines w:val="0"/>
        <w:widowControl w:val="0"/>
        <w:kinsoku/>
        <w:wordWrap/>
        <w:overflowPunct/>
        <w:topLinePunct w:val="0"/>
        <w:autoSpaceDE/>
        <w:autoSpaceDN/>
        <w:bidi w:val="0"/>
        <w:adjustRightInd/>
        <w:snapToGrid/>
        <w:spacing w:line="460" w:lineRule="exact"/>
        <w:ind w:firstLine="570"/>
        <w:rPr>
          <w:rFonts w:hAnsi="宋体"/>
          <w:kern w:val="0"/>
          <w:sz w:val="28"/>
          <w:szCs w:val="28"/>
        </w:rPr>
      </w:pPr>
      <w:r>
        <w:rPr>
          <w:rFonts w:hint="eastAsia" w:hAnsi="宋体"/>
          <w:kern w:val="0"/>
          <w:sz w:val="28"/>
          <w:szCs w:val="28"/>
        </w:rPr>
        <w:t>所称处理器可以是中央处理单元</w:t>
      </w:r>
      <w:r>
        <w:rPr>
          <w:rFonts w:hint="eastAsia" w:hAnsi="宋体"/>
          <w:kern w:val="0"/>
          <w:sz w:val="28"/>
          <w:szCs w:val="28"/>
          <w:lang w:eastAsia="zh-CN"/>
        </w:rPr>
        <w:t>（</w:t>
      </w:r>
      <w:r>
        <w:rPr>
          <w:rFonts w:hint="eastAsia" w:hAnsi="宋体"/>
          <w:kern w:val="0"/>
          <w:sz w:val="28"/>
          <w:szCs w:val="28"/>
        </w:rPr>
        <w:t>Central Processing Unit，CPU</w:t>
      </w:r>
      <w:r>
        <w:rPr>
          <w:rFonts w:hint="eastAsia" w:hAnsi="宋体"/>
          <w:kern w:val="0"/>
          <w:sz w:val="28"/>
          <w:szCs w:val="28"/>
          <w:lang w:eastAsia="zh-CN"/>
        </w:rPr>
        <w:t>）</w:t>
      </w:r>
      <w:r>
        <w:rPr>
          <w:rFonts w:hint="eastAsia" w:hAnsi="宋体"/>
          <w:kern w:val="0"/>
          <w:sz w:val="28"/>
          <w:szCs w:val="28"/>
        </w:rPr>
        <w:t>，该处理器还可以是其他通用处理器、数字信号处理器</w:t>
      </w:r>
      <w:r>
        <w:rPr>
          <w:rFonts w:hint="eastAsia" w:hAnsi="宋体"/>
          <w:kern w:val="0"/>
          <w:sz w:val="28"/>
          <w:szCs w:val="28"/>
          <w:lang w:eastAsia="zh-CN"/>
        </w:rPr>
        <w:t>（</w:t>
      </w:r>
      <w:r>
        <w:rPr>
          <w:rFonts w:hint="eastAsia" w:hAnsi="宋体"/>
          <w:kern w:val="0"/>
          <w:sz w:val="28"/>
          <w:szCs w:val="28"/>
        </w:rPr>
        <w:t>Digital Signal Processor，DSP</w:t>
      </w:r>
      <w:r>
        <w:rPr>
          <w:rFonts w:hint="eastAsia" w:hAnsi="宋体"/>
          <w:kern w:val="0"/>
          <w:sz w:val="28"/>
          <w:szCs w:val="28"/>
          <w:lang w:eastAsia="zh-CN"/>
        </w:rPr>
        <w:t>）</w:t>
      </w:r>
      <w:r>
        <w:rPr>
          <w:rFonts w:hint="eastAsia" w:hAnsi="宋体"/>
          <w:kern w:val="0"/>
          <w:sz w:val="28"/>
          <w:szCs w:val="28"/>
        </w:rPr>
        <w:t>、专用集成电路</w:t>
      </w:r>
      <w:r>
        <w:rPr>
          <w:rFonts w:hint="eastAsia" w:hAnsi="宋体"/>
          <w:kern w:val="0"/>
          <w:sz w:val="28"/>
          <w:szCs w:val="28"/>
          <w:lang w:eastAsia="zh-CN"/>
        </w:rPr>
        <w:t>（</w:t>
      </w:r>
      <w:r>
        <w:rPr>
          <w:rFonts w:hint="eastAsia" w:hAnsi="宋体"/>
          <w:kern w:val="0"/>
          <w:sz w:val="28"/>
          <w:szCs w:val="28"/>
        </w:rPr>
        <w:t>Application Specific Integrated Circuit，ASIC</w:t>
      </w:r>
      <w:r>
        <w:rPr>
          <w:rFonts w:hint="eastAsia" w:hAnsi="宋体"/>
          <w:kern w:val="0"/>
          <w:sz w:val="28"/>
          <w:szCs w:val="28"/>
          <w:lang w:eastAsia="zh-CN"/>
        </w:rPr>
        <w:t>）</w:t>
      </w:r>
      <w:r>
        <w:rPr>
          <w:rFonts w:hint="eastAsia" w:hAnsi="宋体"/>
          <w:kern w:val="0"/>
          <w:sz w:val="28"/>
          <w:szCs w:val="28"/>
        </w:rPr>
        <w:t>、现成可编程门阵列</w:t>
      </w:r>
      <w:r>
        <w:rPr>
          <w:rFonts w:hint="eastAsia" w:hAnsi="宋体"/>
          <w:kern w:val="0"/>
          <w:sz w:val="28"/>
          <w:szCs w:val="28"/>
          <w:lang w:eastAsia="zh-CN"/>
        </w:rPr>
        <w:t>（</w:t>
      </w:r>
      <w:r>
        <w:rPr>
          <w:rFonts w:hint="eastAsia" w:hAnsi="宋体"/>
          <w:kern w:val="0"/>
          <w:sz w:val="28"/>
          <w:szCs w:val="28"/>
        </w:rPr>
        <w:t>Field-Programmable Gate Array，FPGA</w:t>
      </w:r>
      <w:r>
        <w:rPr>
          <w:rFonts w:hint="eastAsia" w:hAnsi="宋体"/>
          <w:kern w:val="0"/>
          <w:sz w:val="28"/>
          <w:szCs w:val="28"/>
          <w:lang w:eastAsia="zh-CN"/>
        </w:rPr>
        <w:t>）</w:t>
      </w:r>
      <w:r>
        <w:rPr>
          <w:rFonts w:hint="eastAsia" w:hAnsi="宋体"/>
          <w:kern w:val="0"/>
          <w:sz w:val="28"/>
          <w:szCs w:val="28"/>
        </w:rPr>
        <w:t>或者其他可编程逻辑器件、分立门或者晶体管逻辑器件、分立硬件组件等。通用处理器可以是微处理器或者该处理器也可以是任何常规的处理器等。</w:t>
      </w:r>
    </w:p>
    <w:p>
      <w:pPr>
        <w:keepNext w:val="0"/>
        <w:keepLines w:val="0"/>
        <w:widowControl w:val="0"/>
        <w:kinsoku/>
        <w:wordWrap/>
        <w:overflowPunct/>
        <w:topLinePunct w:val="0"/>
        <w:autoSpaceDE/>
        <w:autoSpaceDN/>
        <w:bidi w:val="0"/>
        <w:adjustRightInd/>
        <w:snapToGrid/>
        <w:spacing w:line="460" w:lineRule="exact"/>
        <w:ind w:firstLine="570"/>
        <w:rPr>
          <w:rFonts w:hAnsi="宋体"/>
          <w:kern w:val="0"/>
          <w:sz w:val="28"/>
          <w:szCs w:val="28"/>
        </w:rPr>
      </w:pPr>
      <w:r>
        <w:rPr>
          <w:rFonts w:hint="eastAsia" w:hAnsi="宋体"/>
          <w:kern w:val="0"/>
          <w:sz w:val="28"/>
          <w:szCs w:val="28"/>
        </w:rPr>
        <w:t>所述存储器在一些实施例中可以是所述</w:t>
      </w:r>
      <w:r>
        <w:rPr>
          <w:rFonts w:hint="eastAsia" w:hAnsi="宋体"/>
          <w:kern w:val="0"/>
          <w:sz w:val="28"/>
          <w:szCs w:val="28"/>
          <w:lang w:eastAsia="zh-CN"/>
        </w:rPr>
        <w:t>终端设备</w:t>
      </w:r>
      <w:r>
        <w:rPr>
          <w:rFonts w:hint="eastAsia" w:hAnsi="宋体"/>
          <w:kern w:val="0"/>
          <w:sz w:val="28"/>
          <w:szCs w:val="28"/>
        </w:rPr>
        <w:t>的内部存储单元，例如</w:t>
      </w:r>
      <w:r>
        <w:rPr>
          <w:rFonts w:hint="eastAsia" w:hAnsi="宋体"/>
          <w:kern w:val="0"/>
          <w:sz w:val="28"/>
          <w:szCs w:val="28"/>
          <w:lang w:eastAsia="zh-CN"/>
        </w:rPr>
        <w:t>终端设备</w:t>
      </w:r>
      <w:r>
        <w:rPr>
          <w:rFonts w:hint="eastAsia" w:hAnsi="宋体"/>
          <w:kern w:val="0"/>
          <w:sz w:val="28"/>
          <w:szCs w:val="28"/>
        </w:rPr>
        <w:t>的内存。所述存储器在另一些实施例中也可以是所述</w:t>
      </w:r>
      <w:r>
        <w:rPr>
          <w:rFonts w:hint="eastAsia" w:hAnsi="宋体"/>
          <w:kern w:val="0"/>
          <w:sz w:val="28"/>
          <w:szCs w:val="28"/>
          <w:lang w:eastAsia="zh-CN"/>
        </w:rPr>
        <w:t>终端设备</w:t>
      </w:r>
      <w:r>
        <w:rPr>
          <w:rFonts w:hint="eastAsia" w:hAnsi="宋体"/>
          <w:kern w:val="0"/>
          <w:sz w:val="28"/>
          <w:szCs w:val="28"/>
        </w:rPr>
        <w:t>的外部存储设备，例如所述</w:t>
      </w:r>
      <w:r>
        <w:rPr>
          <w:rFonts w:hint="eastAsia" w:hAnsi="宋体"/>
          <w:kern w:val="0"/>
          <w:sz w:val="28"/>
          <w:szCs w:val="28"/>
          <w:lang w:eastAsia="zh-CN"/>
        </w:rPr>
        <w:t>终端设备</w:t>
      </w:r>
      <w:r>
        <w:rPr>
          <w:rFonts w:hint="eastAsia" w:hAnsi="宋体"/>
          <w:kern w:val="0"/>
          <w:sz w:val="28"/>
          <w:szCs w:val="28"/>
        </w:rPr>
        <w:t>上配备的插接式硬盘，智能存储卡</w:t>
      </w:r>
      <w:r>
        <w:rPr>
          <w:rFonts w:hint="eastAsia" w:hAnsi="宋体"/>
          <w:kern w:val="0"/>
          <w:sz w:val="28"/>
          <w:szCs w:val="28"/>
          <w:lang w:eastAsia="zh-CN"/>
        </w:rPr>
        <w:t>（</w:t>
      </w:r>
      <w:r>
        <w:rPr>
          <w:rFonts w:hint="eastAsia" w:hAnsi="宋体"/>
          <w:kern w:val="0"/>
          <w:sz w:val="28"/>
          <w:szCs w:val="28"/>
        </w:rPr>
        <w:t>Smart Media Card</w:t>
      </w:r>
      <w:r>
        <w:rPr>
          <w:rFonts w:hint="eastAsia" w:hAnsi="宋体"/>
          <w:kern w:val="0"/>
          <w:sz w:val="28"/>
          <w:szCs w:val="28"/>
          <w:lang w:eastAsia="zh-CN"/>
        </w:rPr>
        <w:t>，</w:t>
      </w:r>
      <w:r>
        <w:rPr>
          <w:rFonts w:hint="eastAsia" w:hAnsi="宋体"/>
          <w:kern w:val="0"/>
          <w:sz w:val="28"/>
          <w:szCs w:val="28"/>
        </w:rPr>
        <w:t>SMC</w:t>
      </w:r>
      <w:r>
        <w:rPr>
          <w:rFonts w:hint="eastAsia" w:hAnsi="宋体"/>
          <w:kern w:val="0"/>
          <w:sz w:val="28"/>
          <w:szCs w:val="28"/>
          <w:lang w:eastAsia="zh-CN"/>
        </w:rPr>
        <w:t>）</w:t>
      </w:r>
      <w:r>
        <w:rPr>
          <w:rFonts w:hint="eastAsia" w:hAnsi="宋体"/>
          <w:kern w:val="0"/>
          <w:sz w:val="28"/>
          <w:szCs w:val="28"/>
        </w:rPr>
        <w:t>，安全数字（Secure Digital</w:t>
      </w:r>
      <w:r>
        <w:rPr>
          <w:rFonts w:hint="eastAsia" w:hAnsi="宋体"/>
          <w:kern w:val="0"/>
          <w:sz w:val="28"/>
          <w:szCs w:val="28"/>
          <w:lang w:eastAsia="zh-CN"/>
        </w:rPr>
        <w:t>，</w:t>
      </w:r>
      <w:r>
        <w:rPr>
          <w:rFonts w:hint="eastAsia" w:hAnsi="宋体"/>
          <w:kern w:val="0"/>
          <w:sz w:val="28"/>
          <w:szCs w:val="28"/>
        </w:rPr>
        <w:t>SD）卡，闪存卡（Flash Card）等。进一步地，所述存储器还可以既包括所述</w:t>
      </w:r>
      <w:r>
        <w:rPr>
          <w:rFonts w:hint="eastAsia" w:hAnsi="宋体"/>
          <w:kern w:val="0"/>
          <w:sz w:val="28"/>
          <w:szCs w:val="28"/>
          <w:lang w:eastAsia="zh-CN"/>
        </w:rPr>
        <w:t>终端设备</w:t>
      </w:r>
      <w:r>
        <w:rPr>
          <w:rFonts w:hint="eastAsia" w:hAnsi="宋体"/>
          <w:kern w:val="0"/>
          <w:sz w:val="28"/>
          <w:szCs w:val="28"/>
        </w:rPr>
        <w:t>的内部存储单元也包括外部存储设备。所述存储器用于存储操作系统、应用程序、引导装载程序</w:t>
      </w:r>
      <w:r>
        <w:rPr>
          <w:rFonts w:hint="eastAsia" w:hAnsi="宋体"/>
          <w:kern w:val="0"/>
          <w:sz w:val="28"/>
          <w:szCs w:val="28"/>
          <w:lang w:eastAsia="zh-CN"/>
        </w:rPr>
        <w:t>（</w:t>
      </w:r>
      <w:r>
        <w:rPr>
          <w:rFonts w:hint="eastAsia" w:hAnsi="宋体"/>
          <w:kern w:val="0"/>
          <w:sz w:val="28"/>
          <w:szCs w:val="28"/>
        </w:rPr>
        <w:t>BootLoader</w:t>
      </w:r>
      <w:r>
        <w:rPr>
          <w:rFonts w:hint="eastAsia" w:hAnsi="宋体"/>
          <w:kern w:val="0"/>
          <w:sz w:val="28"/>
          <w:szCs w:val="28"/>
          <w:lang w:eastAsia="zh-CN"/>
        </w:rPr>
        <w:t>）</w:t>
      </w:r>
      <w:r>
        <w:rPr>
          <w:rFonts w:hint="eastAsia" w:hAnsi="宋体"/>
          <w:kern w:val="0"/>
          <w:sz w:val="28"/>
          <w:szCs w:val="28"/>
        </w:rPr>
        <w:t>、数据以及其他程序等，例如所述计算机程序的程序代码等。所述存储器还可以用于暂时地存储已经输出或者将要输出的数据。</w:t>
      </w:r>
    </w:p>
    <w:p>
      <w:pPr>
        <w:keepNext w:val="0"/>
        <w:keepLines w:val="0"/>
        <w:widowControl w:val="0"/>
        <w:kinsoku/>
        <w:wordWrap/>
        <w:overflowPunct/>
        <w:topLinePunct w:val="0"/>
        <w:autoSpaceDE/>
        <w:autoSpaceDN/>
        <w:bidi w:val="0"/>
        <w:adjustRightInd/>
        <w:snapToGrid/>
        <w:spacing w:line="460" w:lineRule="exact"/>
        <w:ind w:firstLine="570"/>
        <w:rPr>
          <w:kern w:val="0"/>
          <w:sz w:val="28"/>
          <w:szCs w:val="28"/>
        </w:rPr>
      </w:pPr>
      <w:r>
        <w:rPr>
          <w:rFonts w:hint="eastAsia"/>
          <w:kern w:val="0"/>
          <w:sz w:val="28"/>
          <w:szCs w:val="28"/>
        </w:rPr>
        <w:t>本申请实施例还提供了一种计算机可读存储介质，所述计算机可读存储介质存储有计算机程序，所述计算机程序被处理器执行时实现可实现上述各个方法实施例中的步骤。</w:t>
      </w:r>
    </w:p>
    <w:p>
      <w:pPr>
        <w:keepNext w:val="0"/>
        <w:keepLines w:val="0"/>
        <w:widowControl w:val="0"/>
        <w:kinsoku/>
        <w:wordWrap/>
        <w:overflowPunct/>
        <w:topLinePunct w:val="0"/>
        <w:autoSpaceDE/>
        <w:autoSpaceDN/>
        <w:bidi w:val="0"/>
        <w:adjustRightInd/>
        <w:snapToGrid/>
        <w:spacing w:line="460" w:lineRule="exact"/>
        <w:ind w:firstLine="570"/>
        <w:rPr>
          <w:kern w:val="0"/>
          <w:sz w:val="28"/>
          <w:szCs w:val="28"/>
        </w:rPr>
      </w:pPr>
      <w:r>
        <w:rPr>
          <w:rFonts w:hint="eastAsia"/>
          <w:kern w:val="0"/>
          <w:sz w:val="28"/>
          <w:szCs w:val="28"/>
        </w:rPr>
        <w:t>本申请实施例提供了一种计算机程序产品，当计算机程序产品在</w:t>
      </w:r>
      <w:r>
        <w:rPr>
          <w:rFonts w:hint="eastAsia"/>
          <w:kern w:val="0"/>
          <w:sz w:val="28"/>
          <w:szCs w:val="28"/>
          <w:lang w:eastAsia="zh-CN"/>
        </w:rPr>
        <w:t>终端设备</w:t>
      </w:r>
      <w:r>
        <w:rPr>
          <w:rFonts w:hint="eastAsia"/>
          <w:kern w:val="0"/>
          <w:sz w:val="28"/>
          <w:szCs w:val="28"/>
        </w:rPr>
        <w:t>上运行时，使得</w:t>
      </w:r>
      <w:r>
        <w:rPr>
          <w:rFonts w:hint="eastAsia"/>
          <w:kern w:val="0"/>
          <w:sz w:val="28"/>
          <w:szCs w:val="28"/>
          <w:lang w:eastAsia="zh-CN"/>
        </w:rPr>
        <w:t>终端设备</w:t>
      </w:r>
      <w:r>
        <w:rPr>
          <w:rFonts w:hint="eastAsia"/>
          <w:kern w:val="0"/>
          <w:sz w:val="28"/>
          <w:szCs w:val="28"/>
        </w:rPr>
        <w:t>执行时实现可实现上述各个方法实施例中的步骤。</w:t>
      </w:r>
    </w:p>
    <w:p>
      <w:pPr>
        <w:keepNext w:val="0"/>
        <w:keepLines w:val="0"/>
        <w:widowControl w:val="0"/>
        <w:kinsoku/>
        <w:wordWrap/>
        <w:overflowPunct/>
        <w:topLinePunct w:val="0"/>
        <w:autoSpaceDE/>
        <w:autoSpaceDN/>
        <w:bidi w:val="0"/>
        <w:adjustRightInd/>
        <w:snapToGrid/>
        <w:spacing w:line="460" w:lineRule="exact"/>
        <w:ind w:firstLine="560" w:firstLineChars="200"/>
        <w:rPr>
          <w:rFonts w:hAnsi="宋体"/>
          <w:sz w:val="28"/>
        </w:rPr>
      </w:pPr>
      <w:r>
        <w:rPr>
          <w:rFonts w:hint="eastAsia" w:hAnsi="宋体"/>
          <w:sz w:val="28"/>
        </w:rPr>
        <w:t>所述集成的单元如果以软件功能单元的形式实现并作为独立的产品销售或使用时，可以存储在一个计算机可读取存储介质中。基于这样的理解，本申请实现上述实施例方法中的全部或部分流程，可以通过计算机程序来指令相关的硬件来完成，所述的计算机程序可存储于计算机可读存储介质中，该计算机程序在被处理器执行时，可实现上述各个方法实施例的步骤。其中，所述计算机程序包括计算机程序代码，所述计算机程序代码可以为源代码形式、对象代码形式、可执行文件或某些中间形式等。所述计算机可读介质至少可以包括：能够将计算机程序代码携带到</w:t>
      </w:r>
      <w:r>
        <w:rPr>
          <w:rFonts w:hint="eastAsia" w:hAnsi="宋体"/>
          <w:sz w:val="28"/>
          <w:lang w:eastAsia="zh-CN"/>
        </w:rPr>
        <w:t>终端设备</w:t>
      </w:r>
      <w:r>
        <w:rPr>
          <w:rFonts w:hint="eastAsia" w:hAnsi="宋体"/>
          <w:sz w:val="28"/>
        </w:rPr>
        <w:t>的任何实体或装置、记录介质、计算机存储器、只读存储器（</w:t>
      </w:r>
      <w:r>
        <w:rPr>
          <w:rFonts w:hAnsi="宋体"/>
          <w:sz w:val="28"/>
        </w:rPr>
        <w:t>ROM</w:t>
      </w:r>
      <w:r>
        <w:rPr>
          <w:rFonts w:hint="eastAsia" w:hAnsi="宋体"/>
          <w:sz w:val="28"/>
        </w:rPr>
        <w:t>，</w:t>
      </w:r>
      <w:r>
        <w:rPr>
          <w:rFonts w:hAnsi="宋体"/>
          <w:sz w:val="28"/>
        </w:rPr>
        <w:t>Read-Only Memory</w:t>
      </w:r>
      <w:r>
        <w:rPr>
          <w:rFonts w:hint="eastAsia" w:hAnsi="宋体"/>
          <w:sz w:val="28"/>
        </w:rPr>
        <w:t>）、随机存取存储器（</w:t>
      </w:r>
      <w:r>
        <w:rPr>
          <w:rFonts w:hAnsi="宋体"/>
          <w:sz w:val="28"/>
        </w:rPr>
        <w:t>RAM</w:t>
      </w:r>
      <w:r>
        <w:rPr>
          <w:rFonts w:hint="eastAsia" w:hAnsi="宋体"/>
          <w:sz w:val="28"/>
        </w:rPr>
        <w:t>，</w:t>
      </w:r>
      <w:r>
        <w:rPr>
          <w:rFonts w:hAnsi="宋体"/>
          <w:sz w:val="28"/>
        </w:rPr>
        <w:t>Random Access Memory</w:t>
      </w:r>
      <w:r>
        <w:rPr>
          <w:rFonts w:hint="eastAsia" w:hAnsi="宋体"/>
          <w:sz w:val="28"/>
        </w:rPr>
        <w:t>）、电载波信号、电信信号以及软件分发介质。例如</w:t>
      </w:r>
      <w:r>
        <w:rPr>
          <w:rFonts w:hAnsi="宋体"/>
          <w:sz w:val="28"/>
        </w:rPr>
        <w:t>U</w:t>
      </w:r>
      <w:r>
        <w:rPr>
          <w:rFonts w:hint="eastAsia" w:hAnsi="宋体"/>
          <w:sz w:val="28"/>
        </w:rPr>
        <w:t>盘、移动硬盘、磁碟或者光盘等。在某些司法管辖区，根据立法和专利实践，计算机可读介质不可以是电载波信号和电信信号。</w:t>
      </w:r>
    </w:p>
    <w:p>
      <w:pPr>
        <w:keepNext w:val="0"/>
        <w:keepLines w:val="0"/>
        <w:widowControl w:val="0"/>
        <w:kinsoku/>
        <w:wordWrap/>
        <w:overflowPunct/>
        <w:topLinePunct w:val="0"/>
        <w:autoSpaceDE/>
        <w:autoSpaceDN/>
        <w:bidi w:val="0"/>
        <w:adjustRightInd/>
        <w:snapToGrid/>
        <w:spacing w:line="460" w:lineRule="exact"/>
        <w:ind w:firstLine="570"/>
        <w:rPr>
          <w:kern w:val="0"/>
          <w:sz w:val="28"/>
          <w:szCs w:val="28"/>
        </w:rPr>
      </w:pPr>
      <w:r>
        <w:rPr>
          <w:rFonts w:hAnsi="宋体"/>
          <w:kern w:val="0"/>
          <w:sz w:val="28"/>
          <w:szCs w:val="28"/>
        </w:rPr>
        <w:t>在上述实施例中，对各个实施例的描述都各有侧重，某个实施例中没有详述或记载的部分，可以参见其它实施例的相关描述。</w:t>
      </w:r>
    </w:p>
    <w:p>
      <w:pPr>
        <w:keepNext w:val="0"/>
        <w:keepLines w:val="0"/>
        <w:widowControl w:val="0"/>
        <w:kinsoku/>
        <w:wordWrap/>
        <w:overflowPunct/>
        <w:topLinePunct w:val="0"/>
        <w:autoSpaceDE/>
        <w:autoSpaceDN/>
        <w:bidi w:val="0"/>
        <w:adjustRightInd/>
        <w:snapToGrid/>
        <w:spacing w:line="460" w:lineRule="exact"/>
        <w:ind w:firstLine="560" w:firstLineChars="200"/>
        <w:rPr>
          <w:rFonts w:hAnsi="宋体"/>
          <w:kern w:val="0"/>
          <w:sz w:val="28"/>
          <w:szCs w:val="28"/>
        </w:rPr>
      </w:pPr>
      <w:r>
        <w:rPr>
          <w:rFonts w:hAnsi="宋体"/>
          <w:sz w:val="28"/>
        </w:rPr>
        <w:t>以上所述实施例仅用以说明本申请的技术方案，而非对其限制；尽管参照前述实施例对本申请进行了详细的说明，本领域的普通技术人员应当理解：其依然可以对前述各实施例所记载的技术方案进行修改，或者对其中部分技术特征进行等同替换；而这些修改或者替换，并不使相应技术方案的本质脱离本申请各实施例技术方案的精神和范围</w:t>
      </w:r>
      <w:r>
        <w:rPr>
          <w:rFonts w:hAnsi="宋体"/>
          <w:kern w:val="0"/>
          <w:sz w:val="28"/>
          <w:szCs w:val="28"/>
        </w:rPr>
        <w:t>，均应包含在本申请的保护范围之内。</w:t>
      </w:r>
    </w:p>
    <w:p>
      <w:pPr>
        <w:keepNext w:val="0"/>
        <w:keepLines w:val="0"/>
        <w:pageBreakBefore/>
        <w:widowControl w:val="0"/>
        <w:pBdr>
          <w:bottom w:val="single" w:color="auto" w:sz="6" w:space="1"/>
        </w:pBdr>
        <w:kinsoku/>
        <w:wordWrap/>
        <w:overflowPunct/>
        <w:topLinePunct w:val="0"/>
        <w:autoSpaceDE/>
        <w:autoSpaceDN/>
        <w:bidi w:val="0"/>
        <w:adjustRightInd/>
        <w:snapToGrid/>
        <w:spacing w:line="460" w:lineRule="exact"/>
        <w:jc w:val="center"/>
        <w:rPr>
          <w:rFonts w:hAnsi="宋体"/>
          <w:b/>
          <w:bCs/>
          <w:spacing w:val="74"/>
          <w:kern w:val="0"/>
          <w:sz w:val="30"/>
          <w:szCs w:val="28"/>
        </w:rPr>
        <w:sectPr>
          <w:footerReference r:id="rId4" w:type="default"/>
          <w:pgSz w:w="11907" w:h="16840"/>
          <w:pgMar w:top="1418" w:right="947" w:bottom="851" w:left="1418" w:header="0" w:footer="851" w:gutter="0"/>
          <w:pgNumType w:start="1"/>
          <w:cols w:space="720" w:num="1"/>
          <w:docGrid w:linePitch="432" w:charSpace="0"/>
        </w:sectPr>
      </w:pPr>
    </w:p>
    <w:p>
      <w:pPr>
        <w:pageBreakBefore/>
        <w:pBdr>
          <w:bottom w:val="single" w:color="auto" w:sz="6" w:space="1"/>
        </w:pBdr>
        <w:spacing w:line="360" w:lineRule="auto"/>
        <w:jc w:val="center"/>
        <w:rPr>
          <w:kern w:val="0"/>
          <w:sz w:val="28"/>
          <w:szCs w:val="28"/>
        </w:rPr>
      </w:pPr>
      <w:r>
        <w:rPr>
          <w:rFonts w:hAnsi="宋体"/>
          <w:b/>
          <w:bCs/>
          <w:spacing w:val="75"/>
          <w:kern w:val="0"/>
          <w:sz w:val="30"/>
          <w:szCs w:val="28"/>
          <w:fitText w:val="2100" w:id="468728577"/>
        </w:rPr>
        <w:t>说明书附</w:t>
      </w:r>
      <w:r>
        <w:rPr>
          <w:rFonts w:hAnsi="宋体"/>
          <w:b/>
          <w:bCs/>
          <w:spacing w:val="0"/>
          <w:kern w:val="0"/>
          <w:sz w:val="30"/>
          <w:szCs w:val="28"/>
          <w:fitText w:val="2100" w:id="468728577"/>
        </w:rPr>
        <w:t>图</w:t>
      </w:r>
    </w:p>
    <w:p>
      <w:pPr>
        <w:tabs>
          <w:tab w:val="left" w:pos="321"/>
          <w:tab w:val="center" w:pos="4831"/>
        </w:tabs>
        <w:jc w:val="center"/>
        <w:rPr>
          <w:kern w:val="0"/>
          <w:sz w:val="28"/>
          <w:szCs w:val="28"/>
        </w:rPr>
      </w:pPr>
    </w:p>
    <w:p>
      <w:pPr>
        <w:tabs>
          <w:tab w:val="left" w:pos="321"/>
          <w:tab w:val="center" w:pos="4831"/>
        </w:tabs>
        <w:jc w:val="center"/>
        <w:rPr>
          <w:kern w:val="0"/>
          <w:sz w:val="28"/>
          <w:szCs w:val="28"/>
        </w:rPr>
      </w:pPr>
      <w:r>
        <w:drawing>
          <wp:inline distT="0" distB="0" distL="114300" distR="114300">
            <wp:extent cx="2815590" cy="3827780"/>
            <wp:effectExtent l="0" t="0" r="8890" b="254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7"/>
                    <a:stretch>
                      <a:fillRect/>
                    </a:stretch>
                  </pic:blipFill>
                  <pic:spPr>
                    <a:xfrm>
                      <a:off x="0" y="0"/>
                      <a:ext cx="2815590" cy="3827780"/>
                    </a:xfrm>
                    <a:prstGeom prst="rect">
                      <a:avLst/>
                    </a:prstGeom>
                    <a:noFill/>
                    <a:ln>
                      <a:noFill/>
                    </a:ln>
                  </pic:spPr>
                </pic:pic>
              </a:graphicData>
            </a:graphic>
          </wp:inline>
        </w:drawing>
      </w:r>
    </w:p>
    <w:p>
      <w:pPr>
        <w:keepNext w:val="0"/>
        <w:keepLines w:val="0"/>
        <w:pageBreakBefore w:val="0"/>
        <w:widowControl w:val="0"/>
        <w:tabs>
          <w:tab w:val="left" w:pos="321"/>
          <w:tab w:val="center" w:pos="4831"/>
        </w:tabs>
        <w:kinsoku/>
        <w:wordWrap/>
        <w:overflowPunct/>
        <w:topLinePunct w:val="0"/>
        <w:autoSpaceDE/>
        <w:autoSpaceDN/>
        <w:bidi w:val="0"/>
        <w:adjustRightInd/>
        <w:snapToGrid/>
        <w:spacing w:line="460" w:lineRule="exact"/>
        <w:jc w:val="center"/>
        <w:textAlignment w:val="auto"/>
        <w:rPr>
          <w:kern w:val="0"/>
          <w:sz w:val="28"/>
          <w:szCs w:val="28"/>
        </w:rPr>
      </w:pPr>
      <w:r>
        <w:rPr>
          <w:rFonts w:hint="eastAsia"/>
          <w:kern w:val="0"/>
          <w:sz w:val="28"/>
          <w:szCs w:val="28"/>
        </w:rPr>
        <w:t>图1</w:t>
      </w:r>
    </w:p>
    <w:p>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kern w:val="0"/>
          <w:sz w:val="28"/>
          <w:szCs w:val="28"/>
        </w:rPr>
      </w:pPr>
    </w:p>
    <w:p>
      <w:pPr>
        <w:spacing w:line="360" w:lineRule="auto"/>
        <w:jc w:val="center"/>
        <w:rPr>
          <w:kern w:val="0"/>
          <w:sz w:val="28"/>
          <w:szCs w:val="28"/>
        </w:rPr>
      </w:pPr>
      <w:r>
        <w:drawing>
          <wp:inline distT="0" distB="0" distL="114300" distR="114300">
            <wp:extent cx="4170045" cy="3528695"/>
            <wp:effectExtent l="0" t="0" r="5715" b="6985"/>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8"/>
                    <a:stretch>
                      <a:fillRect/>
                    </a:stretch>
                  </pic:blipFill>
                  <pic:spPr>
                    <a:xfrm>
                      <a:off x="0" y="0"/>
                      <a:ext cx="4170045" cy="3528695"/>
                    </a:xfrm>
                    <a:prstGeom prst="rect">
                      <a:avLst/>
                    </a:prstGeom>
                    <a:noFill/>
                    <a:ln>
                      <a:noFill/>
                    </a:ln>
                  </pic:spPr>
                </pic:pic>
              </a:graphicData>
            </a:graphic>
          </wp:inline>
        </w:drawing>
      </w:r>
    </w:p>
    <w:p>
      <w:pPr>
        <w:keepNext w:val="0"/>
        <w:keepLines w:val="0"/>
        <w:pageBreakBefore w:val="0"/>
        <w:widowControl w:val="0"/>
        <w:tabs>
          <w:tab w:val="left" w:pos="321"/>
          <w:tab w:val="center" w:pos="4831"/>
        </w:tabs>
        <w:kinsoku/>
        <w:wordWrap/>
        <w:overflowPunct/>
        <w:topLinePunct w:val="0"/>
        <w:autoSpaceDE/>
        <w:autoSpaceDN/>
        <w:bidi w:val="0"/>
        <w:adjustRightInd/>
        <w:snapToGrid/>
        <w:spacing w:line="460" w:lineRule="exact"/>
        <w:jc w:val="center"/>
        <w:textAlignment w:val="auto"/>
        <w:rPr>
          <w:kern w:val="0"/>
          <w:sz w:val="28"/>
          <w:szCs w:val="28"/>
        </w:rPr>
      </w:pPr>
      <w:r>
        <w:rPr>
          <w:rFonts w:hint="eastAsia"/>
          <w:kern w:val="0"/>
          <w:sz w:val="28"/>
          <w:szCs w:val="28"/>
        </w:rPr>
        <w:t>图2</w:t>
      </w:r>
    </w:p>
    <w:p>
      <w:pPr>
        <w:tabs>
          <w:tab w:val="left" w:pos="321"/>
          <w:tab w:val="center" w:pos="4831"/>
        </w:tabs>
        <w:jc w:val="center"/>
        <w:rPr>
          <w:kern w:val="0"/>
          <w:sz w:val="28"/>
          <w:szCs w:val="28"/>
        </w:rPr>
      </w:pPr>
    </w:p>
    <w:p>
      <w:pPr>
        <w:tabs>
          <w:tab w:val="left" w:pos="321"/>
          <w:tab w:val="center" w:pos="4831"/>
        </w:tabs>
        <w:jc w:val="center"/>
        <w:rPr>
          <w:rFonts w:hint="default"/>
          <w:kern w:val="0"/>
          <w:sz w:val="28"/>
          <w:szCs w:val="28"/>
          <w:lang w:val="en-US"/>
        </w:rPr>
      </w:pPr>
      <w:r>
        <w:rPr>
          <w:rFonts w:hint="default"/>
          <w:kern w:val="0"/>
          <w:sz w:val="28"/>
          <w:szCs w:val="28"/>
          <w:lang w:val="en-US"/>
        </w:rPr>
        <w:drawing>
          <wp:inline distT="0" distB="0" distL="114300" distR="114300">
            <wp:extent cx="6053455" cy="3026410"/>
            <wp:effectExtent l="0" t="0" r="1905" b="1270"/>
            <wp:docPr id="8" name="Picture 8" descr="builder_score_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uilder_score_trends"/>
                    <pic:cNvPicPr>
                      <a:picLocks noChangeAspect="1"/>
                    </pic:cNvPicPr>
                  </pic:nvPicPr>
                  <pic:blipFill>
                    <a:blip r:embed="rId9"/>
                    <a:stretch>
                      <a:fillRect/>
                    </a:stretch>
                  </pic:blipFill>
                  <pic:spPr>
                    <a:xfrm>
                      <a:off x="0" y="0"/>
                      <a:ext cx="6053455" cy="3026410"/>
                    </a:xfrm>
                    <a:prstGeom prst="rect">
                      <a:avLst/>
                    </a:prstGeom>
                  </pic:spPr>
                </pic:pic>
              </a:graphicData>
            </a:graphic>
          </wp:inline>
        </w:drawing>
      </w:r>
    </w:p>
    <w:p>
      <w:pPr>
        <w:keepNext w:val="0"/>
        <w:keepLines w:val="0"/>
        <w:pageBreakBefore w:val="0"/>
        <w:widowControl w:val="0"/>
        <w:tabs>
          <w:tab w:val="left" w:pos="321"/>
          <w:tab w:val="center" w:pos="4831"/>
        </w:tabs>
        <w:kinsoku/>
        <w:wordWrap/>
        <w:overflowPunct/>
        <w:topLinePunct w:val="0"/>
        <w:autoSpaceDE/>
        <w:autoSpaceDN/>
        <w:bidi w:val="0"/>
        <w:adjustRightInd/>
        <w:snapToGrid/>
        <w:spacing w:line="460" w:lineRule="exact"/>
        <w:jc w:val="center"/>
        <w:textAlignment w:val="auto"/>
        <w:rPr>
          <w:kern w:val="0"/>
          <w:sz w:val="28"/>
          <w:szCs w:val="28"/>
        </w:rPr>
      </w:pPr>
      <w:r>
        <w:rPr>
          <w:rFonts w:hint="eastAsia"/>
          <w:kern w:val="0"/>
          <w:sz w:val="28"/>
          <w:szCs w:val="28"/>
        </w:rPr>
        <w:t>图3</w:t>
      </w:r>
    </w:p>
    <w:p>
      <w:pPr>
        <w:spacing w:line="360" w:lineRule="auto"/>
        <w:jc w:val="center"/>
        <w:rPr>
          <w:kern w:val="0"/>
          <w:sz w:val="28"/>
          <w:szCs w:val="28"/>
        </w:rPr>
      </w:pPr>
      <w:r>
        <w:drawing>
          <wp:inline distT="0" distB="0" distL="114300" distR="114300">
            <wp:extent cx="5062855" cy="2794000"/>
            <wp:effectExtent l="0" t="0" r="6985"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10"/>
                    <a:stretch>
                      <a:fillRect/>
                    </a:stretch>
                  </pic:blipFill>
                  <pic:spPr>
                    <a:xfrm>
                      <a:off x="0" y="0"/>
                      <a:ext cx="5062855" cy="27940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default"/>
          <w:kern w:val="0"/>
          <w:sz w:val="28"/>
          <w:szCs w:val="28"/>
          <w:lang w:val="en-US"/>
        </w:rPr>
      </w:pPr>
      <w:r>
        <w:rPr>
          <w:rFonts w:hAnsi="宋体"/>
          <w:kern w:val="0"/>
          <w:sz w:val="28"/>
          <w:szCs w:val="28"/>
        </w:rPr>
        <w:t>图</w:t>
      </w:r>
      <w:r>
        <w:rPr>
          <w:rFonts w:hint="default" w:hAnsi="宋体"/>
          <w:kern w:val="0"/>
          <w:sz w:val="28"/>
          <w:szCs w:val="28"/>
          <w:lang w:val="en-US"/>
        </w:rPr>
        <w:t>4</w:t>
      </w:r>
    </w:p>
    <w:p>
      <w:pPr>
        <w:spacing w:line="360" w:lineRule="auto"/>
        <w:jc w:val="center"/>
        <w:rPr>
          <w:kern w:val="0"/>
          <w:sz w:val="28"/>
          <w:szCs w:val="28"/>
        </w:rPr>
      </w:pPr>
    </w:p>
    <w:sectPr>
      <w:footerReference r:id="rId5" w:type="default"/>
      <w:pgSz w:w="11907" w:h="16840"/>
      <w:pgMar w:top="1418" w:right="947" w:bottom="851" w:left="1418" w:header="0" w:footer="851" w:gutter="0"/>
      <w:pgNumType w:start="1"/>
      <w:cols w:space="720" w:num="1"/>
      <w:docGrid w:linePitch="43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1"/>
    <w:family w:val="swiss"/>
    <w:pitch w:val="default"/>
    <w:sig w:usb0="E0002EFF" w:usb1="C000785B" w:usb2="00000009" w:usb3="00000000" w:csb0="400001FF" w:csb1="FFFF0000"/>
  </w:font>
  <w:font w:name="Courier New">
    <w:panose1 w:val="02070309020205020404"/>
    <w:charset w:val="01"/>
    <w:family w:val="modern"/>
    <w:pitch w:val="default"/>
    <w:sig w:usb0="00007A87" w:usb1="80000000" w:usb2="00000008"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宋体S-超大字符集">
    <w:panose1 w:val="02000000000000000000"/>
    <w:charset w:val="86"/>
    <w:family w:val="auto"/>
    <w:pitch w:val="default"/>
    <w:sig w:usb0="00000001" w:usb1="08000000" w:usb2="00000000" w:usb3="00000000" w:csb0="00040000" w:csb1="00000000"/>
  </w:font>
  <w:font w:name="Source Han Sans CN Light">
    <w:panose1 w:val="020B0500000000000000"/>
    <w:charset w:val="86"/>
    <w:family w:val="auto"/>
    <w:pitch w:val="default"/>
    <w:sig w:usb0="20000083" w:usb1="2ADF3C10" w:usb2="00000016" w:usb3="00000000" w:csb0="60060107" w:csb1="00000000"/>
  </w:font>
  <w:font w:name="Source Han Sans CN ExtraLight">
    <w:panose1 w:val="020B05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0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pPr>
                            <w:pStyle w:val="14"/>
                            <w:jc w:val="center"/>
                          </w:pPr>
                          <w:r>
                            <w:rPr>
                              <w:rStyle w:val="21"/>
                            </w:rPr>
                            <w:fldChar w:fldCharType="begin"/>
                          </w:r>
                          <w:r>
                            <w:rPr>
                              <w:rStyle w:val="21"/>
                            </w:rPr>
                            <w:instrText xml:space="preserve"> PAGE </w:instrText>
                          </w:r>
                          <w:r>
                            <w:rPr>
                              <w:rStyle w:val="21"/>
                            </w:rPr>
                            <w:fldChar w:fldCharType="separate"/>
                          </w:r>
                          <w:r>
                            <w:rPr>
                              <w:rStyle w:val="21"/>
                            </w:rPr>
                            <w:t>3</w:t>
                          </w:r>
                          <w:r>
                            <w:rPr>
                              <w:rStyle w:val="21"/>
                            </w:rPr>
                            <w:fldChar w:fldCharType="end"/>
                          </w:r>
                        </w:p>
                      </w:txbxContent>
                    </wps:txbx>
                    <wps:bodyPr wrap="none" lIns="0" tIns="0" rIns="0" bIns="0">
                      <a:spAutoFit/>
                    </wps:bodyPr>
                  </wps:wsp>
                </a:graphicData>
              </a:graphic>
            </wp:anchor>
          </w:drawing>
        </mc:Choice>
        <mc:Fallback>
          <w:pict>
            <v:shape id="文本框 1028"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">
              <v:fill on="f" focussize="0,0"/>
              <v:stroke on="f"/>
              <v:imagedata o:title=""/>
              <o:lock v:ext="edit" aspectratio="f"/>
              <v:textbox inset="0mm,0mm,0mm,0mm" style="mso-fit-shape-to-text:t;">
                <w:txbxContent>
                  <w:p>
                    <w:pPr>
                      <w:pStyle w:val="14"/>
                      <w:jc w:val="center"/>
                    </w:pPr>
                    <w:r>
                      <w:rPr>
                        <w:rStyle w:val="21"/>
                      </w:rPr>
                      <w:fldChar w:fldCharType="begin"/>
                    </w:r>
                    <w:r>
                      <w:rPr>
                        <w:rStyle w:val="21"/>
                      </w:rPr>
                      <w:instrText xml:space="preserve"> PAGE </w:instrText>
                    </w:r>
                    <w:r>
                      <w:rPr>
                        <w:rStyle w:val="21"/>
                      </w:rPr>
                      <w:fldChar w:fldCharType="separate"/>
                    </w:r>
                    <w:r>
                      <w:rPr>
                        <w:rStyle w:val="21"/>
                      </w:rPr>
                      <w:t>3</w:t>
                    </w:r>
                    <w:r>
                      <w:rPr>
                        <w:rStyle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0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pPr>
                            <w:pStyle w:val="14"/>
                            <w:jc w:val="center"/>
                          </w:pPr>
                          <w:r>
                            <w:rPr>
                              <w:rStyle w:val="21"/>
                            </w:rPr>
                            <w:fldChar w:fldCharType="begin"/>
                          </w:r>
                          <w:r>
                            <w:rPr>
                              <w:rStyle w:val="21"/>
                            </w:rPr>
                            <w:instrText xml:space="preserve"> PAGE </w:instrText>
                          </w:r>
                          <w:r>
                            <w:rPr>
                              <w:rStyle w:val="21"/>
                            </w:rPr>
                            <w:fldChar w:fldCharType="separate"/>
                          </w:r>
                          <w:r>
                            <w:rPr>
                              <w:rStyle w:val="21"/>
                            </w:rPr>
                            <w:t>1</w:t>
                          </w:r>
                          <w:r>
                            <w:rPr>
                              <w:rStyle w:val="21"/>
                            </w:rPr>
                            <w:fldChar w:fldCharType="end"/>
                          </w:r>
                        </w:p>
                      </w:txbxContent>
                    </wps:txbx>
                    <wps:bodyPr wrap="none" lIns="0" tIns="0" rIns="0" bIns="0">
                      <a:spAutoFit/>
                    </wps:bodyPr>
                  </wps:wsp>
                </a:graphicData>
              </a:graphic>
            </wp:anchor>
          </w:drawing>
        </mc:Choice>
        <mc:Fallback>
          <w:pict>
            <v:shape id="文本框 1028"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">
              <v:fill on="f" focussize="0,0"/>
              <v:stroke on="f"/>
              <v:imagedata o:title=""/>
              <o:lock v:ext="edit" aspectratio="f"/>
              <v:textbox inset="0mm,0mm,0mm,0mm" style="mso-fit-shape-to-text:t;">
                <w:txbxContent>
                  <w:p>
                    <w:pPr>
                      <w:pStyle w:val="14"/>
                      <w:jc w:val="center"/>
                    </w:pPr>
                    <w:r>
                      <w:rPr>
                        <w:rStyle w:val="21"/>
                      </w:rPr>
                      <w:fldChar w:fldCharType="begin"/>
                    </w:r>
                    <w:r>
                      <w:rPr>
                        <w:rStyle w:val="21"/>
                      </w:rPr>
                      <w:instrText xml:space="preserve"> PAGE </w:instrText>
                    </w:r>
                    <w:r>
                      <w:rPr>
                        <w:rStyle w:val="21"/>
                      </w:rPr>
                      <w:fldChar w:fldCharType="separate"/>
                    </w:r>
                    <w:r>
                      <w:rPr>
                        <w:rStyle w:val="21"/>
                      </w:rPr>
                      <w:t>1</w:t>
                    </w:r>
                    <w:r>
                      <w:rPr>
                        <w:rStyle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pPr>
                            <w:pStyle w:val="14"/>
                            <w:jc w:val="center"/>
                          </w:pPr>
                          <w:r>
                            <w:rPr>
                              <w:rStyle w:val="21"/>
                            </w:rPr>
                            <w:fldChar w:fldCharType="begin"/>
                          </w:r>
                          <w:r>
                            <w:rPr>
                              <w:rStyle w:val="21"/>
                            </w:rPr>
                            <w:instrText xml:space="preserve"> PAGE </w:instrText>
                          </w:r>
                          <w:r>
                            <w:rPr>
                              <w:rStyle w:val="21"/>
                            </w:rPr>
                            <w:fldChar w:fldCharType="separate"/>
                          </w:r>
                          <w:r>
                            <w:rPr>
                              <w:rStyle w:val="21"/>
                            </w:rPr>
                            <w:t>2</w:t>
                          </w:r>
                          <w:r>
                            <w:rPr>
                              <w:rStyle w:val="21"/>
                            </w:rPr>
                            <w:fldChar w:fldCharType="end"/>
                          </w:r>
                        </w:p>
                      </w:txbxContent>
                    </wps:txbx>
                    <wps:bodyPr wrap="none" lIns="0" tIns="0" rIns="0" bIns="0">
                      <a:spAutoFit/>
                    </wps:bodyPr>
                  </wps:wsp>
                </a:graphicData>
              </a:graphic>
            </wp:anchor>
          </w:drawing>
        </mc:Choice>
        <mc:Fallback>
          <w:pict>
            <v:shape id="文本框 1028"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">
              <v:fill on="f" focussize="0,0"/>
              <v:stroke on="f"/>
              <v:imagedata o:title=""/>
              <o:lock v:ext="edit" aspectratio="f"/>
              <v:textbox inset="0mm,0mm,0mm,0mm" style="mso-fit-shape-to-text:t;">
                <w:txbxContent>
                  <w:p>
                    <w:pPr>
                      <w:pStyle w:val="14"/>
                      <w:jc w:val="center"/>
                    </w:pPr>
                    <w:r>
                      <w:rPr>
                        <w:rStyle w:val="21"/>
                      </w:rPr>
                      <w:fldChar w:fldCharType="begin"/>
                    </w:r>
                    <w:r>
                      <w:rPr>
                        <w:rStyle w:val="21"/>
                      </w:rPr>
                      <w:instrText xml:space="preserve"> PAGE </w:instrText>
                    </w:r>
                    <w:r>
                      <w:rPr>
                        <w:rStyle w:val="21"/>
                      </w:rPr>
                      <w:fldChar w:fldCharType="separate"/>
                    </w:r>
                    <w:r>
                      <w:rPr>
                        <w:rStyle w:val="21"/>
                      </w:rPr>
                      <w:t>2</w:t>
                    </w:r>
                    <w:r>
                      <w:rPr>
                        <w:rStyle w:val="21"/>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27"/>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24"/>
      <w:suff w:val="space"/>
      <w:lvlText w:val="表%9"/>
      <w:lvlJc w:val="center"/>
      <w:pPr>
        <w:ind w:left="0" w:firstLine="0"/>
      </w:pPr>
      <w:rPr>
        <w:rFonts w:hint="default" w:ascii="Arial" w:hAnsi="Arial" w:eastAsia="黑体"/>
        <w:b w:val="0"/>
        <w:i w:val="0"/>
        <w:sz w:val="18"/>
        <w:szCs w:val="18"/>
      </w:rPr>
    </w:lvl>
  </w:abstractNum>
  <w:abstractNum w:abstractNumId="1">
    <w:nsid w:val="5FDC214B"/>
    <w:multiLevelType w:val="singleLevel"/>
    <w:tmpl w:val="5FDC214B"/>
    <w:lvl w:ilvl="0" w:tentative="0">
      <w:start w:val="1"/>
      <w:numFmt w:val="decimal"/>
      <w:suff w:val="space"/>
      <w:lvlText w:val="%1."/>
      <w:lvlJc w:val="left"/>
      <w:rPr>
        <w:rFonts w:hint="default"/>
        <w:b w:val="0"/>
        <w:bCs w:val="0"/>
      </w:rPr>
    </w:lvl>
  </w:abstractNum>
  <w:abstractNum w:abstractNumId="2">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50"/>
  <w:drawingGridHorizontalSpacing w:val="105"/>
  <w:drawingGridVerticalSpacing w:val="21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dlOWM4NjA0YzQ4MzI0YzA3YWQ5MzE0YzFhZWViZGYifQ=="/>
  </w:docVars>
  <w:rsids>
    <w:rsidRoot w:val="00874CCD"/>
    <w:rsid w:val="00002894"/>
    <w:rsid w:val="00006DC2"/>
    <w:rsid w:val="000101C6"/>
    <w:rsid w:val="000302CF"/>
    <w:rsid w:val="00034A7F"/>
    <w:rsid w:val="000368C2"/>
    <w:rsid w:val="000624E1"/>
    <w:rsid w:val="0006286E"/>
    <w:rsid w:val="0006356B"/>
    <w:rsid w:val="00072011"/>
    <w:rsid w:val="00081D8F"/>
    <w:rsid w:val="000844E3"/>
    <w:rsid w:val="000943A5"/>
    <w:rsid w:val="00096BBF"/>
    <w:rsid w:val="000A1863"/>
    <w:rsid w:val="000B21B7"/>
    <w:rsid w:val="000B24B1"/>
    <w:rsid w:val="000B3365"/>
    <w:rsid w:val="000D56B2"/>
    <w:rsid w:val="000D6E30"/>
    <w:rsid w:val="000D7B87"/>
    <w:rsid w:val="000E50A6"/>
    <w:rsid w:val="000E5CF0"/>
    <w:rsid w:val="000E6632"/>
    <w:rsid w:val="000E7AC1"/>
    <w:rsid w:val="000F055E"/>
    <w:rsid w:val="000F1EA9"/>
    <w:rsid w:val="000F629F"/>
    <w:rsid w:val="00110C27"/>
    <w:rsid w:val="00110E0F"/>
    <w:rsid w:val="00136A7A"/>
    <w:rsid w:val="001427F8"/>
    <w:rsid w:val="00155D1E"/>
    <w:rsid w:val="00160111"/>
    <w:rsid w:val="001708AE"/>
    <w:rsid w:val="00180A54"/>
    <w:rsid w:val="001911B5"/>
    <w:rsid w:val="001933A4"/>
    <w:rsid w:val="00197DA1"/>
    <w:rsid w:val="001A4B28"/>
    <w:rsid w:val="001B475B"/>
    <w:rsid w:val="001C4C45"/>
    <w:rsid w:val="001C7699"/>
    <w:rsid w:val="001E04E4"/>
    <w:rsid w:val="001E18D8"/>
    <w:rsid w:val="001E565D"/>
    <w:rsid w:val="001E6E75"/>
    <w:rsid w:val="001E7D2F"/>
    <w:rsid w:val="001F30A4"/>
    <w:rsid w:val="00200DD8"/>
    <w:rsid w:val="002048C1"/>
    <w:rsid w:val="00205FA4"/>
    <w:rsid w:val="002164F8"/>
    <w:rsid w:val="0021728F"/>
    <w:rsid w:val="00227E75"/>
    <w:rsid w:val="002376B8"/>
    <w:rsid w:val="0024058D"/>
    <w:rsid w:val="00244724"/>
    <w:rsid w:val="00245435"/>
    <w:rsid w:val="00263014"/>
    <w:rsid w:val="002669A1"/>
    <w:rsid w:val="0027261A"/>
    <w:rsid w:val="00280C78"/>
    <w:rsid w:val="002913DB"/>
    <w:rsid w:val="002A17FA"/>
    <w:rsid w:val="002A72D9"/>
    <w:rsid w:val="002B007C"/>
    <w:rsid w:val="002B0283"/>
    <w:rsid w:val="002C1DB2"/>
    <w:rsid w:val="002C3161"/>
    <w:rsid w:val="002D302B"/>
    <w:rsid w:val="002D5314"/>
    <w:rsid w:val="002E7074"/>
    <w:rsid w:val="00303918"/>
    <w:rsid w:val="00307B4A"/>
    <w:rsid w:val="0032248A"/>
    <w:rsid w:val="003311F0"/>
    <w:rsid w:val="003360D8"/>
    <w:rsid w:val="0034691C"/>
    <w:rsid w:val="00361850"/>
    <w:rsid w:val="00365E8E"/>
    <w:rsid w:val="00374BC0"/>
    <w:rsid w:val="003770A8"/>
    <w:rsid w:val="003863E5"/>
    <w:rsid w:val="00393AFB"/>
    <w:rsid w:val="003A7670"/>
    <w:rsid w:val="003B33A7"/>
    <w:rsid w:val="003B4649"/>
    <w:rsid w:val="003B642D"/>
    <w:rsid w:val="003B6C86"/>
    <w:rsid w:val="003B7B10"/>
    <w:rsid w:val="003C2094"/>
    <w:rsid w:val="003C3EC4"/>
    <w:rsid w:val="003C5649"/>
    <w:rsid w:val="003C64DC"/>
    <w:rsid w:val="003D0207"/>
    <w:rsid w:val="003D126A"/>
    <w:rsid w:val="003D5215"/>
    <w:rsid w:val="003E02CE"/>
    <w:rsid w:val="003E19B2"/>
    <w:rsid w:val="003E2A20"/>
    <w:rsid w:val="003F1086"/>
    <w:rsid w:val="003F45D2"/>
    <w:rsid w:val="003F5C96"/>
    <w:rsid w:val="003F6BA5"/>
    <w:rsid w:val="003F74A7"/>
    <w:rsid w:val="003F7704"/>
    <w:rsid w:val="00400618"/>
    <w:rsid w:val="00404C16"/>
    <w:rsid w:val="00422668"/>
    <w:rsid w:val="004235B6"/>
    <w:rsid w:val="0043774D"/>
    <w:rsid w:val="004536F8"/>
    <w:rsid w:val="00456377"/>
    <w:rsid w:val="00462667"/>
    <w:rsid w:val="0046375D"/>
    <w:rsid w:val="00465DF8"/>
    <w:rsid w:val="00470BED"/>
    <w:rsid w:val="00471461"/>
    <w:rsid w:val="004717EE"/>
    <w:rsid w:val="004A4E5B"/>
    <w:rsid w:val="004A6881"/>
    <w:rsid w:val="004B2869"/>
    <w:rsid w:val="004B3999"/>
    <w:rsid w:val="004B4C48"/>
    <w:rsid w:val="004C1A41"/>
    <w:rsid w:val="004C7E0A"/>
    <w:rsid w:val="004D717B"/>
    <w:rsid w:val="004E0378"/>
    <w:rsid w:val="004E4FC8"/>
    <w:rsid w:val="004F0CA4"/>
    <w:rsid w:val="005063E3"/>
    <w:rsid w:val="00507B8D"/>
    <w:rsid w:val="00512973"/>
    <w:rsid w:val="0052459C"/>
    <w:rsid w:val="00530B06"/>
    <w:rsid w:val="00534614"/>
    <w:rsid w:val="00542E06"/>
    <w:rsid w:val="00550126"/>
    <w:rsid w:val="00555EAA"/>
    <w:rsid w:val="00577041"/>
    <w:rsid w:val="00580328"/>
    <w:rsid w:val="00597CDE"/>
    <w:rsid w:val="00597F0F"/>
    <w:rsid w:val="005A45CB"/>
    <w:rsid w:val="005B2BC3"/>
    <w:rsid w:val="005B36CB"/>
    <w:rsid w:val="005B5B62"/>
    <w:rsid w:val="005D4B1D"/>
    <w:rsid w:val="005D574F"/>
    <w:rsid w:val="005E0542"/>
    <w:rsid w:val="005F0E1C"/>
    <w:rsid w:val="005F1388"/>
    <w:rsid w:val="005F67D3"/>
    <w:rsid w:val="005F7AFF"/>
    <w:rsid w:val="00600260"/>
    <w:rsid w:val="006019A2"/>
    <w:rsid w:val="00610983"/>
    <w:rsid w:val="00610CC6"/>
    <w:rsid w:val="0061136C"/>
    <w:rsid w:val="00614CD2"/>
    <w:rsid w:val="006168C3"/>
    <w:rsid w:val="006246A9"/>
    <w:rsid w:val="00640CF9"/>
    <w:rsid w:val="00641ED7"/>
    <w:rsid w:val="00643458"/>
    <w:rsid w:val="006441E2"/>
    <w:rsid w:val="006446A5"/>
    <w:rsid w:val="00653790"/>
    <w:rsid w:val="0066027E"/>
    <w:rsid w:val="006705F1"/>
    <w:rsid w:val="00670718"/>
    <w:rsid w:val="0067210D"/>
    <w:rsid w:val="00676EB7"/>
    <w:rsid w:val="00680A73"/>
    <w:rsid w:val="00690B94"/>
    <w:rsid w:val="006919B3"/>
    <w:rsid w:val="00695018"/>
    <w:rsid w:val="006B08EF"/>
    <w:rsid w:val="006C0F55"/>
    <w:rsid w:val="006D0939"/>
    <w:rsid w:val="006D17D7"/>
    <w:rsid w:val="006D1BD2"/>
    <w:rsid w:val="006E29BC"/>
    <w:rsid w:val="006E3FCF"/>
    <w:rsid w:val="006E59D4"/>
    <w:rsid w:val="0070494E"/>
    <w:rsid w:val="007076AF"/>
    <w:rsid w:val="007327D7"/>
    <w:rsid w:val="007335D9"/>
    <w:rsid w:val="00734A04"/>
    <w:rsid w:val="00745CE6"/>
    <w:rsid w:val="007506B7"/>
    <w:rsid w:val="00752DCF"/>
    <w:rsid w:val="007632AE"/>
    <w:rsid w:val="007720F1"/>
    <w:rsid w:val="007732B9"/>
    <w:rsid w:val="00774819"/>
    <w:rsid w:val="007801E1"/>
    <w:rsid w:val="007846C6"/>
    <w:rsid w:val="007867C6"/>
    <w:rsid w:val="00797B10"/>
    <w:rsid w:val="007A2D2C"/>
    <w:rsid w:val="007A5790"/>
    <w:rsid w:val="007B56E4"/>
    <w:rsid w:val="007C5E79"/>
    <w:rsid w:val="007D093B"/>
    <w:rsid w:val="007E1689"/>
    <w:rsid w:val="007F0348"/>
    <w:rsid w:val="007F6E42"/>
    <w:rsid w:val="00803BE1"/>
    <w:rsid w:val="00811C9A"/>
    <w:rsid w:val="0081266B"/>
    <w:rsid w:val="00817E78"/>
    <w:rsid w:val="00821038"/>
    <w:rsid w:val="00823CC1"/>
    <w:rsid w:val="008279C5"/>
    <w:rsid w:val="0084354D"/>
    <w:rsid w:val="00847466"/>
    <w:rsid w:val="00852996"/>
    <w:rsid w:val="0086521A"/>
    <w:rsid w:val="00874CCD"/>
    <w:rsid w:val="00883402"/>
    <w:rsid w:val="00886B6A"/>
    <w:rsid w:val="00890AA8"/>
    <w:rsid w:val="00890B7A"/>
    <w:rsid w:val="008924A5"/>
    <w:rsid w:val="008A131E"/>
    <w:rsid w:val="008A411A"/>
    <w:rsid w:val="008B3E9D"/>
    <w:rsid w:val="008C7975"/>
    <w:rsid w:val="008D79B1"/>
    <w:rsid w:val="008F7F6D"/>
    <w:rsid w:val="00900B3B"/>
    <w:rsid w:val="00912B75"/>
    <w:rsid w:val="0091666A"/>
    <w:rsid w:val="009265E9"/>
    <w:rsid w:val="009402A6"/>
    <w:rsid w:val="009413E3"/>
    <w:rsid w:val="00945A94"/>
    <w:rsid w:val="00962ED1"/>
    <w:rsid w:val="00964216"/>
    <w:rsid w:val="00966AD7"/>
    <w:rsid w:val="009678BA"/>
    <w:rsid w:val="00972C8A"/>
    <w:rsid w:val="009779D1"/>
    <w:rsid w:val="00982A04"/>
    <w:rsid w:val="009A36E5"/>
    <w:rsid w:val="009B032F"/>
    <w:rsid w:val="009B495C"/>
    <w:rsid w:val="009B7B30"/>
    <w:rsid w:val="009C1289"/>
    <w:rsid w:val="009C4B8E"/>
    <w:rsid w:val="009C54F5"/>
    <w:rsid w:val="009C72DD"/>
    <w:rsid w:val="009D0F33"/>
    <w:rsid w:val="009D4B9E"/>
    <w:rsid w:val="009D5222"/>
    <w:rsid w:val="009D524C"/>
    <w:rsid w:val="009E1992"/>
    <w:rsid w:val="009E2441"/>
    <w:rsid w:val="009E35A2"/>
    <w:rsid w:val="009E43AC"/>
    <w:rsid w:val="009F28F1"/>
    <w:rsid w:val="00A00282"/>
    <w:rsid w:val="00A01414"/>
    <w:rsid w:val="00A02340"/>
    <w:rsid w:val="00A23059"/>
    <w:rsid w:val="00A32943"/>
    <w:rsid w:val="00A36EA1"/>
    <w:rsid w:val="00A37D36"/>
    <w:rsid w:val="00A37F39"/>
    <w:rsid w:val="00A622D2"/>
    <w:rsid w:val="00A62A60"/>
    <w:rsid w:val="00A75349"/>
    <w:rsid w:val="00A84031"/>
    <w:rsid w:val="00A86861"/>
    <w:rsid w:val="00A911AA"/>
    <w:rsid w:val="00A97BDD"/>
    <w:rsid w:val="00AA375B"/>
    <w:rsid w:val="00AB1ED0"/>
    <w:rsid w:val="00AC357F"/>
    <w:rsid w:val="00AE0532"/>
    <w:rsid w:val="00AF49E7"/>
    <w:rsid w:val="00AF6FC4"/>
    <w:rsid w:val="00B12B7A"/>
    <w:rsid w:val="00B178D7"/>
    <w:rsid w:val="00B20785"/>
    <w:rsid w:val="00B259AA"/>
    <w:rsid w:val="00B33756"/>
    <w:rsid w:val="00B350D4"/>
    <w:rsid w:val="00B3579B"/>
    <w:rsid w:val="00B432A7"/>
    <w:rsid w:val="00B4731F"/>
    <w:rsid w:val="00B54DC9"/>
    <w:rsid w:val="00B607D5"/>
    <w:rsid w:val="00B6198A"/>
    <w:rsid w:val="00B62E0E"/>
    <w:rsid w:val="00B64AC2"/>
    <w:rsid w:val="00B65AA3"/>
    <w:rsid w:val="00B83A82"/>
    <w:rsid w:val="00B84EF8"/>
    <w:rsid w:val="00B859E3"/>
    <w:rsid w:val="00B87604"/>
    <w:rsid w:val="00B96176"/>
    <w:rsid w:val="00BA5428"/>
    <w:rsid w:val="00BA6196"/>
    <w:rsid w:val="00BA72F1"/>
    <w:rsid w:val="00BB3046"/>
    <w:rsid w:val="00BB625E"/>
    <w:rsid w:val="00BC0CC3"/>
    <w:rsid w:val="00BC241C"/>
    <w:rsid w:val="00BC3D01"/>
    <w:rsid w:val="00BD2194"/>
    <w:rsid w:val="00BD2545"/>
    <w:rsid w:val="00BD3180"/>
    <w:rsid w:val="00BD3A6B"/>
    <w:rsid w:val="00BD5872"/>
    <w:rsid w:val="00BE13A1"/>
    <w:rsid w:val="00BF0761"/>
    <w:rsid w:val="00BF30B9"/>
    <w:rsid w:val="00BF7AE1"/>
    <w:rsid w:val="00C07353"/>
    <w:rsid w:val="00C30600"/>
    <w:rsid w:val="00C37971"/>
    <w:rsid w:val="00C4231F"/>
    <w:rsid w:val="00C42803"/>
    <w:rsid w:val="00C45BE0"/>
    <w:rsid w:val="00C6163F"/>
    <w:rsid w:val="00C71D36"/>
    <w:rsid w:val="00C73917"/>
    <w:rsid w:val="00CB31F1"/>
    <w:rsid w:val="00CB3F7E"/>
    <w:rsid w:val="00CB4ECD"/>
    <w:rsid w:val="00CB5A1E"/>
    <w:rsid w:val="00CC0EE3"/>
    <w:rsid w:val="00CC1550"/>
    <w:rsid w:val="00CD137C"/>
    <w:rsid w:val="00CE037D"/>
    <w:rsid w:val="00CE0815"/>
    <w:rsid w:val="00CE36F7"/>
    <w:rsid w:val="00CE5915"/>
    <w:rsid w:val="00CE6176"/>
    <w:rsid w:val="00CF2058"/>
    <w:rsid w:val="00D10910"/>
    <w:rsid w:val="00D13429"/>
    <w:rsid w:val="00D27E95"/>
    <w:rsid w:val="00D336D3"/>
    <w:rsid w:val="00D41342"/>
    <w:rsid w:val="00D457DD"/>
    <w:rsid w:val="00D57461"/>
    <w:rsid w:val="00D62FAA"/>
    <w:rsid w:val="00D80B7A"/>
    <w:rsid w:val="00D8426C"/>
    <w:rsid w:val="00D93CCC"/>
    <w:rsid w:val="00DB2374"/>
    <w:rsid w:val="00DB3230"/>
    <w:rsid w:val="00DB4D75"/>
    <w:rsid w:val="00DB5E46"/>
    <w:rsid w:val="00DC050E"/>
    <w:rsid w:val="00DC22E9"/>
    <w:rsid w:val="00DC5830"/>
    <w:rsid w:val="00DD210B"/>
    <w:rsid w:val="00DD582A"/>
    <w:rsid w:val="00DD6C57"/>
    <w:rsid w:val="00DD7BA0"/>
    <w:rsid w:val="00DE151C"/>
    <w:rsid w:val="00DE2C37"/>
    <w:rsid w:val="00DE5273"/>
    <w:rsid w:val="00DE73C3"/>
    <w:rsid w:val="00DF154A"/>
    <w:rsid w:val="00DF5BFA"/>
    <w:rsid w:val="00E21830"/>
    <w:rsid w:val="00E21A04"/>
    <w:rsid w:val="00E229D1"/>
    <w:rsid w:val="00E24D52"/>
    <w:rsid w:val="00E355C2"/>
    <w:rsid w:val="00E44EBA"/>
    <w:rsid w:val="00E50ADC"/>
    <w:rsid w:val="00E64CED"/>
    <w:rsid w:val="00E67338"/>
    <w:rsid w:val="00E81A93"/>
    <w:rsid w:val="00E81BA9"/>
    <w:rsid w:val="00E82A99"/>
    <w:rsid w:val="00E87170"/>
    <w:rsid w:val="00E92449"/>
    <w:rsid w:val="00E94741"/>
    <w:rsid w:val="00EA271C"/>
    <w:rsid w:val="00EA3218"/>
    <w:rsid w:val="00EA7F60"/>
    <w:rsid w:val="00EB33AB"/>
    <w:rsid w:val="00EB51F0"/>
    <w:rsid w:val="00EC1586"/>
    <w:rsid w:val="00EC21BF"/>
    <w:rsid w:val="00EC47B2"/>
    <w:rsid w:val="00ED21CE"/>
    <w:rsid w:val="00ED5140"/>
    <w:rsid w:val="00EF59AB"/>
    <w:rsid w:val="00F028BF"/>
    <w:rsid w:val="00F06327"/>
    <w:rsid w:val="00F06CB4"/>
    <w:rsid w:val="00F100F6"/>
    <w:rsid w:val="00F156BA"/>
    <w:rsid w:val="00F16293"/>
    <w:rsid w:val="00F226BE"/>
    <w:rsid w:val="00F4033F"/>
    <w:rsid w:val="00F47FB2"/>
    <w:rsid w:val="00F50E72"/>
    <w:rsid w:val="00F54CEF"/>
    <w:rsid w:val="00F60273"/>
    <w:rsid w:val="00F60789"/>
    <w:rsid w:val="00F62BC3"/>
    <w:rsid w:val="00F65709"/>
    <w:rsid w:val="00F66C0C"/>
    <w:rsid w:val="00F70BB9"/>
    <w:rsid w:val="00F77B8E"/>
    <w:rsid w:val="00F77F41"/>
    <w:rsid w:val="00F8025F"/>
    <w:rsid w:val="00F81DC8"/>
    <w:rsid w:val="00F868C5"/>
    <w:rsid w:val="00F92364"/>
    <w:rsid w:val="00FA1BE8"/>
    <w:rsid w:val="00FB253A"/>
    <w:rsid w:val="00FB53C1"/>
    <w:rsid w:val="00FC4B23"/>
    <w:rsid w:val="00FC62E0"/>
    <w:rsid w:val="00FD10B0"/>
    <w:rsid w:val="00FD7006"/>
    <w:rsid w:val="00FD7D62"/>
    <w:rsid w:val="00FE7564"/>
    <w:rsid w:val="00FF02C2"/>
    <w:rsid w:val="00FF31AA"/>
    <w:rsid w:val="00FF6BA5"/>
    <w:rsid w:val="00FF6BF6"/>
    <w:rsid w:val="01076254"/>
    <w:rsid w:val="011B306A"/>
    <w:rsid w:val="011F0ECD"/>
    <w:rsid w:val="0129523B"/>
    <w:rsid w:val="01433740"/>
    <w:rsid w:val="01643F9D"/>
    <w:rsid w:val="019640D0"/>
    <w:rsid w:val="01D7703C"/>
    <w:rsid w:val="01FE6787"/>
    <w:rsid w:val="020D3ABA"/>
    <w:rsid w:val="02172DE1"/>
    <w:rsid w:val="02543806"/>
    <w:rsid w:val="02870FF5"/>
    <w:rsid w:val="02B82105"/>
    <w:rsid w:val="032E78A1"/>
    <w:rsid w:val="037945F9"/>
    <w:rsid w:val="038C76D9"/>
    <w:rsid w:val="039C24B2"/>
    <w:rsid w:val="039C4C1C"/>
    <w:rsid w:val="043F4184"/>
    <w:rsid w:val="056C7B90"/>
    <w:rsid w:val="057013A2"/>
    <w:rsid w:val="057C377D"/>
    <w:rsid w:val="05A32A8B"/>
    <w:rsid w:val="05F9301F"/>
    <w:rsid w:val="06156207"/>
    <w:rsid w:val="061E1CA4"/>
    <w:rsid w:val="064A3980"/>
    <w:rsid w:val="064A6732"/>
    <w:rsid w:val="069B19BD"/>
    <w:rsid w:val="06A3273E"/>
    <w:rsid w:val="06A507B2"/>
    <w:rsid w:val="06D105DA"/>
    <w:rsid w:val="07166493"/>
    <w:rsid w:val="073C1416"/>
    <w:rsid w:val="077A1300"/>
    <w:rsid w:val="07C13856"/>
    <w:rsid w:val="07FD6252"/>
    <w:rsid w:val="08082E23"/>
    <w:rsid w:val="083C0085"/>
    <w:rsid w:val="08484C61"/>
    <w:rsid w:val="08FD32B2"/>
    <w:rsid w:val="090C35D2"/>
    <w:rsid w:val="09245AAA"/>
    <w:rsid w:val="094025CF"/>
    <w:rsid w:val="09B63701"/>
    <w:rsid w:val="09DD3B34"/>
    <w:rsid w:val="0A0605FC"/>
    <w:rsid w:val="0A0A186D"/>
    <w:rsid w:val="0A176B83"/>
    <w:rsid w:val="0A1805EA"/>
    <w:rsid w:val="0A2C39C3"/>
    <w:rsid w:val="0A9F23E7"/>
    <w:rsid w:val="0AE1225D"/>
    <w:rsid w:val="0AED62AE"/>
    <w:rsid w:val="0B4E5258"/>
    <w:rsid w:val="0B7FE9ED"/>
    <w:rsid w:val="0B875C4F"/>
    <w:rsid w:val="0B907ACB"/>
    <w:rsid w:val="0BE16CF7"/>
    <w:rsid w:val="0BE82257"/>
    <w:rsid w:val="0C494811"/>
    <w:rsid w:val="0C607B67"/>
    <w:rsid w:val="0C8A3111"/>
    <w:rsid w:val="0C9B5D4D"/>
    <w:rsid w:val="0CEB73FD"/>
    <w:rsid w:val="0CFF05FE"/>
    <w:rsid w:val="0D5B5E68"/>
    <w:rsid w:val="0D7E56F1"/>
    <w:rsid w:val="0D88335D"/>
    <w:rsid w:val="0D9A052B"/>
    <w:rsid w:val="0DA83DDB"/>
    <w:rsid w:val="0DA87805"/>
    <w:rsid w:val="0DAF3A5F"/>
    <w:rsid w:val="0DB50520"/>
    <w:rsid w:val="0DF02F5A"/>
    <w:rsid w:val="0E382926"/>
    <w:rsid w:val="0E9F14BE"/>
    <w:rsid w:val="0EB045EC"/>
    <w:rsid w:val="0F6E43A3"/>
    <w:rsid w:val="0FDF2711"/>
    <w:rsid w:val="1001102E"/>
    <w:rsid w:val="10322E1B"/>
    <w:rsid w:val="104906FF"/>
    <w:rsid w:val="1049459D"/>
    <w:rsid w:val="106935B2"/>
    <w:rsid w:val="10CC4515"/>
    <w:rsid w:val="10DA3381"/>
    <w:rsid w:val="10E3725E"/>
    <w:rsid w:val="1122342A"/>
    <w:rsid w:val="112904C0"/>
    <w:rsid w:val="11401B02"/>
    <w:rsid w:val="115E6C21"/>
    <w:rsid w:val="116C697E"/>
    <w:rsid w:val="11B60410"/>
    <w:rsid w:val="11C107F3"/>
    <w:rsid w:val="12146450"/>
    <w:rsid w:val="12917A42"/>
    <w:rsid w:val="129B2699"/>
    <w:rsid w:val="12DE4478"/>
    <w:rsid w:val="12EE791C"/>
    <w:rsid w:val="12FF1677"/>
    <w:rsid w:val="13110F90"/>
    <w:rsid w:val="13371206"/>
    <w:rsid w:val="134028F6"/>
    <w:rsid w:val="1341283F"/>
    <w:rsid w:val="136F744C"/>
    <w:rsid w:val="13CE5CC2"/>
    <w:rsid w:val="13FE2A78"/>
    <w:rsid w:val="14103E1D"/>
    <w:rsid w:val="141C0260"/>
    <w:rsid w:val="1444222D"/>
    <w:rsid w:val="14655364"/>
    <w:rsid w:val="14862058"/>
    <w:rsid w:val="149870E3"/>
    <w:rsid w:val="14A42AC1"/>
    <w:rsid w:val="14C511B2"/>
    <w:rsid w:val="14C57359"/>
    <w:rsid w:val="14FC1A2A"/>
    <w:rsid w:val="15055C07"/>
    <w:rsid w:val="1507316F"/>
    <w:rsid w:val="150C7AF3"/>
    <w:rsid w:val="15470553"/>
    <w:rsid w:val="154F12FA"/>
    <w:rsid w:val="155B39BE"/>
    <w:rsid w:val="156B7B78"/>
    <w:rsid w:val="1578241F"/>
    <w:rsid w:val="15C24770"/>
    <w:rsid w:val="15F9038A"/>
    <w:rsid w:val="15FA2BC8"/>
    <w:rsid w:val="16143099"/>
    <w:rsid w:val="16437FA3"/>
    <w:rsid w:val="166E4A2F"/>
    <w:rsid w:val="169E308F"/>
    <w:rsid w:val="16C75491"/>
    <w:rsid w:val="16D4510C"/>
    <w:rsid w:val="173F7D2F"/>
    <w:rsid w:val="17957E56"/>
    <w:rsid w:val="17C23271"/>
    <w:rsid w:val="17CD25B7"/>
    <w:rsid w:val="17D9123E"/>
    <w:rsid w:val="17E26B05"/>
    <w:rsid w:val="17EE62A7"/>
    <w:rsid w:val="18163111"/>
    <w:rsid w:val="182013B6"/>
    <w:rsid w:val="182F2903"/>
    <w:rsid w:val="1835606A"/>
    <w:rsid w:val="186E1122"/>
    <w:rsid w:val="18C02066"/>
    <w:rsid w:val="18CA38B0"/>
    <w:rsid w:val="191A5F10"/>
    <w:rsid w:val="193A712F"/>
    <w:rsid w:val="1942632D"/>
    <w:rsid w:val="1943005E"/>
    <w:rsid w:val="195A58F5"/>
    <w:rsid w:val="197B108B"/>
    <w:rsid w:val="19DF6A39"/>
    <w:rsid w:val="19EC2827"/>
    <w:rsid w:val="19F72CAA"/>
    <w:rsid w:val="1A473F02"/>
    <w:rsid w:val="1AA64F31"/>
    <w:rsid w:val="1AE0072F"/>
    <w:rsid w:val="1AE81146"/>
    <w:rsid w:val="1B2A4F35"/>
    <w:rsid w:val="1B4D5548"/>
    <w:rsid w:val="1B5701D0"/>
    <w:rsid w:val="1B65681D"/>
    <w:rsid w:val="1B771326"/>
    <w:rsid w:val="1BA675B9"/>
    <w:rsid w:val="1BAB3F72"/>
    <w:rsid w:val="1BAF27D9"/>
    <w:rsid w:val="1BCA5D5A"/>
    <w:rsid w:val="1C4F01DD"/>
    <w:rsid w:val="1C5F19D6"/>
    <w:rsid w:val="1CCC1BD5"/>
    <w:rsid w:val="1D0E1FE5"/>
    <w:rsid w:val="1D73047B"/>
    <w:rsid w:val="1DC25032"/>
    <w:rsid w:val="1DD02DB3"/>
    <w:rsid w:val="1E0C3498"/>
    <w:rsid w:val="1E1D0603"/>
    <w:rsid w:val="1E550ABB"/>
    <w:rsid w:val="1EAA1B98"/>
    <w:rsid w:val="1ECF6F06"/>
    <w:rsid w:val="1EDE6E0D"/>
    <w:rsid w:val="1F301B2D"/>
    <w:rsid w:val="1F42306B"/>
    <w:rsid w:val="1F540786"/>
    <w:rsid w:val="1F7A595F"/>
    <w:rsid w:val="1F816296"/>
    <w:rsid w:val="1FB901E7"/>
    <w:rsid w:val="1FC54F08"/>
    <w:rsid w:val="1FDB1274"/>
    <w:rsid w:val="20055584"/>
    <w:rsid w:val="20097C80"/>
    <w:rsid w:val="2039346B"/>
    <w:rsid w:val="205C7FDE"/>
    <w:rsid w:val="209F4CFE"/>
    <w:rsid w:val="20CB1239"/>
    <w:rsid w:val="219F7353"/>
    <w:rsid w:val="21C609A3"/>
    <w:rsid w:val="21DC7346"/>
    <w:rsid w:val="220D67DF"/>
    <w:rsid w:val="224D5D57"/>
    <w:rsid w:val="22765047"/>
    <w:rsid w:val="22B73FEF"/>
    <w:rsid w:val="22BE6271"/>
    <w:rsid w:val="22CF2CE6"/>
    <w:rsid w:val="230162EB"/>
    <w:rsid w:val="231268B2"/>
    <w:rsid w:val="234605F8"/>
    <w:rsid w:val="236B1DF8"/>
    <w:rsid w:val="23AB0D40"/>
    <w:rsid w:val="23BA34ED"/>
    <w:rsid w:val="23DB671C"/>
    <w:rsid w:val="23DD764D"/>
    <w:rsid w:val="23E96A92"/>
    <w:rsid w:val="23EA1A91"/>
    <w:rsid w:val="247C6E9E"/>
    <w:rsid w:val="249246DF"/>
    <w:rsid w:val="24A02477"/>
    <w:rsid w:val="24B375AE"/>
    <w:rsid w:val="24B662F1"/>
    <w:rsid w:val="24C04C6F"/>
    <w:rsid w:val="24D1443A"/>
    <w:rsid w:val="24F41E00"/>
    <w:rsid w:val="25567158"/>
    <w:rsid w:val="256D22B4"/>
    <w:rsid w:val="258C2585"/>
    <w:rsid w:val="25AC76C1"/>
    <w:rsid w:val="25F93EA6"/>
    <w:rsid w:val="265162C2"/>
    <w:rsid w:val="268921CE"/>
    <w:rsid w:val="26AA17FF"/>
    <w:rsid w:val="271A5F3E"/>
    <w:rsid w:val="272772DE"/>
    <w:rsid w:val="274554FD"/>
    <w:rsid w:val="27534744"/>
    <w:rsid w:val="278009C0"/>
    <w:rsid w:val="2780131A"/>
    <w:rsid w:val="27E82F4F"/>
    <w:rsid w:val="280F6135"/>
    <w:rsid w:val="281A0EA7"/>
    <w:rsid w:val="286922A1"/>
    <w:rsid w:val="28D041C3"/>
    <w:rsid w:val="28F233E0"/>
    <w:rsid w:val="29091BC7"/>
    <w:rsid w:val="290B443E"/>
    <w:rsid w:val="294516E1"/>
    <w:rsid w:val="297752A0"/>
    <w:rsid w:val="29890081"/>
    <w:rsid w:val="298F34E6"/>
    <w:rsid w:val="2A110088"/>
    <w:rsid w:val="2A2378E5"/>
    <w:rsid w:val="2A2C6C70"/>
    <w:rsid w:val="2A5D507B"/>
    <w:rsid w:val="2A81787C"/>
    <w:rsid w:val="2ADF094B"/>
    <w:rsid w:val="2AEB43B5"/>
    <w:rsid w:val="2AFA0B1C"/>
    <w:rsid w:val="2B4B2105"/>
    <w:rsid w:val="2B7411B2"/>
    <w:rsid w:val="2B765EBE"/>
    <w:rsid w:val="2B8415C7"/>
    <w:rsid w:val="2B8E4267"/>
    <w:rsid w:val="2B91548B"/>
    <w:rsid w:val="2B9B78ED"/>
    <w:rsid w:val="2BB56C32"/>
    <w:rsid w:val="2BBC30CD"/>
    <w:rsid w:val="2BDE5B1F"/>
    <w:rsid w:val="2BFD6D3C"/>
    <w:rsid w:val="2C02717E"/>
    <w:rsid w:val="2C110E4E"/>
    <w:rsid w:val="2C1754B5"/>
    <w:rsid w:val="2C471E80"/>
    <w:rsid w:val="2CAD5E46"/>
    <w:rsid w:val="2CFCED83"/>
    <w:rsid w:val="2D4D3ECB"/>
    <w:rsid w:val="2DAE7DD3"/>
    <w:rsid w:val="2DF71407"/>
    <w:rsid w:val="2E221C94"/>
    <w:rsid w:val="2E4345E7"/>
    <w:rsid w:val="2E5D459D"/>
    <w:rsid w:val="2E7110F5"/>
    <w:rsid w:val="2E9B6A65"/>
    <w:rsid w:val="2EB302FF"/>
    <w:rsid w:val="2EF8361E"/>
    <w:rsid w:val="2F1B2054"/>
    <w:rsid w:val="2F5A7609"/>
    <w:rsid w:val="2F645777"/>
    <w:rsid w:val="2F8310E0"/>
    <w:rsid w:val="2FB50314"/>
    <w:rsid w:val="2FF13331"/>
    <w:rsid w:val="30800EEE"/>
    <w:rsid w:val="30837144"/>
    <w:rsid w:val="308E6750"/>
    <w:rsid w:val="3092558E"/>
    <w:rsid w:val="309F5E67"/>
    <w:rsid w:val="30B33C47"/>
    <w:rsid w:val="30B83A2F"/>
    <w:rsid w:val="30C31AFC"/>
    <w:rsid w:val="30CB67CE"/>
    <w:rsid w:val="30DD2A72"/>
    <w:rsid w:val="30F66754"/>
    <w:rsid w:val="311C5702"/>
    <w:rsid w:val="311D19E0"/>
    <w:rsid w:val="311E36DF"/>
    <w:rsid w:val="3148438F"/>
    <w:rsid w:val="31500CAA"/>
    <w:rsid w:val="31F60E8D"/>
    <w:rsid w:val="32167A3F"/>
    <w:rsid w:val="3223195A"/>
    <w:rsid w:val="32F75699"/>
    <w:rsid w:val="334317F1"/>
    <w:rsid w:val="33AB5DD1"/>
    <w:rsid w:val="33DFBC95"/>
    <w:rsid w:val="3409512C"/>
    <w:rsid w:val="348479E9"/>
    <w:rsid w:val="349252D1"/>
    <w:rsid w:val="34F527AC"/>
    <w:rsid w:val="34F7519E"/>
    <w:rsid w:val="350E5A13"/>
    <w:rsid w:val="358F55D8"/>
    <w:rsid w:val="35C22BE6"/>
    <w:rsid w:val="35E771C4"/>
    <w:rsid w:val="35F26500"/>
    <w:rsid w:val="36285B48"/>
    <w:rsid w:val="36372C68"/>
    <w:rsid w:val="369C2C78"/>
    <w:rsid w:val="36A0600B"/>
    <w:rsid w:val="373D070E"/>
    <w:rsid w:val="37667B47"/>
    <w:rsid w:val="377203C6"/>
    <w:rsid w:val="378A207F"/>
    <w:rsid w:val="37B07132"/>
    <w:rsid w:val="37F54F01"/>
    <w:rsid w:val="38282471"/>
    <w:rsid w:val="383C2C50"/>
    <w:rsid w:val="38440B33"/>
    <w:rsid w:val="386544C2"/>
    <w:rsid w:val="389E4038"/>
    <w:rsid w:val="390C4C6A"/>
    <w:rsid w:val="391A75D0"/>
    <w:rsid w:val="391D63AE"/>
    <w:rsid w:val="39240C19"/>
    <w:rsid w:val="39487F0F"/>
    <w:rsid w:val="3951235F"/>
    <w:rsid w:val="39583A46"/>
    <w:rsid w:val="3963344E"/>
    <w:rsid w:val="39A01BA3"/>
    <w:rsid w:val="39F47125"/>
    <w:rsid w:val="3A105FCD"/>
    <w:rsid w:val="3A1540C0"/>
    <w:rsid w:val="3A523479"/>
    <w:rsid w:val="3A5E5772"/>
    <w:rsid w:val="3A694E5B"/>
    <w:rsid w:val="3A6E44C4"/>
    <w:rsid w:val="3A7B60FF"/>
    <w:rsid w:val="3ABD4EDB"/>
    <w:rsid w:val="3AC41D40"/>
    <w:rsid w:val="3AF5528B"/>
    <w:rsid w:val="3B0C3A33"/>
    <w:rsid w:val="3B1874C8"/>
    <w:rsid w:val="3B7A5FCD"/>
    <w:rsid w:val="3B84167A"/>
    <w:rsid w:val="3B8552E9"/>
    <w:rsid w:val="3B9B49E3"/>
    <w:rsid w:val="3BC6450B"/>
    <w:rsid w:val="3BCC0915"/>
    <w:rsid w:val="3BDF78B2"/>
    <w:rsid w:val="3BFE6655"/>
    <w:rsid w:val="3C204A3C"/>
    <w:rsid w:val="3C23688C"/>
    <w:rsid w:val="3C476E87"/>
    <w:rsid w:val="3C781275"/>
    <w:rsid w:val="3C832420"/>
    <w:rsid w:val="3C9E29ED"/>
    <w:rsid w:val="3CCB27F8"/>
    <w:rsid w:val="3D002DE0"/>
    <w:rsid w:val="3D192F31"/>
    <w:rsid w:val="3D1A36F5"/>
    <w:rsid w:val="3D5356C5"/>
    <w:rsid w:val="3D662981"/>
    <w:rsid w:val="3D9A6E6F"/>
    <w:rsid w:val="3DA22C71"/>
    <w:rsid w:val="3DF7132D"/>
    <w:rsid w:val="3DFFADE8"/>
    <w:rsid w:val="3E03671E"/>
    <w:rsid w:val="3E13331B"/>
    <w:rsid w:val="3E1A6B83"/>
    <w:rsid w:val="3E1B5812"/>
    <w:rsid w:val="3E1E53E6"/>
    <w:rsid w:val="3E2B48A6"/>
    <w:rsid w:val="3EC31D1F"/>
    <w:rsid w:val="3EE44967"/>
    <w:rsid w:val="3EF64AE9"/>
    <w:rsid w:val="3F3E2EBE"/>
    <w:rsid w:val="3F536256"/>
    <w:rsid w:val="3F617928"/>
    <w:rsid w:val="3F63621F"/>
    <w:rsid w:val="3F686166"/>
    <w:rsid w:val="3F6BF42C"/>
    <w:rsid w:val="3FBD0B14"/>
    <w:rsid w:val="3FC512A1"/>
    <w:rsid w:val="3FE72EE8"/>
    <w:rsid w:val="3FF6E199"/>
    <w:rsid w:val="3FFD7414"/>
    <w:rsid w:val="3FFF0835"/>
    <w:rsid w:val="4004626D"/>
    <w:rsid w:val="400835D7"/>
    <w:rsid w:val="4033428B"/>
    <w:rsid w:val="406E7B95"/>
    <w:rsid w:val="408B436D"/>
    <w:rsid w:val="40DB5765"/>
    <w:rsid w:val="40DF07D7"/>
    <w:rsid w:val="41597EF3"/>
    <w:rsid w:val="419F354F"/>
    <w:rsid w:val="41A96F60"/>
    <w:rsid w:val="41EE77DF"/>
    <w:rsid w:val="422009FB"/>
    <w:rsid w:val="424610D2"/>
    <w:rsid w:val="4297128B"/>
    <w:rsid w:val="42C957EC"/>
    <w:rsid w:val="42E01FC2"/>
    <w:rsid w:val="42FE033F"/>
    <w:rsid w:val="43010592"/>
    <w:rsid w:val="430239F2"/>
    <w:rsid w:val="4340117D"/>
    <w:rsid w:val="438A1174"/>
    <w:rsid w:val="438B7C0D"/>
    <w:rsid w:val="43974E59"/>
    <w:rsid w:val="43A044FF"/>
    <w:rsid w:val="43D81418"/>
    <w:rsid w:val="43EE0C29"/>
    <w:rsid w:val="43F521FC"/>
    <w:rsid w:val="44565721"/>
    <w:rsid w:val="445A3A9C"/>
    <w:rsid w:val="44A14AB4"/>
    <w:rsid w:val="44CE1100"/>
    <w:rsid w:val="44DB3186"/>
    <w:rsid w:val="44FC23D2"/>
    <w:rsid w:val="450F3EA6"/>
    <w:rsid w:val="45294080"/>
    <w:rsid w:val="45463126"/>
    <w:rsid w:val="458A2882"/>
    <w:rsid w:val="45B10B51"/>
    <w:rsid w:val="45C3263C"/>
    <w:rsid w:val="45D86F18"/>
    <w:rsid w:val="45E67882"/>
    <w:rsid w:val="46136462"/>
    <w:rsid w:val="46234025"/>
    <w:rsid w:val="46420512"/>
    <w:rsid w:val="466F321C"/>
    <w:rsid w:val="467E78D3"/>
    <w:rsid w:val="46CE358C"/>
    <w:rsid w:val="46E2726D"/>
    <w:rsid w:val="473E77C7"/>
    <w:rsid w:val="47E91713"/>
    <w:rsid w:val="47F71AD1"/>
    <w:rsid w:val="48480FE6"/>
    <w:rsid w:val="485B7C58"/>
    <w:rsid w:val="48BF572A"/>
    <w:rsid w:val="48C7608A"/>
    <w:rsid w:val="48FB7921"/>
    <w:rsid w:val="49216F11"/>
    <w:rsid w:val="492C6273"/>
    <w:rsid w:val="49626805"/>
    <w:rsid w:val="49671049"/>
    <w:rsid w:val="4A064990"/>
    <w:rsid w:val="4A1932A7"/>
    <w:rsid w:val="4A6C1F42"/>
    <w:rsid w:val="4A9A6E9C"/>
    <w:rsid w:val="4AB068FB"/>
    <w:rsid w:val="4AB2387D"/>
    <w:rsid w:val="4ADD2208"/>
    <w:rsid w:val="4AFD399F"/>
    <w:rsid w:val="4B14730E"/>
    <w:rsid w:val="4B357FF2"/>
    <w:rsid w:val="4B616BD2"/>
    <w:rsid w:val="4B79704C"/>
    <w:rsid w:val="4B911DC2"/>
    <w:rsid w:val="4BA0475F"/>
    <w:rsid w:val="4BD9235C"/>
    <w:rsid w:val="4BDB17F8"/>
    <w:rsid w:val="4BEF5C4B"/>
    <w:rsid w:val="4C220C74"/>
    <w:rsid w:val="4C3C32C0"/>
    <w:rsid w:val="4C432EAC"/>
    <w:rsid w:val="4C435792"/>
    <w:rsid w:val="4C574161"/>
    <w:rsid w:val="4C6F22E2"/>
    <w:rsid w:val="4C937F97"/>
    <w:rsid w:val="4CB64166"/>
    <w:rsid w:val="4CD0170B"/>
    <w:rsid w:val="4CF43618"/>
    <w:rsid w:val="4CFA3498"/>
    <w:rsid w:val="4CFD38ED"/>
    <w:rsid w:val="4D134669"/>
    <w:rsid w:val="4D3B4D64"/>
    <w:rsid w:val="4D8219D6"/>
    <w:rsid w:val="4D88228C"/>
    <w:rsid w:val="4D8B0078"/>
    <w:rsid w:val="4D8B1D7C"/>
    <w:rsid w:val="4D98130A"/>
    <w:rsid w:val="4E0C7238"/>
    <w:rsid w:val="4E242C6D"/>
    <w:rsid w:val="4E5E049F"/>
    <w:rsid w:val="4E737F19"/>
    <w:rsid w:val="4E974B7E"/>
    <w:rsid w:val="4E9C613C"/>
    <w:rsid w:val="4EA46D29"/>
    <w:rsid w:val="4EAE033A"/>
    <w:rsid w:val="4ED5578C"/>
    <w:rsid w:val="4F0F42E7"/>
    <w:rsid w:val="4F152BAA"/>
    <w:rsid w:val="4F4E3061"/>
    <w:rsid w:val="4F7E17B1"/>
    <w:rsid w:val="4FB24C5F"/>
    <w:rsid w:val="4FD9196B"/>
    <w:rsid w:val="4FE90EE1"/>
    <w:rsid w:val="50153B7F"/>
    <w:rsid w:val="5026668E"/>
    <w:rsid w:val="5041039E"/>
    <w:rsid w:val="506C1E6D"/>
    <w:rsid w:val="50A94540"/>
    <w:rsid w:val="50AD059E"/>
    <w:rsid w:val="50F92314"/>
    <w:rsid w:val="50FA2C4E"/>
    <w:rsid w:val="51713F68"/>
    <w:rsid w:val="51791EB2"/>
    <w:rsid w:val="51C92E73"/>
    <w:rsid w:val="51CD54BD"/>
    <w:rsid w:val="51EF441B"/>
    <w:rsid w:val="523A78CD"/>
    <w:rsid w:val="52467195"/>
    <w:rsid w:val="5253354B"/>
    <w:rsid w:val="529242F5"/>
    <w:rsid w:val="52E10704"/>
    <w:rsid w:val="530B292C"/>
    <w:rsid w:val="53263797"/>
    <w:rsid w:val="53385210"/>
    <w:rsid w:val="53425BC5"/>
    <w:rsid w:val="53505081"/>
    <w:rsid w:val="53644587"/>
    <w:rsid w:val="53B40C0F"/>
    <w:rsid w:val="53ED1AAA"/>
    <w:rsid w:val="53EE4009"/>
    <w:rsid w:val="53F66B8A"/>
    <w:rsid w:val="5418219C"/>
    <w:rsid w:val="543C5B7E"/>
    <w:rsid w:val="54754AD3"/>
    <w:rsid w:val="54756FFB"/>
    <w:rsid w:val="54B76CEB"/>
    <w:rsid w:val="54DE0B8B"/>
    <w:rsid w:val="54F226E1"/>
    <w:rsid w:val="551C71B2"/>
    <w:rsid w:val="553E7395"/>
    <w:rsid w:val="554E5B86"/>
    <w:rsid w:val="55B16ED1"/>
    <w:rsid w:val="55BD554D"/>
    <w:rsid w:val="55E87D9D"/>
    <w:rsid w:val="56424FA2"/>
    <w:rsid w:val="56D77CC5"/>
    <w:rsid w:val="570529C2"/>
    <w:rsid w:val="572E9FC4"/>
    <w:rsid w:val="573A7F48"/>
    <w:rsid w:val="57430FD1"/>
    <w:rsid w:val="574F5BC8"/>
    <w:rsid w:val="57643863"/>
    <w:rsid w:val="5778615B"/>
    <w:rsid w:val="57B00D24"/>
    <w:rsid w:val="57DE6674"/>
    <w:rsid w:val="57E411AA"/>
    <w:rsid w:val="57E8CEF0"/>
    <w:rsid w:val="57EC0D14"/>
    <w:rsid w:val="57FC0357"/>
    <w:rsid w:val="581A0D43"/>
    <w:rsid w:val="586C11D7"/>
    <w:rsid w:val="586C740C"/>
    <w:rsid w:val="58787141"/>
    <w:rsid w:val="58805D49"/>
    <w:rsid w:val="588129D4"/>
    <w:rsid w:val="58BC1C62"/>
    <w:rsid w:val="590E5AB2"/>
    <w:rsid w:val="59653CCC"/>
    <w:rsid w:val="59A0270B"/>
    <w:rsid w:val="59BC0FC4"/>
    <w:rsid w:val="59E9283D"/>
    <w:rsid w:val="59ED46D4"/>
    <w:rsid w:val="59FE3AFD"/>
    <w:rsid w:val="5A6726F5"/>
    <w:rsid w:val="5A6B3B92"/>
    <w:rsid w:val="5A6F6D99"/>
    <w:rsid w:val="5AA03ED3"/>
    <w:rsid w:val="5B0263CF"/>
    <w:rsid w:val="5B06334A"/>
    <w:rsid w:val="5B3D092B"/>
    <w:rsid w:val="5B8D2F17"/>
    <w:rsid w:val="5BC930A6"/>
    <w:rsid w:val="5BCB7656"/>
    <w:rsid w:val="5BE403AD"/>
    <w:rsid w:val="5C20747D"/>
    <w:rsid w:val="5C593AA7"/>
    <w:rsid w:val="5C620CC6"/>
    <w:rsid w:val="5CA1666F"/>
    <w:rsid w:val="5CF56286"/>
    <w:rsid w:val="5D2B28D5"/>
    <w:rsid w:val="5D3C6BEF"/>
    <w:rsid w:val="5D5341B4"/>
    <w:rsid w:val="5D633BB2"/>
    <w:rsid w:val="5D6B64AD"/>
    <w:rsid w:val="5DE25A22"/>
    <w:rsid w:val="5DEF31F6"/>
    <w:rsid w:val="5DF10E9F"/>
    <w:rsid w:val="5E284CB0"/>
    <w:rsid w:val="5E30456C"/>
    <w:rsid w:val="5E4F01FF"/>
    <w:rsid w:val="5E6409B6"/>
    <w:rsid w:val="5EB858CA"/>
    <w:rsid w:val="5EC631A9"/>
    <w:rsid w:val="5F0357D2"/>
    <w:rsid w:val="5F393675"/>
    <w:rsid w:val="5F3C6E61"/>
    <w:rsid w:val="5F8035CA"/>
    <w:rsid w:val="5F833BC2"/>
    <w:rsid w:val="5F890594"/>
    <w:rsid w:val="5FBB029F"/>
    <w:rsid w:val="5FC4581F"/>
    <w:rsid w:val="5FC71777"/>
    <w:rsid w:val="5FED34CD"/>
    <w:rsid w:val="5FF629E1"/>
    <w:rsid w:val="603C6423"/>
    <w:rsid w:val="603D52B1"/>
    <w:rsid w:val="60E951E6"/>
    <w:rsid w:val="614160D6"/>
    <w:rsid w:val="61923067"/>
    <w:rsid w:val="61950340"/>
    <w:rsid w:val="619B41F8"/>
    <w:rsid w:val="61E24074"/>
    <w:rsid w:val="61F64085"/>
    <w:rsid w:val="62661224"/>
    <w:rsid w:val="62AD00B3"/>
    <w:rsid w:val="62BD4FE5"/>
    <w:rsid w:val="62C54309"/>
    <w:rsid w:val="62CC7931"/>
    <w:rsid w:val="62F835B8"/>
    <w:rsid w:val="6333748D"/>
    <w:rsid w:val="63791B12"/>
    <w:rsid w:val="63A70463"/>
    <w:rsid w:val="63C76580"/>
    <w:rsid w:val="63E00D51"/>
    <w:rsid w:val="63E64D1D"/>
    <w:rsid w:val="63E92C12"/>
    <w:rsid w:val="6429154F"/>
    <w:rsid w:val="643D6B74"/>
    <w:rsid w:val="64720F79"/>
    <w:rsid w:val="64CF73DB"/>
    <w:rsid w:val="64DD2A65"/>
    <w:rsid w:val="64FC3492"/>
    <w:rsid w:val="64FE0F31"/>
    <w:rsid w:val="65066D8A"/>
    <w:rsid w:val="6511615F"/>
    <w:rsid w:val="653C524E"/>
    <w:rsid w:val="654F79E0"/>
    <w:rsid w:val="656F4092"/>
    <w:rsid w:val="658767F1"/>
    <w:rsid w:val="65935129"/>
    <w:rsid w:val="65F460AB"/>
    <w:rsid w:val="66426582"/>
    <w:rsid w:val="6646288C"/>
    <w:rsid w:val="66552ACF"/>
    <w:rsid w:val="666D71FF"/>
    <w:rsid w:val="668F4A03"/>
    <w:rsid w:val="66F145A6"/>
    <w:rsid w:val="66F400B3"/>
    <w:rsid w:val="671309A3"/>
    <w:rsid w:val="671866E1"/>
    <w:rsid w:val="6734AAE0"/>
    <w:rsid w:val="673A096B"/>
    <w:rsid w:val="6759221C"/>
    <w:rsid w:val="67912A6E"/>
    <w:rsid w:val="67EB6E9B"/>
    <w:rsid w:val="67EE31DB"/>
    <w:rsid w:val="68522A3E"/>
    <w:rsid w:val="68586121"/>
    <w:rsid w:val="68690C5C"/>
    <w:rsid w:val="688D716D"/>
    <w:rsid w:val="68DE19D0"/>
    <w:rsid w:val="68E33BFB"/>
    <w:rsid w:val="69120D63"/>
    <w:rsid w:val="692D58E1"/>
    <w:rsid w:val="694B25D6"/>
    <w:rsid w:val="699F4842"/>
    <w:rsid w:val="69F432D7"/>
    <w:rsid w:val="6A120AAB"/>
    <w:rsid w:val="6AB57C74"/>
    <w:rsid w:val="6ADD43B6"/>
    <w:rsid w:val="6B0317E1"/>
    <w:rsid w:val="6B1B18FE"/>
    <w:rsid w:val="6B222691"/>
    <w:rsid w:val="6B244254"/>
    <w:rsid w:val="6B3F7602"/>
    <w:rsid w:val="6B46252F"/>
    <w:rsid w:val="6B63786A"/>
    <w:rsid w:val="6B8C4E98"/>
    <w:rsid w:val="6B9B0F84"/>
    <w:rsid w:val="6BC45E0B"/>
    <w:rsid w:val="6BC55982"/>
    <w:rsid w:val="6BC973CB"/>
    <w:rsid w:val="6BF94940"/>
    <w:rsid w:val="6C2C03FC"/>
    <w:rsid w:val="6C4C6F06"/>
    <w:rsid w:val="6C627CF4"/>
    <w:rsid w:val="6C8821D4"/>
    <w:rsid w:val="6C9C722A"/>
    <w:rsid w:val="6CD15286"/>
    <w:rsid w:val="6CD218A6"/>
    <w:rsid w:val="6CE030AD"/>
    <w:rsid w:val="6D2C2721"/>
    <w:rsid w:val="6D2D4E38"/>
    <w:rsid w:val="6D865517"/>
    <w:rsid w:val="6D8B4397"/>
    <w:rsid w:val="6D8E7732"/>
    <w:rsid w:val="6DB36A59"/>
    <w:rsid w:val="6DD93FE6"/>
    <w:rsid w:val="6DFB579E"/>
    <w:rsid w:val="6E026416"/>
    <w:rsid w:val="6E293BFF"/>
    <w:rsid w:val="6E5D495E"/>
    <w:rsid w:val="6F0435D0"/>
    <w:rsid w:val="6F316B4E"/>
    <w:rsid w:val="6F334B0E"/>
    <w:rsid w:val="6F5C7734"/>
    <w:rsid w:val="6F701607"/>
    <w:rsid w:val="6F7513B5"/>
    <w:rsid w:val="6F9BA79E"/>
    <w:rsid w:val="6FAE36E5"/>
    <w:rsid w:val="6FBBCBD6"/>
    <w:rsid w:val="6FCF3CB7"/>
    <w:rsid w:val="6FD47765"/>
    <w:rsid w:val="6FE1D148"/>
    <w:rsid w:val="706334E0"/>
    <w:rsid w:val="7078310D"/>
    <w:rsid w:val="71224312"/>
    <w:rsid w:val="715C101A"/>
    <w:rsid w:val="717E3C29"/>
    <w:rsid w:val="71CB7761"/>
    <w:rsid w:val="72057A09"/>
    <w:rsid w:val="722F1C0A"/>
    <w:rsid w:val="72AE5A41"/>
    <w:rsid w:val="72D869FE"/>
    <w:rsid w:val="72DB773A"/>
    <w:rsid w:val="73360E06"/>
    <w:rsid w:val="737C6BEA"/>
    <w:rsid w:val="73AA0FBA"/>
    <w:rsid w:val="73C660C9"/>
    <w:rsid w:val="73CC2C89"/>
    <w:rsid w:val="73D71C3E"/>
    <w:rsid w:val="73DA3E27"/>
    <w:rsid w:val="73E1332B"/>
    <w:rsid w:val="73EA67FE"/>
    <w:rsid w:val="745945B1"/>
    <w:rsid w:val="74D736BD"/>
    <w:rsid w:val="74E71A75"/>
    <w:rsid w:val="757D3703"/>
    <w:rsid w:val="75905C96"/>
    <w:rsid w:val="759153D3"/>
    <w:rsid w:val="759407F3"/>
    <w:rsid w:val="75CD50A0"/>
    <w:rsid w:val="75D354FA"/>
    <w:rsid w:val="75EFF9A5"/>
    <w:rsid w:val="75F516B9"/>
    <w:rsid w:val="75F9B547"/>
    <w:rsid w:val="761B2C29"/>
    <w:rsid w:val="76255F46"/>
    <w:rsid w:val="764849D8"/>
    <w:rsid w:val="76510CBE"/>
    <w:rsid w:val="76537D10"/>
    <w:rsid w:val="768D1B31"/>
    <w:rsid w:val="76D96ADA"/>
    <w:rsid w:val="76EF422D"/>
    <w:rsid w:val="76EF6D3F"/>
    <w:rsid w:val="77076364"/>
    <w:rsid w:val="772913A5"/>
    <w:rsid w:val="778C532C"/>
    <w:rsid w:val="77B21003"/>
    <w:rsid w:val="77B34F49"/>
    <w:rsid w:val="77C3401F"/>
    <w:rsid w:val="77CA6211"/>
    <w:rsid w:val="77EA0D7D"/>
    <w:rsid w:val="77EB3DF6"/>
    <w:rsid w:val="77EC2F31"/>
    <w:rsid w:val="780D4FB8"/>
    <w:rsid w:val="782B3690"/>
    <w:rsid w:val="7869367C"/>
    <w:rsid w:val="78D87C9D"/>
    <w:rsid w:val="78E5692C"/>
    <w:rsid w:val="793551B4"/>
    <w:rsid w:val="794E4640"/>
    <w:rsid w:val="79915094"/>
    <w:rsid w:val="799E204D"/>
    <w:rsid w:val="79CE0152"/>
    <w:rsid w:val="79DE021A"/>
    <w:rsid w:val="79E67E01"/>
    <w:rsid w:val="79EB5E4D"/>
    <w:rsid w:val="7A015A49"/>
    <w:rsid w:val="7A0C27EA"/>
    <w:rsid w:val="7A104A38"/>
    <w:rsid w:val="7A2E607F"/>
    <w:rsid w:val="7A405BC9"/>
    <w:rsid w:val="7A5039A1"/>
    <w:rsid w:val="7A594721"/>
    <w:rsid w:val="7AB505DC"/>
    <w:rsid w:val="7AE757F0"/>
    <w:rsid w:val="7AFF6950"/>
    <w:rsid w:val="7B12730D"/>
    <w:rsid w:val="7B1D2845"/>
    <w:rsid w:val="7B552961"/>
    <w:rsid w:val="7B9559F0"/>
    <w:rsid w:val="7BB9DFAF"/>
    <w:rsid w:val="7BF7CD85"/>
    <w:rsid w:val="7BFF0EA9"/>
    <w:rsid w:val="7BFF50AF"/>
    <w:rsid w:val="7C13276B"/>
    <w:rsid w:val="7C206FA2"/>
    <w:rsid w:val="7C294496"/>
    <w:rsid w:val="7C357F01"/>
    <w:rsid w:val="7C664F3A"/>
    <w:rsid w:val="7C6779D2"/>
    <w:rsid w:val="7CC40EC2"/>
    <w:rsid w:val="7CEF4408"/>
    <w:rsid w:val="7D1A6F58"/>
    <w:rsid w:val="7D510742"/>
    <w:rsid w:val="7D5C5750"/>
    <w:rsid w:val="7D6FEC72"/>
    <w:rsid w:val="7D8C5109"/>
    <w:rsid w:val="7DAE1529"/>
    <w:rsid w:val="7DB11B4D"/>
    <w:rsid w:val="7DBFF176"/>
    <w:rsid w:val="7DEB9BDC"/>
    <w:rsid w:val="7DFC59D4"/>
    <w:rsid w:val="7DFF3AE5"/>
    <w:rsid w:val="7DFF6EDF"/>
    <w:rsid w:val="7E177388"/>
    <w:rsid w:val="7E41738C"/>
    <w:rsid w:val="7E6620F3"/>
    <w:rsid w:val="7EDEA198"/>
    <w:rsid w:val="7EEFB5A4"/>
    <w:rsid w:val="7EFF7C88"/>
    <w:rsid w:val="7F1B7A16"/>
    <w:rsid w:val="7F3DED09"/>
    <w:rsid w:val="7F5D6B02"/>
    <w:rsid w:val="7F771400"/>
    <w:rsid w:val="7F7D00F5"/>
    <w:rsid w:val="7F8C2CD9"/>
    <w:rsid w:val="7FAE8B8B"/>
    <w:rsid w:val="7FB64187"/>
    <w:rsid w:val="7FBF5BE8"/>
    <w:rsid w:val="7FC47D30"/>
    <w:rsid w:val="7FCB7251"/>
    <w:rsid w:val="7FDF8DEA"/>
    <w:rsid w:val="7FEBB9DD"/>
    <w:rsid w:val="7FF788BC"/>
    <w:rsid w:val="7FFB603E"/>
    <w:rsid w:val="7FFDB0F2"/>
    <w:rsid w:val="8DFF6D78"/>
    <w:rsid w:val="99AF9295"/>
    <w:rsid w:val="9ACF4203"/>
    <w:rsid w:val="9FFC3F78"/>
    <w:rsid w:val="A3FB0705"/>
    <w:rsid w:val="A7F7B650"/>
    <w:rsid w:val="B07DE4FC"/>
    <w:rsid w:val="B3EB0706"/>
    <w:rsid w:val="B7DFF688"/>
    <w:rsid w:val="BBBF44C2"/>
    <w:rsid w:val="BBDFECA7"/>
    <w:rsid w:val="BDF2A6D8"/>
    <w:rsid w:val="BF7B9C3E"/>
    <w:rsid w:val="BF9D64A1"/>
    <w:rsid w:val="C27F216A"/>
    <w:rsid w:val="CDFF8FB7"/>
    <w:rsid w:val="CEDF6205"/>
    <w:rsid w:val="CFA77BDC"/>
    <w:rsid w:val="D23743AD"/>
    <w:rsid w:val="D57F3937"/>
    <w:rsid w:val="D7F75303"/>
    <w:rsid w:val="DABE59A7"/>
    <w:rsid w:val="DBF865D1"/>
    <w:rsid w:val="DBFF0A1F"/>
    <w:rsid w:val="DCED84DB"/>
    <w:rsid w:val="DDFB78C6"/>
    <w:rsid w:val="DFEF9790"/>
    <w:rsid w:val="E1FC0CAA"/>
    <w:rsid w:val="E7B9D053"/>
    <w:rsid w:val="E977582C"/>
    <w:rsid w:val="EAE76751"/>
    <w:rsid w:val="F0F7CA19"/>
    <w:rsid w:val="F3AE00AE"/>
    <w:rsid w:val="F3D766EA"/>
    <w:rsid w:val="F4FF0937"/>
    <w:rsid w:val="F4FF4922"/>
    <w:rsid w:val="F68ED040"/>
    <w:rsid w:val="F6EFE31E"/>
    <w:rsid w:val="F7EDA611"/>
    <w:rsid w:val="F7F77A4F"/>
    <w:rsid w:val="F7F799E6"/>
    <w:rsid w:val="F7FA8EB8"/>
    <w:rsid w:val="F9EB9842"/>
    <w:rsid w:val="F9FB1F35"/>
    <w:rsid w:val="FADE627C"/>
    <w:rsid w:val="FADF57AB"/>
    <w:rsid w:val="FB3B9E4B"/>
    <w:rsid w:val="FBEBF175"/>
    <w:rsid w:val="FBEFAFA8"/>
    <w:rsid w:val="FCD68535"/>
    <w:rsid w:val="FCEF2352"/>
    <w:rsid w:val="FDB6A26C"/>
    <w:rsid w:val="FDED89A7"/>
    <w:rsid w:val="FDFAF505"/>
    <w:rsid w:val="FECFAB59"/>
    <w:rsid w:val="FF7BB9B5"/>
    <w:rsid w:val="FFBF6BF3"/>
    <w:rsid w:val="FFBF95B4"/>
    <w:rsid w:val="FFBFED6C"/>
    <w:rsid w:val="FFDFDF6E"/>
    <w:rsid w:val="FFEDF25C"/>
    <w:rsid w:val="FFFB73D9"/>
    <w:rsid w:val="FFFEBF4C"/>
    <w:rsid w:val="FFFEC6F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8"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next w:val="3"/>
    <w:qFormat/>
    <w:uiPriority w:val="0"/>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3">
    <w:name w:val="heading 2"/>
    <w:next w:val="1"/>
    <w:qFormat/>
    <w:uiPriority w:val="0"/>
    <w:pPr>
      <w:keepNext/>
      <w:numPr>
        <w:ilvl w:val="1"/>
        <w:numId w:val="1"/>
      </w:numPr>
      <w:spacing w:before="240" w:after="240"/>
      <w:jc w:val="both"/>
      <w:outlineLvl w:val="1"/>
    </w:pPr>
    <w:rPr>
      <w:rFonts w:ascii="Arial" w:hAnsi="Arial" w:eastAsia="黑体" w:cs="Times New Roman"/>
      <w:sz w:val="24"/>
      <w:szCs w:val="24"/>
      <w:lang w:val="en-US" w:eastAsia="zh-CN" w:bidi="ar-SA"/>
    </w:rPr>
  </w:style>
  <w:style w:type="paragraph" w:styleId="4">
    <w:name w:val="heading 3"/>
    <w:basedOn w:val="1"/>
    <w:next w:val="1"/>
    <w:qFormat/>
    <w:uiPriority w:val="0"/>
    <w:pPr>
      <w:keepNext/>
      <w:keepLines/>
      <w:numPr>
        <w:ilvl w:val="2"/>
        <w:numId w:val="1"/>
      </w:numPr>
      <w:spacing w:before="260" w:after="260" w:line="416" w:lineRule="auto"/>
      <w:outlineLvl w:val="2"/>
    </w:pPr>
    <w:rPr>
      <w:rFonts w:eastAsia="黑体"/>
      <w:bCs/>
      <w:sz w:val="24"/>
      <w:szCs w:val="32"/>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semiHidden/>
    <w:qFormat/>
    <w:uiPriority w:val="0"/>
    <w:rPr>
      <w:sz w:val="18"/>
      <w:szCs w:val="18"/>
    </w:rPr>
  </w:style>
  <w:style w:type="paragraph" w:styleId="8">
    <w:name w:val="Body Text"/>
    <w:basedOn w:val="1"/>
    <w:qFormat/>
    <w:uiPriority w:val="0"/>
    <w:pPr>
      <w:spacing w:after="120"/>
    </w:pPr>
  </w:style>
  <w:style w:type="paragraph" w:styleId="9">
    <w:name w:val="Body Text Indent"/>
    <w:basedOn w:val="1"/>
    <w:qFormat/>
    <w:uiPriority w:val="0"/>
    <w:pPr>
      <w:spacing w:after="120"/>
      <w:ind w:left="420" w:leftChars="200"/>
    </w:pPr>
  </w:style>
  <w:style w:type="paragraph" w:styleId="10">
    <w:name w:val="Body Text Indent 2"/>
    <w:basedOn w:val="1"/>
    <w:qFormat/>
    <w:uiPriority w:val="0"/>
    <w:pPr>
      <w:ind w:firstLine="560" w:firstLineChars="200"/>
    </w:pPr>
    <w:rPr>
      <w:kern w:val="0"/>
      <w:sz w:val="28"/>
      <w:szCs w:val="28"/>
    </w:rPr>
  </w:style>
  <w:style w:type="character" w:styleId="11">
    <w:name w:val="annotation reference"/>
    <w:basedOn w:val="5"/>
    <w:qFormat/>
    <w:uiPriority w:val="0"/>
    <w:rPr>
      <w:sz w:val="21"/>
      <w:szCs w:val="21"/>
    </w:rPr>
  </w:style>
  <w:style w:type="paragraph" w:styleId="12">
    <w:name w:val="annotation text"/>
    <w:basedOn w:val="1"/>
    <w:link w:val="42"/>
    <w:qFormat/>
    <w:uiPriority w:val="0"/>
    <w:pPr>
      <w:jc w:val="left"/>
    </w:pPr>
  </w:style>
  <w:style w:type="paragraph" w:styleId="13">
    <w:name w:val="annotation subject"/>
    <w:basedOn w:val="12"/>
    <w:next w:val="12"/>
    <w:link w:val="43"/>
    <w:qFormat/>
    <w:uiPriority w:val="0"/>
    <w:rPr>
      <w:b/>
      <w:bCs/>
    </w:rPr>
  </w:style>
  <w:style w:type="paragraph" w:styleId="14">
    <w:name w:val="footer"/>
    <w:qFormat/>
    <w:uiPriority w:val="0"/>
    <w:pPr>
      <w:tabs>
        <w:tab w:val="center" w:pos="4510"/>
        <w:tab w:val="right" w:pos="9020"/>
      </w:tabs>
    </w:pPr>
    <w:rPr>
      <w:rFonts w:ascii="Arial" w:hAnsi="Arial" w:eastAsia="宋体" w:cs="Times New Roman"/>
      <w:sz w:val="18"/>
      <w:szCs w:val="18"/>
      <w:lang w:val="en-US" w:eastAsia="zh-CN" w:bidi="ar-SA"/>
    </w:rPr>
  </w:style>
  <w:style w:type="paragraph" w:styleId="15">
    <w:name w:val="header"/>
    <w:qFormat/>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character" w:styleId="16">
    <w:name w:val="HTML Code"/>
    <w:basedOn w:val="5"/>
    <w:qFormat/>
    <w:uiPriority w:val="0"/>
    <w:rPr>
      <w:rFonts w:ascii="Courier New" w:hAnsi="Courier New"/>
      <w:sz w:val="20"/>
    </w:rPr>
  </w:style>
  <w:style w:type="character" w:styleId="17">
    <w:name w:val="Hyperlink"/>
    <w:basedOn w:val="5"/>
    <w:qFormat/>
    <w:uiPriority w:val="0"/>
    <w:rPr>
      <w:color w:val="0000FF"/>
      <w:u w:val="single"/>
    </w:rPr>
  </w:style>
  <w:style w:type="character" w:styleId="18">
    <w:name w:val="line number"/>
    <w:basedOn w:val="5"/>
    <w:qFormat/>
    <w:uiPriority w:val="0"/>
  </w:style>
  <w:style w:type="paragraph" w:styleId="19">
    <w:name w:val="Normal (Web)"/>
    <w:basedOn w:val="1"/>
    <w:qFormat/>
    <w:uiPriority w:val="0"/>
    <w:pPr>
      <w:widowControl/>
      <w:spacing w:before="100" w:beforeAutospacing="1" w:after="100" w:afterAutospacing="1"/>
      <w:jc w:val="left"/>
    </w:pPr>
    <w:rPr>
      <w:rFonts w:ascii="宋体" w:hAnsi="宋体" w:cs="宋体"/>
      <w:kern w:val="0"/>
      <w:sz w:val="24"/>
      <w:szCs w:val="24"/>
    </w:rPr>
  </w:style>
  <w:style w:type="paragraph" w:styleId="20">
    <w:name w:val="Normal Indent"/>
    <w:basedOn w:val="1"/>
    <w:qFormat/>
    <w:uiPriority w:val="0"/>
    <w:pPr>
      <w:widowControl/>
      <w:snapToGrid w:val="0"/>
      <w:spacing w:line="360" w:lineRule="auto"/>
      <w:ind w:left="630" w:leftChars="100" w:right="100" w:rightChars="100" w:firstLine="426" w:firstLineChars="200"/>
    </w:pPr>
    <w:rPr>
      <w:rFonts w:asciiTheme="minorHAnsi" w:hAnsiTheme="minorHAnsi" w:eastAsiaTheme="minorEastAsia" w:cstheme="minorBidi"/>
      <w:sz w:val="24"/>
      <w:szCs w:val="21"/>
    </w:rPr>
  </w:style>
  <w:style w:type="character" w:styleId="21">
    <w:name w:val="page number"/>
    <w:basedOn w:val="5"/>
    <w:qFormat/>
    <w:uiPriority w:val="0"/>
  </w:style>
  <w:style w:type="character" w:styleId="22">
    <w:name w:val="Strong"/>
    <w:basedOn w:val="5"/>
    <w:qFormat/>
    <w:uiPriority w:val="0"/>
    <w:rPr>
      <w:b/>
    </w:rPr>
  </w:style>
  <w:style w:type="table" w:styleId="23">
    <w:name w:val="Table Grid"/>
    <w:qFormat/>
    <w:uiPriority w:val="3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4">
    <w:name w:val="表格题注"/>
    <w:next w:val="1"/>
    <w:qFormat/>
    <w:uiPriority w:val="0"/>
    <w:pPr>
      <w:keepLines/>
      <w:numPr>
        <w:ilvl w:val="8"/>
        <w:numId w:val="2"/>
      </w:numPr>
      <w:spacing w:beforeLines="100"/>
      <w:ind w:left="1089" w:hanging="369"/>
      <w:jc w:val="center"/>
    </w:pPr>
    <w:rPr>
      <w:rFonts w:ascii="Arial" w:hAnsi="Arial" w:eastAsia="宋体" w:cs="Times New Roman"/>
      <w:sz w:val="18"/>
      <w:szCs w:val="18"/>
      <w:lang w:val="en-US" w:eastAsia="zh-CN" w:bidi="ar-SA"/>
    </w:rPr>
  </w:style>
  <w:style w:type="paragraph" w:customStyle="1" w:styleId="25">
    <w:name w:val="表格文本"/>
    <w:qFormat/>
    <w:uiPriority w:val="0"/>
    <w:pPr>
      <w:tabs>
        <w:tab w:val="decimal" w:pos="0"/>
      </w:tabs>
    </w:pPr>
    <w:rPr>
      <w:rFonts w:ascii="Arial" w:hAnsi="Arial" w:eastAsia="宋体" w:cs="Times New Roman"/>
      <w:sz w:val="21"/>
      <w:szCs w:val="21"/>
      <w:lang w:val="en-US" w:eastAsia="zh-CN" w:bidi="ar-SA"/>
    </w:rPr>
  </w:style>
  <w:style w:type="paragraph" w:customStyle="1" w:styleId="26">
    <w:name w:val="表头文本"/>
    <w:qFormat/>
    <w:uiPriority w:val="0"/>
    <w:pPr>
      <w:jc w:val="center"/>
    </w:pPr>
    <w:rPr>
      <w:rFonts w:ascii="Arial" w:hAnsi="Arial" w:eastAsia="宋体" w:cs="Times New Roman"/>
      <w:b/>
      <w:sz w:val="21"/>
      <w:szCs w:val="21"/>
      <w:lang w:val="en-US" w:eastAsia="zh-CN" w:bidi="ar-SA"/>
    </w:rPr>
  </w:style>
  <w:style w:type="paragraph" w:customStyle="1" w:styleId="27">
    <w:name w:val="插图题注"/>
    <w:next w:val="1"/>
    <w:qFormat/>
    <w:uiPriority w:val="0"/>
    <w:pPr>
      <w:numPr>
        <w:ilvl w:val="7"/>
        <w:numId w:val="2"/>
      </w:numPr>
      <w:spacing w:afterLines="100"/>
      <w:ind w:left="1089" w:hanging="369"/>
      <w:jc w:val="center"/>
    </w:pPr>
    <w:rPr>
      <w:rFonts w:ascii="Arial" w:hAnsi="Arial" w:eastAsia="宋体" w:cs="Times New Roman"/>
      <w:sz w:val="18"/>
      <w:szCs w:val="18"/>
      <w:lang w:val="en-US" w:eastAsia="zh-CN" w:bidi="ar-SA"/>
    </w:rPr>
  </w:style>
  <w:style w:type="paragraph" w:customStyle="1" w:styleId="28">
    <w:name w:val="图样式"/>
    <w:basedOn w:val="1"/>
    <w:qFormat/>
    <w:uiPriority w:val="0"/>
    <w:pPr>
      <w:keepNext/>
      <w:widowControl/>
      <w:spacing w:before="80" w:after="80"/>
      <w:jc w:val="center"/>
    </w:pPr>
  </w:style>
  <w:style w:type="paragraph" w:customStyle="1" w:styleId="29">
    <w:name w:val="文档标题"/>
    <w:basedOn w:val="1"/>
    <w:qFormat/>
    <w:uiPriority w:val="0"/>
    <w:pPr>
      <w:tabs>
        <w:tab w:val="left" w:pos="0"/>
      </w:tabs>
      <w:spacing w:before="300" w:after="300"/>
      <w:jc w:val="center"/>
    </w:pPr>
    <w:rPr>
      <w:rFonts w:ascii="Arial" w:hAnsi="Arial" w:eastAsia="黑体"/>
      <w:sz w:val="36"/>
      <w:szCs w:val="36"/>
    </w:rPr>
  </w:style>
  <w:style w:type="paragraph" w:customStyle="1" w:styleId="30">
    <w:name w:val="注示头"/>
    <w:basedOn w:val="1"/>
    <w:qFormat/>
    <w:uiPriority w:val="0"/>
    <w:pPr>
      <w:pBdr>
        <w:top w:val="single" w:color="000000" w:sz="4" w:space="1"/>
      </w:pBdr>
    </w:pPr>
    <w:rPr>
      <w:rFonts w:ascii="Arial" w:hAnsi="Arial" w:eastAsia="黑体"/>
      <w:sz w:val="18"/>
      <w:szCs w:val="21"/>
    </w:rPr>
  </w:style>
  <w:style w:type="paragraph" w:customStyle="1" w:styleId="31">
    <w:name w:val="注示文本"/>
    <w:basedOn w:val="1"/>
    <w:qFormat/>
    <w:uiPriority w:val="0"/>
    <w:pPr>
      <w:pBdr>
        <w:bottom w:val="single" w:color="000000" w:sz="4" w:space="1"/>
      </w:pBdr>
      <w:ind w:firstLine="360"/>
    </w:pPr>
    <w:rPr>
      <w:rFonts w:ascii="Arial" w:hAnsi="Arial" w:eastAsia="楷体_GB2312"/>
      <w:sz w:val="18"/>
      <w:szCs w:val="18"/>
    </w:rPr>
  </w:style>
  <w:style w:type="paragraph" w:customStyle="1" w:styleId="32">
    <w:name w:val="编写建议"/>
    <w:basedOn w:val="1"/>
    <w:qFormat/>
    <w:uiPriority w:val="0"/>
    <w:pPr>
      <w:ind w:firstLine="420"/>
    </w:pPr>
    <w:rPr>
      <w:rFonts w:ascii="Arial" w:hAnsi="Arial" w:cs="Arial"/>
      <w:i/>
      <w:color w:val="0000FF"/>
      <w:szCs w:val="21"/>
    </w:rPr>
  </w:style>
  <w:style w:type="paragraph" w:customStyle="1" w:styleId="33">
    <w:name w:val="封面表格文本"/>
    <w:basedOn w:val="1"/>
    <w:qFormat/>
    <w:uiPriority w:val="0"/>
    <w:pPr>
      <w:autoSpaceDE w:val="0"/>
      <w:autoSpaceDN w:val="0"/>
      <w:adjustRightInd w:val="0"/>
      <w:jc w:val="center"/>
    </w:pPr>
    <w:rPr>
      <w:b/>
      <w:kern w:val="0"/>
      <w:sz w:val="24"/>
    </w:rPr>
  </w:style>
  <w:style w:type="paragraph" w:customStyle="1" w:styleId="34">
    <w:name w:val="缺省文本"/>
    <w:basedOn w:val="1"/>
    <w:qFormat/>
    <w:uiPriority w:val="0"/>
    <w:pPr>
      <w:autoSpaceDE w:val="0"/>
      <w:autoSpaceDN w:val="0"/>
      <w:adjustRightInd w:val="0"/>
      <w:spacing w:line="360" w:lineRule="auto"/>
      <w:jc w:val="left"/>
    </w:pPr>
    <w:rPr>
      <w:kern w:val="0"/>
    </w:rPr>
  </w:style>
  <w:style w:type="paragraph" w:customStyle="1" w:styleId="35">
    <w:name w:val="标题2"/>
    <w:basedOn w:val="1"/>
    <w:qFormat/>
    <w:uiPriority w:val="0"/>
    <w:pPr>
      <w:autoSpaceDE w:val="0"/>
      <w:autoSpaceDN w:val="0"/>
      <w:adjustRightInd w:val="0"/>
      <w:spacing w:line="360" w:lineRule="auto"/>
      <w:jc w:val="left"/>
    </w:pPr>
    <w:rPr>
      <w:rFonts w:ascii="宋体"/>
      <w:kern w:val="0"/>
      <w:sz w:val="24"/>
    </w:rPr>
  </w:style>
  <w:style w:type="paragraph" w:customStyle="1" w:styleId="36">
    <w:name w:val="正文1"/>
    <w:basedOn w:val="9"/>
    <w:qFormat/>
    <w:uiPriority w:val="0"/>
    <w:pPr>
      <w:spacing w:line="360" w:lineRule="auto"/>
      <w:ind w:firstLine="420" w:firstLineChars="200"/>
    </w:pPr>
    <w:rPr>
      <w:rFonts w:cs="宋体"/>
    </w:rPr>
  </w:style>
  <w:style w:type="paragraph" w:customStyle="1" w:styleId="37">
    <w:name w:val="È±Ê¡ÎÄ±¾"/>
    <w:basedOn w:val="1"/>
    <w:link w:val="38"/>
    <w:qFormat/>
    <w:uiPriority w:val="0"/>
    <w:pPr>
      <w:widowControl/>
      <w:overflowPunct w:val="0"/>
      <w:autoSpaceDE w:val="0"/>
      <w:autoSpaceDN w:val="0"/>
      <w:adjustRightInd w:val="0"/>
      <w:jc w:val="left"/>
      <w:textAlignment w:val="baseline"/>
    </w:pPr>
    <w:rPr>
      <w:kern w:val="0"/>
      <w:sz w:val="24"/>
    </w:rPr>
  </w:style>
  <w:style w:type="character" w:customStyle="1" w:styleId="38">
    <w:name w:val="È±Ê¡ÎÄ±¾ Char"/>
    <w:link w:val="37"/>
    <w:qFormat/>
    <w:uiPriority w:val="0"/>
    <w:rPr>
      <w:rFonts w:eastAsia="宋体"/>
      <w:sz w:val="24"/>
    </w:rPr>
  </w:style>
  <w:style w:type="paragraph" w:styleId="39">
    <w:name w:val="List Paragraph"/>
    <w:basedOn w:val="1"/>
    <w:qFormat/>
    <w:uiPriority w:val="34"/>
    <w:pPr>
      <w:ind w:firstLine="420" w:firstLineChars="200"/>
    </w:pPr>
    <w:rPr>
      <w:szCs w:val="24"/>
    </w:rPr>
  </w:style>
  <w:style w:type="paragraph" w:customStyle="1" w:styleId="40">
    <w:name w:val="图标题"/>
    <w:basedOn w:val="1"/>
    <w:next w:val="1"/>
    <w:qFormat/>
    <w:uiPriority w:val="0"/>
    <w:pPr>
      <w:overflowPunct w:val="0"/>
      <w:spacing w:line="360" w:lineRule="auto"/>
      <w:jc w:val="center"/>
    </w:pPr>
    <w:rPr>
      <w:b/>
      <w:sz w:val="24"/>
    </w:rPr>
  </w:style>
  <w:style w:type="character" w:styleId="41">
    <w:name w:val="Placeholder Text"/>
    <w:basedOn w:val="5"/>
    <w:semiHidden/>
    <w:qFormat/>
    <w:uiPriority w:val="99"/>
    <w:rPr>
      <w:color w:val="808080"/>
    </w:rPr>
  </w:style>
  <w:style w:type="character" w:customStyle="1" w:styleId="42">
    <w:name w:val="批注文字 Char"/>
    <w:basedOn w:val="5"/>
    <w:link w:val="12"/>
    <w:qFormat/>
    <w:uiPriority w:val="0"/>
    <w:rPr>
      <w:kern w:val="2"/>
      <w:sz w:val="21"/>
    </w:rPr>
  </w:style>
  <w:style w:type="character" w:customStyle="1" w:styleId="43">
    <w:name w:val="批注主题 Char"/>
    <w:basedOn w:val="42"/>
    <w:link w:val="13"/>
    <w:qFormat/>
    <w:uiPriority w:val="0"/>
    <w:rPr>
      <w:b/>
      <w:bCs/>
      <w:kern w:val="2"/>
      <w:sz w:val="21"/>
    </w:rPr>
  </w:style>
  <w:style w:type="paragraph" w:customStyle="1" w:styleId="44">
    <w:name w:val="????????¡§????????????¡§?????????????¨¬??????????¡§?????????¡§???????????¡§????o????????????¨¬??????????¡§?????????¡§????"/>
    <w:basedOn w:val="1"/>
    <w:qFormat/>
    <w:uiPriority w:val="0"/>
    <w:pPr>
      <w:widowControl/>
      <w:overflowPunct w:val="0"/>
      <w:autoSpaceDE w:val="0"/>
      <w:autoSpaceDN w:val="0"/>
      <w:adjustRightInd w:val="0"/>
      <w:jc w:val="left"/>
      <w:textAlignment w:val="baseline"/>
    </w:pPr>
    <w:rPr>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 Ltd.</Company>
  <Pages>24</Pages>
  <Words>12405</Words>
  <Characters>12677</Characters>
  <Lines>98</Lines>
  <Paragraphs>27</Paragraphs>
  <TotalTime>3</TotalTime>
  <ScaleCrop>false</ScaleCrop>
  <LinksUpToDate>false</LinksUpToDate>
  <CharactersWithSpaces>12696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2023-06-25T18:00:00Z</dcterms:created>
  <dc:creator>lym</dc:creator>
  <cp:lastModifiedBy>autentico</cp:lastModifiedBy>
  <cp:lastPrinted>2004-12-27T11:20:00Z</cp:lastPrinted>
  <dcterms:modified xsi:type="dcterms:W3CDTF">2026-09-18T12:43:27Z</dcterms:modified>
  <dc:title>技术交底书V3</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-857254979</vt:i4>
  </property>
  <property fmtid="{D5CDD505-2E9C-101B-9397-08002B2CF9AE}" pid="3" name="_EmailSubject">
    <vt:lpwstr>关于专利“一种蜂窝移动通信中实现寻呼的方法和系统”</vt:lpwstr>
  </property>
  <property fmtid="{D5CDD505-2E9C-101B-9397-08002B2CF9AE}" pid="4" name="_AuthorEmail">
    <vt:lpwstr>John_Lee@huawei.com</vt:lpwstr>
  </property>
  <property fmtid="{D5CDD505-2E9C-101B-9397-08002B2CF9AE}" pid="5" name="_AuthorEmailDisplayName">
    <vt:lpwstr>John Lee</vt:lpwstr>
  </property>
  <property fmtid="{D5CDD505-2E9C-101B-9397-08002B2CF9AE}" pid="6" name="_PreviousAdHocReviewCycleID">
    <vt:i4>1057501115</vt:i4>
  </property>
  <property fmtid="{D5CDD505-2E9C-101B-9397-08002B2CF9AE}" pid="7" name="_ReviewingToolsShownOnce">
    <vt:lpwstr/>
  </property>
  <property fmtid="{D5CDD505-2E9C-101B-9397-08002B2CF9AE}" pid="8" name="KSOProductBuildVer">
    <vt:lpwstr>1033-11.1.0.11723</vt:lpwstr>
  </property>
  <property fmtid="{D5CDD505-2E9C-101B-9397-08002B2CF9AE}" pid="9" name="ICV">
    <vt:lpwstr>D35FEA2E4E644C03B1034657D40B774A_13</vt:lpwstr>
  </property>
  <property fmtid="{D5CDD505-2E9C-101B-9397-08002B2CF9AE}" pid="10" name="KSOTemplateDocerSaveRecord">
    <vt:lpwstr>eyJoZGlkIjoiMTdlOWM4NjA0YzQ4MzI0YzA3YWQ5MzE0YzFhZWViZGYiLCJ1c2VySWQiOiIyNTI4NDAxMjYifQ==</vt:lpwstr>
  </property>
</Properties>
</file>