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hdphoto1.wdp" ContentType="image/vnd.ms-photo"/>
  <Override PartName="/word/media/image3.png" ContentType="image/png"/>
  <Override PartName="/word/media/image2.png" ContentType="image/png"/>
  <Override PartName="/word/media/image4.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说明书摘要"/>
    <w:p>
      <w:pPr>
        <w:pStyle w:val="Heading1"/>
      </w:pPr>
      <w:r>
        <w:rPr>
          <w:rFonts w:hint="eastAsia"/>
        </w:rPr>
        <w:t xml:space="preserve">说明书摘要</w:t>
      </w:r>
    </w:p>
    <w:p>
      <w:pPr>
        <w:pStyle w:val="FirstParagraph"/>
      </w:pPr>
      <w:r>
        <w:rPr>
          <w:rFonts w:hint="eastAsia"/>
        </w:rPr>
        <w:t xml:space="preserve">本发明公开了一种面向区块生产者的动态评分与探索利用自适应机制、系统、装置及存储介质。该机制基于区块生产者的行为观测数据，计算对应的动态评分和</w:t>
      </w:r>
      <w:r>
        <w:t xml:space="preserve"> reward </w:t>
      </w:r>
      <w:r>
        <w:rPr>
          <w:rFonts w:hint="eastAsia"/>
        </w:rPr>
        <w:t xml:space="preserve">学习结果；其中，所述行为观测数据至少包括服务成功率、失败率、异常行为次数、正向行为次数和价值产出信息。进一步地，基于动态评分和</w:t>
      </w:r>
      <w:r>
        <w:t xml:space="preserve"> reward </w:t>
      </w:r>
      <w:r>
        <w:rPr>
          <w:rFonts w:hint="eastAsia"/>
        </w:rPr>
        <w:t xml:space="preserve">学习结果构造区块生产者的预期收益指标或健康度指标，并结合</w:t>
      </w:r>
      <w:r>
        <w:t xml:space="preserve"> exploration / exploitation </w:t>
      </w:r>
      <w:r>
        <w:rPr>
          <w:rFonts w:hint="eastAsia"/>
        </w:rPr>
        <w:t xml:space="preserve">分层机制，对样本不足或新加入的区块生产者进行探索评估，对样本充分的区块生产者进行利用评估，从而输出面向区块生产者的排序、筛选、准入、健康评估或调度结果。该方案能够抑制存在高风险行为的区块生产者长期获得优势地位，提升高质量区块生产者的识别精度，并缓解系统长期依赖少数既有区块生产者造成的中心化问题，从而提升区块生产者管理机制的风险控制能力、稳定性和适应性。</w:t>
      </w:r>
    </w:p>
    <w:bookmarkEnd w:id="21"/>
    <w:bookmarkStart w:id="25" w:name="摘要附图"/>
    <w:p>
      <w:pPr>
        <w:pStyle w:val="Heading1"/>
      </w:pPr>
      <w:r>
        <w:rPr>
          <w:rFonts w:hint="eastAsia"/>
        </w:rPr>
        <w:t xml:space="preserve">摘要附图</w:t>
      </w:r>
    </w:p>
    <w:p>
      <w:pPr>
        <w:pStyle w:val="FirstParagraph"/>
      </w:pPr>
      <w:r>
        <w:drawing>
          <wp:inline>
            <wp:extent cx="5803265" cy="2901632"/>
            <wp:effectExtent b="0" l="0" r="0" t="0"/>
            <wp:docPr descr="" title="" id="23" name="Picture"/>
            <a:graphic>
              <a:graphicData uri="http://schemas.openxmlformats.org/drawingml/2006/picture">
                <pic:pic>
                  <pic:nvPicPr>
                    <pic:cNvPr descr="../logs/experiment_mock_5builders/plots/builder_score_trends.png" id="24" name="Picture"/>
                    <pic:cNvPicPr>
                      <a:picLocks noChangeArrowheads="1" noChangeAspect="1"/>
                    </pic:cNvPicPr>
                  </pic:nvPicPr>
                  <pic:blipFill>
                    <a:blip r:embed="rId22"/>
                    <a:stretch>
                      <a:fillRect/>
                    </a:stretch>
                  </pic:blipFill>
                  <pic:spPr bwMode="auto">
                    <a:xfrm>
                      <a:off x="0" y="0"/>
                      <a:ext cx="5803265" cy="2901632"/>
                    </a:xfrm>
                    <a:prstGeom prst="rect">
                      <a:avLst/>
                    </a:prstGeom>
                    <a:noFill/>
                    <a:ln w="9525">
                      <a:noFill/>
                      <a:headEnd/>
                      <a:tailEnd/>
                    </a:ln>
                  </pic:spPr>
                </pic:pic>
              </a:graphicData>
            </a:graphic>
          </wp:inline>
        </w:drawing>
      </w:r>
    </w:p>
    <w:p>
      <w:pPr>
        <w:pStyle w:val="BodyText"/>
      </w:pPr>
      <w:r>
        <w:rPr>
          <w:rFonts w:hint="eastAsia"/>
        </w:rPr>
        <w:t xml:space="preserve">图1</w:t>
      </w:r>
    </w:p>
    <w:bookmarkEnd w:id="25"/>
    <w:bookmarkStart w:id="26" w:name="权利要求书"/>
    <w:p>
      <w:pPr>
        <w:pStyle w:val="Heading1"/>
      </w:pPr>
      <w:r>
        <w:rPr>
          <w:rFonts w:hint="eastAsia"/>
        </w:rPr>
        <w:t xml:space="preserve">权利要求书</w:t>
      </w:r>
    </w:p>
    <w:p>
      <w:pPr>
        <w:pStyle w:val="Compact"/>
        <w:numPr>
          <w:ilvl w:val="0"/>
          <w:numId w:val="1001"/>
        </w:numPr>
      </w:pPr>
      <w:r>
        <w:rPr>
          <w:rFonts w:hint="eastAsia"/>
        </w:rPr>
        <w:t xml:space="preserve">一种面向区块生产者的动态评分与探索利用自适应方法，其特征在于，包括如下步骤：</w:t>
      </w:r>
    </w:p>
    <w:p>
      <w:pPr>
        <w:pStyle w:val="FirstParagraph"/>
      </w:pPr>
      <w:r>
        <w:rPr>
          <w:rFonts w:hint="eastAsia"/>
        </w:rPr>
        <w:t xml:space="preserve">步骤1：获取多个区块生产者的行为观测数据，所述行为观测数据至少包括服务尝试次数、服务成功次数、服务失败次数、异常行为次数、正向行为次数和价值产出信息；</w:t>
      </w:r>
    </w:p>
    <w:p>
      <w:pPr>
        <w:pStyle w:val="BodyText"/>
      </w:pPr>
      <w:r>
        <w:rPr>
          <w:rFonts w:hint="eastAsia"/>
        </w:rPr>
        <w:t xml:space="preserve">步骤2：基于所述行为观测数据，计算各区块生产者的动态评分，所述动态评分用于表征对应区块生产者的长期信誉水平；</w:t>
      </w:r>
    </w:p>
    <w:p>
      <w:pPr>
        <w:pStyle w:val="BodyText"/>
      </w:pPr>
      <w:r>
        <w:rPr>
          <w:rFonts w:hint="eastAsia"/>
        </w:rPr>
        <w:t xml:space="preserve">步骤3：基于所述行为观测数据，计算各区块生产者的</w:t>
      </w:r>
      <w:r>
        <w:t xml:space="preserve"> reward </w:t>
      </w:r>
      <w:r>
        <w:rPr>
          <w:rFonts w:hint="eastAsia"/>
        </w:rPr>
        <w:t xml:space="preserve">学习结果，所述</w:t>
      </w:r>
      <w:r>
        <w:t xml:space="preserve"> reward </w:t>
      </w:r>
      <w:r>
        <w:rPr>
          <w:rFonts w:hint="eastAsia"/>
        </w:rPr>
        <w:t xml:space="preserve">学习结果用于表征对应区块生产者的近期收益质量或近期状态变化；</w:t>
      </w:r>
    </w:p>
    <w:p>
      <w:pPr>
        <w:pStyle w:val="BodyText"/>
      </w:pPr>
      <w:r>
        <w:rPr>
          <w:rFonts w:hint="eastAsia"/>
        </w:rPr>
        <w:t xml:space="preserve">步骤4：基于所述动态评分和</w:t>
      </w:r>
      <w:r>
        <w:t xml:space="preserve"> reward </w:t>
      </w:r>
      <w:r>
        <w:rPr>
          <w:rFonts w:hint="eastAsia"/>
        </w:rPr>
        <w:t xml:space="preserve">学习结果，计算各区块生产者的预期收益指标、健康度指标或综合优先级指标；</w:t>
      </w:r>
    </w:p>
    <w:p>
      <w:pPr>
        <w:pStyle w:val="BodyText"/>
      </w:pPr>
      <w:r>
        <w:rPr>
          <w:rFonts w:hint="eastAsia"/>
        </w:rPr>
        <w:t xml:space="preserve">步骤5：根据样本数、注册时间或观测数据充分性，识别</w:t>
      </w:r>
      <w:r>
        <w:t xml:space="preserve"> exploration </w:t>
      </w:r>
      <w:r>
        <w:rPr>
          <w:rFonts w:hint="eastAsia"/>
        </w:rPr>
        <w:t xml:space="preserve">候选区块生产者；</w:t>
      </w:r>
    </w:p>
    <w:p>
      <w:pPr>
        <w:pStyle w:val="BodyText"/>
      </w:pPr>
      <w:r>
        <w:rPr>
          <w:rFonts w:hint="eastAsia"/>
        </w:rPr>
        <w:t xml:space="preserve">步骤6：当命中</w:t>
      </w:r>
      <w:r>
        <w:t xml:space="preserve"> exploration </w:t>
      </w:r>
      <w:r>
        <w:rPr>
          <w:rFonts w:hint="eastAsia"/>
        </w:rPr>
        <w:t xml:space="preserve">条件时，根据探索分值对所述</w:t>
      </w:r>
      <w:r>
        <w:t xml:space="preserve"> exploration </w:t>
      </w:r>
      <w:r>
        <w:rPr>
          <w:rFonts w:hint="eastAsia"/>
        </w:rPr>
        <w:t xml:space="preserve">候选区块生产者进行评估或选择；</w:t>
      </w:r>
    </w:p>
    <w:p>
      <w:pPr>
        <w:pStyle w:val="BodyText"/>
      </w:pPr>
      <w:r>
        <w:rPr>
          <w:rFonts w:hint="eastAsia"/>
        </w:rPr>
        <w:t xml:space="preserve">步骤7：当未命中</w:t>
      </w:r>
      <w:r>
        <w:t xml:space="preserve"> exploration </w:t>
      </w:r>
      <w:r>
        <w:rPr>
          <w:rFonts w:hint="eastAsia"/>
        </w:rPr>
        <w:t xml:space="preserve">条件时，根据</w:t>
      </w:r>
      <w:r>
        <w:t xml:space="preserve"> exploitation </w:t>
      </w:r>
      <w:r>
        <w:rPr>
          <w:rFonts w:hint="eastAsia"/>
        </w:rPr>
        <w:t xml:space="preserve">分值对区块生产者进行评估或选择；</w:t>
      </w:r>
    </w:p>
    <w:p>
      <w:pPr>
        <w:pStyle w:val="BodyText"/>
      </w:pPr>
      <w:r>
        <w:rPr>
          <w:rFonts w:hint="eastAsia"/>
        </w:rPr>
        <w:t xml:space="preserve">步骤8：根据后续反馈结果更新所述行为观测数据、动态评分及</w:t>
      </w:r>
      <w:r>
        <w:t xml:space="preserve"> reward </w:t>
      </w:r>
      <w:r>
        <w:rPr>
          <w:rFonts w:hint="eastAsia"/>
        </w:rPr>
        <w:t xml:space="preserve">学习结果；</w:t>
      </w:r>
    </w:p>
    <w:p>
      <w:pPr>
        <w:pStyle w:val="BodyText"/>
      </w:pPr>
      <w:r>
        <w:rPr>
          <w:rFonts w:hint="eastAsia"/>
        </w:rPr>
        <w:t xml:space="preserve">步骤9：输出区块生产者排序结果、健康评估结果、准入建议、风险预警结果或调度结果中的至少一种。</w:t>
      </w:r>
    </w:p>
    <w:p>
      <w:pPr>
        <w:pStyle w:val="BodyText"/>
      </w:pPr>
      <w:r>
        <w:rPr>
          <w:rFonts w:hint="eastAsia"/>
        </w:rPr>
        <w:t xml:space="preserve">2.根据权利要求1所述的方法，其特征在于，步骤1中所述行为观测数据还包括</w:t>
      </w:r>
      <w:r>
        <w:t xml:space="preserve"> reward </w:t>
      </w:r>
      <w:r>
        <w:rPr>
          <w:rFonts w:hint="eastAsia"/>
        </w:rPr>
        <w:t xml:space="preserve">样本数、累计</w:t>
      </w:r>
      <w:r>
        <w:t xml:space="preserve"> </w:t>
      </w:r>
      <w:r>
        <w:rPr>
          <w:rFonts w:hint="eastAsia"/>
        </w:rPr>
        <w:t xml:space="preserve">reward、平均</w:t>
      </w:r>
      <w:r>
        <w:t xml:space="preserve"> </w:t>
      </w:r>
      <w:r>
        <w:rPr>
          <w:rFonts w:hint="eastAsia"/>
        </w:rPr>
        <w:t xml:space="preserve">reward、最近</w:t>
      </w:r>
      <w:r>
        <w:t xml:space="preserve"> </w:t>
      </w:r>
      <w:r>
        <w:rPr>
          <w:rFonts w:hint="eastAsia"/>
        </w:rPr>
        <w:t xml:space="preserve">reward、连续失败次数、历史评分快照、分发份额、被选中区块数量或目标区块价值中的至少一种。</w:t>
      </w:r>
    </w:p>
    <w:p>
      <w:pPr>
        <w:pStyle w:val="BodyText"/>
      </w:pPr>
      <w:r>
        <w:rPr>
          <w:rFonts w:hint="eastAsia"/>
        </w:rPr>
        <w:t xml:space="preserve">3.根据权利要求1所述的方法，其特征在于，步骤2中计算动态评分包括：根据服务成功率计算可靠性因子，根据服务失败次数或连续失败次数计算失败惩罚因子，根据异常行为次数计算风险惩罚因子，根据正向行为次数计算正向奖励因子，并根据价值产出信息计算价值奖励因子；将所述可靠性因子、失败惩罚因子、风险惩罚因子、正向奖励因子和价值奖励因子中的至少两项组合，得到所述动态评分。</w:t>
      </w:r>
    </w:p>
    <w:p>
      <w:pPr>
        <w:pStyle w:val="BodyText"/>
      </w:pPr>
      <w:r>
        <w:rPr>
          <w:rFonts w:hint="eastAsia"/>
        </w:rPr>
        <w:t xml:space="preserve">4.根据权利要求3所述的方法，其特征在于，所述动态评分按照百分制或归一化分值进行约束，并设置评分上限和最低有效分数；当区块生产者产生正向行为时，以小于负向更新步长的正向更新步长使动态评分向正向目标分平滑上升；当区块生产者产生异常行为或失败行为时，以负向更新步长使动态评分向负向目标分下降，从而使异常行为造成的评分下降速度快于正常行为造成的评分上升速度。</w:t>
      </w:r>
    </w:p>
    <w:p>
      <w:pPr>
        <w:pStyle w:val="BodyText"/>
      </w:pPr>
      <w:r>
        <w:rPr>
          <w:rFonts w:hint="eastAsia"/>
        </w:rPr>
        <w:t xml:space="preserve">5.根据权利要求1所述的方法，其特征在于，步骤3中计算</w:t>
      </w:r>
      <w:r>
        <w:t xml:space="preserve"> reward </w:t>
      </w:r>
      <w:r>
        <w:rPr>
          <w:rFonts w:hint="eastAsia"/>
        </w:rPr>
        <w:t xml:space="preserve">学习结果包括：基于服务成功率、失败率、价值产出、正向行为和异常行为惩罚计算单次</w:t>
      </w:r>
      <w:r>
        <w:t xml:space="preserve"> </w:t>
      </w:r>
      <w:r>
        <w:rPr>
          <w:rFonts w:hint="eastAsia"/>
        </w:rPr>
        <w:t xml:space="preserve">reward，并根据多个</w:t>
      </w:r>
      <w:r>
        <w:t xml:space="preserve"> reward </w:t>
      </w:r>
      <w:r>
        <w:rPr>
          <w:rFonts w:hint="eastAsia"/>
        </w:rPr>
        <w:t xml:space="preserve">样本更新平均</w:t>
      </w:r>
      <w:r>
        <w:t xml:space="preserve"> reward </w:t>
      </w:r>
      <w:r>
        <w:rPr>
          <w:rFonts w:hint="eastAsia"/>
        </w:rPr>
        <w:t xml:space="preserve">或</w:t>
      </w:r>
      <w:r>
        <w:t xml:space="preserve"> reward </w:t>
      </w:r>
      <w:r>
        <w:rPr>
          <w:rFonts w:hint="eastAsia"/>
        </w:rPr>
        <w:t xml:space="preserve">multiplier，使所述</w:t>
      </w:r>
      <w:r>
        <w:t xml:space="preserve"> reward </w:t>
      </w:r>
      <w:r>
        <w:rPr>
          <w:rFonts w:hint="eastAsia"/>
        </w:rPr>
        <w:t xml:space="preserve">学习结果反映区块生产者近期收益质量相对于长期信誉水平的变化。</w:t>
      </w:r>
    </w:p>
    <w:p>
      <w:pPr>
        <w:pStyle w:val="BodyText"/>
      </w:pPr>
      <w:r>
        <w:rPr>
          <w:rFonts w:hint="eastAsia"/>
        </w:rPr>
        <w:t xml:space="preserve">6.根据权利要求1所述的方法，其特征在于，步骤4中所述预期收益指标、健康度指标或综合优先级指标由所述动态评分与</w:t>
      </w:r>
      <w:r>
        <w:t xml:space="preserve"> reward </w:t>
      </w:r>
      <w:r>
        <w:rPr>
          <w:rFonts w:hint="eastAsia"/>
        </w:rPr>
        <w:t xml:space="preserve">学习结果联合计算得到，其中动态评分反映长期信誉水平，reward</w:t>
      </w:r>
      <w:r>
        <w:t xml:space="preserve"> </w:t>
      </w:r>
      <w:r>
        <w:rPr>
          <w:rFonts w:hint="eastAsia"/>
        </w:rPr>
        <w:t xml:space="preserve">学习结果反映近期收益质量；所述联合计算用于抑制仅依据长期历史均值导致的响应滞后，或者仅依据短期</w:t>
      </w:r>
      <w:r>
        <w:t xml:space="preserve"> reward </w:t>
      </w:r>
      <w:r>
        <w:rPr>
          <w:rFonts w:hint="eastAsia"/>
        </w:rPr>
        <w:t xml:space="preserve">导致的评估波动。</w:t>
      </w:r>
    </w:p>
    <w:p>
      <w:pPr>
        <w:pStyle w:val="BodyText"/>
      </w:pPr>
      <w:r>
        <w:rPr>
          <w:rFonts w:hint="eastAsia"/>
        </w:rPr>
        <w:t xml:space="preserve">7.根据权利要求1所述的方法，其特征在于，步骤5中识别</w:t>
      </w:r>
      <w:r>
        <w:t xml:space="preserve"> exploration </w:t>
      </w:r>
      <w:r>
        <w:rPr>
          <w:rFonts w:hint="eastAsia"/>
        </w:rPr>
        <w:t xml:space="preserve">候选区块生产者包括：当区块生产者的样本数低于预设阈值、注册时间处于预设宽限期内、观测数据不充分或不确定性高于预设阈值时，将该区块生产者纳入</w:t>
      </w:r>
      <w:r>
        <w:t xml:space="preserve"> exploration </w:t>
      </w:r>
      <w:r>
        <w:rPr>
          <w:rFonts w:hint="eastAsia"/>
        </w:rPr>
        <w:t xml:space="preserve">候选集合。</w:t>
      </w:r>
    </w:p>
    <w:p>
      <w:pPr>
        <w:pStyle w:val="BodyText"/>
      </w:pPr>
      <w:r>
        <w:rPr>
          <w:rFonts w:hint="eastAsia"/>
        </w:rPr>
        <w:t xml:space="preserve">8.根据权利要求1所述的方法，其特征在于，步骤6中所述探索分值由预期收益、样本不足补偿项、新生产者奖励项、不确定性权重项和</w:t>
      </w:r>
      <w:r>
        <w:t xml:space="preserve"> UCB bonus </w:t>
      </w:r>
      <w:r>
        <w:rPr>
          <w:rFonts w:hint="eastAsia"/>
        </w:rPr>
        <w:t xml:space="preserve">中的至少一项组合得到；系统根据所述探索分值对</w:t>
      </w:r>
      <w:r>
        <w:t xml:space="preserve"> exploration </w:t>
      </w:r>
      <w:r>
        <w:rPr>
          <w:rFonts w:hint="eastAsia"/>
        </w:rPr>
        <w:t xml:space="preserve">候选区块生产者进行排序、筛选、准入评估或调度选择。</w:t>
      </w:r>
    </w:p>
    <w:p>
      <w:pPr>
        <w:pStyle w:val="BodyText"/>
      </w:pPr>
      <w:r>
        <w:rPr>
          <w:rFonts w:hint="eastAsia"/>
        </w:rPr>
        <w:t xml:space="preserve">9.根据权利要求1所述的方法，其特征在于，步骤7中所述</w:t>
      </w:r>
      <w:r>
        <w:t xml:space="preserve"> exploitation </w:t>
      </w:r>
      <w:r>
        <w:rPr>
          <w:rFonts w:hint="eastAsia"/>
        </w:rPr>
        <w:t xml:space="preserve">分值由动态评分、reward</w:t>
      </w:r>
      <w:r>
        <w:t xml:space="preserve"> </w:t>
      </w:r>
      <w:r>
        <w:rPr>
          <w:rFonts w:hint="eastAsia"/>
        </w:rPr>
        <w:t xml:space="preserve">学习结果、预期收益指标、健康度指标、历史成功率、风险惩罚、价值产出和竞争集中度惩罚中的至少两项组合得到；当某一区块生产者的流量份额高于预设集中度阈值或其相对收益低于预设收益阈值时，降低该区块生产者的</w:t>
      </w:r>
      <w:r>
        <w:t xml:space="preserve"> exploitation </w:t>
      </w:r>
      <w:r>
        <w:rPr>
          <w:rFonts w:hint="eastAsia"/>
        </w:rPr>
        <w:t xml:space="preserve">分值。</w:t>
      </w:r>
    </w:p>
    <w:p>
      <w:pPr>
        <w:pStyle w:val="BodyText"/>
      </w:pPr>
      <w:r>
        <w:rPr>
          <w:rFonts w:hint="eastAsia"/>
        </w:rPr>
        <w:t xml:space="preserve">10.一种面向区块生产者的动态评分与探索利用自适应系统，其特征在于，包括：数据采集模块，用于采集各区块生产者的行为观测数据；区块生产者画像模块，用于维护各区块生产者的行为统计、动态评分和历史状态；reward</w:t>
      </w:r>
      <w:r>
        <w:t xml:space="preserve"> </w:t>
      </w:r>
      <w:r>
        <w:rPr>
          <w:rFonts w:hint="eastAsia"/>
        </w:rPr>
        <w:t xml:space="preserve">学习模块，用于根据行为观测结果生成近期收益质量信号；分层控制模块，用于基于</w:t>
      </w:r>
      <w:r>
        <w:t xml:space="preserve"> exploration </w:t>
      </w:r>
      <w:r>
        <w:rPr>
          <w:rFonts w:hint="eastAsia"/>
        </w:rPr>
        <w:t xml:space="preserve">与</w:t>
      </w:r>
      <w:r>
        <w:t xml:space="preserve"> exploitation </w:t>
      </w:r>
      <w:r>
        <w:rPr>
          <w:rFonts w:hint="eastAsia"/>
        </w:rPr>
        <w:t xml:space="preserve">机制对区块生产者进行评估、选择或调度；结果输出模块，用于输出区块生产者排序、健康评估、准入建议、风险预警或调度结果；指标记录模块，用于记录区块生产者画像快照、评分变化、reward</w:t>
      </w:r>
      <w:r>
        <w:t xml:space="preserve"> </w:t>
      </w:r>
      <w:r>
        <w:rPr>
          <w:rFonts w:hint="eastAsia"/>
        </w:rPr>
        <w:t xml:space="preserve">变化和分层决策结果。</w:t>
      </w:r>
    </w:p>
    <w:p>
      <w:pPr>
        <w:pStyle w:val="BodyText"/>
      </w:pPr>
      <w:r>
        <w:rPr>
          <w:rFonts w:hint="eastAsia"/>
        </w:rPr>
        <w:t xml:space="preserve">11.一种电子装置，其特征在于，包括处理器和存储器，所述存储器中存储有计算机程序，所述计算机程序被所述处理器执行时实现权利要求1至9中任一项所述的方法。</w:t>
      </w:r>
    </w:p>
    <w:p>
      <w:pPr>
        <w:pStyle w:val="BodyText"/>
      </w:pPr>
      <w:r>
        <w:rPr>
          <w:rFonts w:hint="eastAsia"/>
        </w:rPr>
        <w:t xml:space="preserve">12.一种计算机可读存储介质，其上存储有计算机程序，其特征在于，所述计算机程序被处理器执行时实现权利要求1至9中任一项所述的方法。</w:t>
      </w:r>
    </w:p>
    <w:bookmarkEnd w:id="26"/>
    <w:bookmarkStart w:id="44" w:name="说明书"/>
    <w:p>
      <w:pPr>
        <w:pStyle w:val="Heading1"/>
      </w:pPr>
      <w:r>
        <w:rPr>
          <w:rFonts w:hint="eastAsia"/>
        </w:rPr>
        <w:t xml:space="preserve">说明书</w:t>
      </w:r>
    </w:p>
    <w:bookmarkStart w:id="27" w:name="一种面向区块生产者的动态评分与探索利用自适应机制系统装置及存储介质"/>
    <w:p>
      <w:pPr>
        <w:pStyle w:val="Heading2"/>
      </w:pPr>
      <w:r>
        <w:rPr>
          <w:rFonts w:hint="eastAsia"/>
        </w:rPr>
        <w:t xml:space="preserve">一种面向区块生产者的动态评分与探索利用自适应机制、系统、装置及存储介质</w:t>
      </w:r>
    </w:p>
    <w:bookmarkEnd w:id="27"/>
    <w:bookmarkStart w:id="28" w:name="技术领域"/>
    <w:p>
      <w:pPr>
        <w:pStyle w:val="Heading2"/>
      </w:pPr>
      <w:r>
        <w:rPr>
          <w:rFonts w:hint="eastAsia"/>
        </w:rPr>
        <w:t xml:space="preserve">技术领域</w:t>
      </w:r>
    </w:p>
    <w:p>
      <w:pPr>
        <w:pStyle w:val="FirstParagraph"/>
      </w:pPr>
      <w:r>
        <w:rPr>
          <w:rFonts w:hint="eastAsia"/>
        </w:rPr>
        <w:t xml:space="preserve">本发明涉及区块链交易处理、区块构建、智能调度和系统健康评估技术领域，尤其涉及一种面向区块生产者的动态评分、reward</w:t>
      </w:r>
      <w:r>
        <w:t xml:space="preserve"> </w:t>
      </w:r>
      <w:r>
        <w:rPr>
          <w:rFonts w:hint="eastAsia"/>
        </w:rPr>
        <w:t xml:space="preserve">学习以及</w:t>
      </w:r>
      <w:r>
        <w:t xml:space="preserve"> exploration / exploitation </w:t>
      </w:r>
      <w:r>
        <w:rPr>
          <w:rFonts w:hint="eastAsia"/>
        </w:rPr>
        <w:t xml:space="preserve">自适应机制的方法、系统、装置及存储介质。</w:t>
      </w:r>
    </w:p>
    <w:bookmarkEnd w:id="28"/>
    <w:bookmarkStart w:id="29" w:name="背景技术"/>
    <w:p>
      <w:pPr>
        <w:pStyle w:val="Heading2"/>
      </w:pPr>
      <w:r>
        <w:rPr>
          <w:rFonts w:hint="eastAsia"/>
        </w:rPr>
        <w:t xml:space="preserve">背景技术</w:t>
      </w:r>
    </w:p>
    <w:p>
      <w:pPr>
        <w:pStyle w:val="FirstParagraph"/>
      </w:pPr>
      <w:r>
        <w:rPr>
          <w:rFonts w:hint="eastAsia"/>
        </w:rPr>
        <w:t xml:space="preserve">当前已经存在一些区块链相关的订单流共享、提示传播或返还机制，例如</w:t>
      </w:r>
      <w:r>
        <w:t xml:space="preserve"> mev-share </w:t>
      </w:r>
      <w:r>
        <w:rPr>
          <w:rFonts w:hint="eastAsia"/>
        </w:rPr>
        <w:t xml:space="preserve">一类方案。该类方案通常更关注交易信息的共享方式、暴露粒度和交互路径，而对于底层参与服务的</w:t>
      </w:r>
      <w:r>
        <w:t xml:space="preserve"> builder </w:t>
      </w:r>
      <w:r>
        <w:rPr>
          <w:rFonts w:hint="eastAsia"/>
        </w:rPr>
        <w:t xml:space="preserve">或</w:t>
      </w:r>
      <w:r>
        <w:t xml:space="preserve"> block </w:t>
      </w:r>
      <w:r>
        <w:rPr>
          <w:rFonts w:hint="eastAsia"/>
        </w:rPr>
        <w:t xml:space="preserve">producer，往往缺少一套独立、可持续学习、可用于长期管理的评价与调度机制。</w:t>
      </w:r>
    </w:p>
    <w:p>
      <w:pPr>
        <w:pStyle w:val="BodyText"/>
      </w:pPr>
      <w:r>
        <w:rPr>
          <w:rFonts w:hint="eastAsia"/>
        </w:rPr>
        <w:t xml:space="preserve">在现有技术中，对于区块生产者的处理方式通常较为粗粒度，常见做法是依赖静态名单、人工经验配置、固定权重、短期成功率或简单可用性检查来进行选择。这种方式在实际运行中至少存在以下问题：</w:t>
      </w:r>
    </w:p>
    <w:p>
      <w:pPr>
        <w:pStyle w:val="Compact"/>
        <w:numPr>
          <w:ilvl w:val="0"/>
          <w:numId w:val="1002"/>
        </w:numPr>
      </w:pPr>
      <w:r>
        <w:rPr>
          <w:rFonts w:hint="eastAsia"/>
        </w:rPr>
        <w:t xml:space="preserve">缺乏面向区块生产者的长期动态评价机制，难以持续刻画不同区块生产者的服务质量、稳定性和行为风险；</w:t>
      </w:r>
    </w:p>
    <w:p>
      <w:pPr>
        <w:pStyle w:val="Compact"/>
        <w:numPr>
          <w:ilvl w:val="0"/>
          <w:numId w:val="1002"/>
        </w:numPr>
      </w:pPr>
      <w:r>
        <w:rPr>
          <w:rFonts w:hint="eastAsia"/>
        </w:rPr>
        <w:t xml:space="preserve">缺乏对异常行为或高风险行为的持续惩罚机制，例如难以及时识别并压制具有</w:t>
      </w:r>
      <w:r>
        <w:t xml:space="preserve"> sandwich attack </w:t>
      </w:r>
      <w:r>
        <w:rPr>
          <w:rFonts w:hint="eastAsia"/>
        </w:rPr>
        <w:t xml:space="preserve">倾向、失效率升高或存在不良行为模式的区块生产者；</w:t>
      </w:r>
    </w:p>
    <w:p>
      <w:pPr>
        <w:pStyle w:val="Compact"/>
        <w:numPr>
          <w:ilvl w:val="0"/>
          <w:numId w:val="1002"/>
        </w:numPr>
      </w:pPr>
      <w:r>
        <w:rPr>
          <w:rFonts w:hint="eastAsia"/>
        </w:rPr>
        <w:t xml:space="preserve">仅依赖静态权重或短期表现，无法同时反映区块生产者的长期信誉和近期状态变化，容易导致评价结果失真；</w:t>
      </w:r>
    </w:p>
    <w:p>
      <w:pPr>
        <w:pStyle w:val="Compact"/>
        <w:numPr>
          <w:ilvl w:val="0"/>
          <w:numId w:val="1002"/>
        </w:numPr>
      </w:pPr>
      <w:r>
        <w:rPr>
          <w:rFonts w:hint="eastAsia"/>
        </w:rPr>
        <w:t xml:space="preserve">对于新加入或样本不足的区块生产者，现有方案通常缺少探索性评估机制，导致系统难以发现潜在高质量区块生产者，进而加剧中心化；</w:t>
      </w:r>
    </w:p>
    <w:p>
      <w:pPr>
        <w:pStyle w:val="Compact"/>
        <w:numPr>
          <w:ilvl w:val="0"/>
          <w:numId w:val="1002"/>
        </w:numPr>
      </w:pPr>
      <w:r>
        <w:rPr>
          <w:rFonts w:hint="eastAsia"/>
        </w:rPr>
        <w:t xml:space="preserve">现有方案通常将区块生产者选择附着在具体业务链路上，例如订单流分发，而没有抽象出一套可独立复用的底层机制，因此难以扩展到健康评估、准入控制、资源调度或策略路由等其他场景。</w:t>
      </w:r>
    </w:p>
    <w:p>
      <w:pPr>
        <w:pStyle w:val="FirstParagraph"/>
      </w:pPr>
      <w:r>
        <w:rPr>
          <w:rFonts w:hint="eastAsia"/>
        </w:rPr>
        <w:t xml:space="preserve">因此，需要一种面向区块生产者本身的独立技术机制，用于对区块生产者进行动态评分、reward</w:t>
      </w:r>
      <w:r>
        <w:t xml:space="preserve"> </w:t>
      </w:r>
      <w:r>
        <w:rPr>
          <w:rFonts w:hint="eastAsia"/>
        </w:rPr>
        <w:t xml:space="preserve">学习和探索利用控制，从而支持更稳定、更可解释且更具适应性的区块生产者管理。</w:t>
      </w:r>
    </w:p>
    <w:bookmarkEnd w:id="29"/>
    <w:bookmarkStart w:id="33" w:name="发明内容"/>
    <w:p>
      <w:pPr>
        <w:pStyle w:val="Heading2"/>
      </w:pPr>
      <w:r>
        <w:rPr>
          <w:rFonts w:hint="eastAsia"/>
        </w:rPr>
        <w:t xml:space="preserve">发明内容</w:t>
      </w:r>
    </w:p>
    <w:bookmarkStart w:id="30" w:name="发明目的"/>
    <w:p>
      <w:pPr>
        <w:pStyle w:val="Heading3"/>
      </w:pPr>
      <w:r>
        <w:rPr>
          <w:rFonts w:hint="eastAsia"/>
        </w:rPr>
        <w:t xml:space="preserve">发明目的</w:t>
      </w:r>
    </w:p>
    <w:p>
      <w:pPr>
        <w:pStyle w:val="FirstParagraph"/>
      </w:pPr>
      <w:r>
        <w:rPr>
          <w:rFonts w:hint="eastAsia"/>
        </w:rPr>
        <w:t xml:space="preserve">本发明的目的在于提供一种面向区块生产者的动态评分与探索利用自适应机制，通过构建基于行为画像的区块生产者动态评分机制、基于</w:t>
      </w:r>
      <w:r>
        <w:t xml:space="preserve"> reward </w:t>
      </w:r>
      <w:r>
        <w:rPr>
          <w:rFonts w:hint="eastAsia"/>
        </w:rPr>
        <w:t xml:space="preserve">的收益学习机制，以及基于</w:t>
      </w:r>
      <w:r>
        <w:t xml:space="preserve"> exploration / exploitation </w:t>
      </w:r>
      <w:r>
        <w:rPr>
          <w:rFonts w:hint="eastAsia"/>
        </w:rPr>
        <w:t xml:space="preserve">的分层机制，实现以下目标：</w:t>
      </w:r>
    </w:p>
    <w:p>
      <w:pPr>
        <w:pStyle w:val="Compact"/>
        <w:numPr>
          <w:ilvl w:val="0"/>
          <w:numId w:val="1003"/>
        </w:numPr>
      </w:pPr>
      <w:r>
        <w:rPr>
          <w:rFonts w:hint="eastAsia"/>
        </w:rPr>
        <w:t xml:space="preserve">对区块生产者进行持续的、可在线更新的长期信誉评估；</w:t>
      </w:r>
    </w:p>
    <w:p>
      <w:pPr>
        <w:pStyle w:val="Compact"/>
        <w:numPr>
          <w:ilvl w:val="0"/>
          <w:numId w:val="1003"/>
        </w:numPr>
      </w:pPr>
      <w:r>
        <w:rPr>
          <w:rFonts w:hint="eastAsia"/>
        </w:rPr>
        <w:t xml:space="preserve">利用近期</w:t>
      </w:r>
      <w:r>
        <w:t xml:space="preserve"> reward </w:t>
      </w:r>
      <w:r>
        <w:rPr>
          <w:rFonts w:hint="eastAsia"/>
        </w:rPr>
        <w:t xml:space="preserve">学习结果反映区块生产者的短期状态和收益质量变化；</w:t>
      </w:r>
    </w:p>
    <w:p>
      <w:pPr>
        <w:pStyle w:val="Compact"/>
        <w:numPr>
          <w:ilvl w:val="0"/>
          <w:numId w:val="1003"/>
        </w:numPr>
      </w:pPr>
      <w:r>
        <w:rPr>
          <w:rFonts w:hint="eastAsia"/>
        </w:rPr>
        <w:t xml:space="preserve">通过</w:t>
      </w:r>
      <w:r>
        <w:t xml:space="preserve"> exploration / exploitation </w:t>
      </w:r>
      <w:r>
        <w:rPr>
          <w:rFonts w:hint="eastAsia"/>
        </w:rPr>
        <w:t xml:space="preserve">机制解决新加入区块生产者的冷启动问题，并降低长期中心化风险；</w:t>
      </w:r>
    </w:p>
    <w:p>
      <w:pPr>
        <w:pStyle w:val="Compact"/>
        <w:numPr>
          <w:ilvl w:val="0"/>
          <w:numId w:val="1003"/>
        </w:numPr>
      </w:pPr>
      <w:r>
        <w:rPr>
          <w:rFonts w:hint="eastAsia"/>
        </w:rPr>
        <w:t xml:space="preserve">输出可用于健康评估、准入控制、资源调度、策略排序或业务选择的统一指标结果。</w:t>
      </w:r>
    </w:p>
    <w:bookmarkEnd w:id="30"/>
    <w:bookmarkStart w:id="31" w:name="技术方案"/>
    <w:p>
      <w:pPr>
        <w:pStyle w:val="Heading3"/>
      </w:pPr>
      <w:r>
        <w:rPr>
          <w:rFonts w:hint="eastAsia"/>
        </w:rPr>
        <w:t xml:space="preserve">技术方案</w:t>
      </w:r>
    </w:p>
    <w:p>
      <w:pPr>
        <w:pStyle w:val="FirstParagraph"/>
      </w:pPr>
      <w:r>
        <w:rPr>
          <w:rFonts w:hint="eastAsia"/>
        </w:rPr>
        <w:t xml:space="preserve">为实现上述目的，本发明提供一种面向区块生产者的动态评分与探索利用自适应方法，包括：</w:t>
      </w:r>
    </w:p>
    <w:p>
      <w:pPr>
        <w:pStyle w:val="Compact"/>
        <w:numPr>
          <w:ilvl w:val="0"/>
          <w:numId w:val="1004"/>
        </w:numPr>
      </w:pPr>
      <w:r>
        <w:rPr>
          <w:rFonts w:hint="eastAsia"/>
        </w:rPr>
        <w:t xml:space="preserve">获取多个区块生产者的行为观测数据；</w:t>
      </w:r>
    </w:p>
    <w:p>
      <w:pPr>
        <w:pStyle w:val="Compact"/>
        <w:numPr>
          <w:ilvl w:val="0"/>
          <w:numId w:val="1004"/>
        </w:numPr>
      </w:pPr>
      <w:r>
        <w:rPr>
          <w:rFonts w:hint="eastAsia"/>
        </w:rPr>
        <w:t xml:space="preserve">基于所述行为观测数据，计算各区块生产者的动态评分；</w:t>
      </w:r>
    </w:p>
    <w:p>
      <w:pPr>
        <w:pStyle w:val="Compact"/>
        <w:numPr>
          <w:ilvl w:val="0"/>
          <w:numId w:val="1004"/>
        </w:numPr>
      </w:pPr>
      <w:r>
        <w:rPr>
          <w:rFonts w:hint="eastAsia"/>
        </w:rPr>
        <w:t xml:space="preserve">基于所述行为观测数据，计算各区块生产者的</w:t>
      </w:r>
      <w:r>
        <w:t xml:space="preserve"> reward </w:t>
      </w:r>
      <w:r>
        <w:rPr>
          <w:rFonts w:hint="eastAsia"/>
        </w:rPr>
        <w:t xml:space="preserve">学习结果；</w:t>
      </w:r>
    </w:p>
    <w:p>
      <w:pPr>
        <w:pStyle w:val="Compact"/>
        <w:numPr>
          <w:ilvl w:val="0"/>
          <w:numId w:val="1004"/>
        </w:numPr>
      </w:pPr>
      <w:r>
        <w:rPr>
          <w:rFonts w:hint="eastAsia"/>
        </w:rPr>
        <w:t xml:space="preserve">基于所述动态评分和</w:t>
      </w:r>
      <w:r>
        <w:t xml:space="preserve"> reward </w:t>
      </w:r>
      <w:r>
        <w:rPr>
          <w:rFonts w:hint="eastAsia"/>
        </w:rPr>
        <w:t xml:space="preserve">学习结果，计算各区块生产者的预期收益指标、健康度指标或综合优先级指标；</w:t>
      </w:r>
    </w:p>
    <w:p>
      <w:pPr>
        <w:pStyle w:val="Compact"/>
        <w:numPr>
          <w:ilvl w:val="0"/>
          <w:numId w:val="1004"/>
        </w:numPr>
      </w:pPr>
      <w:r>
        <w:rPr>
          <w:rFonts w:hint="eastAsia"/>
        </w:rPr>
        <w:t xml:space="preserve">识别样本不足、注册时间较短或观测数据不充分的区块生产者，并将其纳入</w:t>
      </w:r>
      <w:r>
        <w:t xml:space="preserve"> exploration </w:t>
      </w:r>
      <w:r>
        <w:rPr>
          <w:rFonts w:hint="eastAsia"/>
        </w:rPr>
        <w:t xml:space="preserve">候选集合；</w:t>
      </w:r>
    </w:p>
    <w:p>
      <w:pPr>
        <w:pStyle w:val="Compact"/>
        <w:numPr>
          <w:ilvl w:val="0"/>
          <w:numId w:val="1004"/>
        </w:numPr>
      </w:pPr>
      <w:r>
        <w:rPr>
          <w:rFonts w:hint="eastAsia"/>
        </w:rPr>
        <w:t xml:space="preserve">当命中</w:t>
      </w:r>
      <w:r>
        <w:t xml:space="preserve"> exploration </w:t>
      </w:r>
      <w:r>
        <w:rPr>
          <w:rFonts w:hint="eastAsia"/>
        </w:rPr>
        <w:t xml:space="preserve">条件时，基于预期收益、不确定性加权、样本不足补偿、新生产者奖励和/或</w:t>
      </w:r>
      <w:r>
        <w:t xml:space="preserve"> UCB bonus </w:t>
      </w:r>
      <w:r>
        <w:rPr>
          <w:rFonts w:hint="eastAsia"/>
        </w:rPr>
        <w:t xml:space="preserve">计算探索分值，并依据探索分值选择目标区块生产者或输出探索评估结果；</w:t>
      </w:r>
    </w:p>
    <w:p>
      <w:pPr>
        <w:pStyle w:val="Compact"/>
        <w:numPr>
          <w:ilvl w:val="0"/>
          <w:numId w:val="1004"/>
        </w:numPr>
      </w:pPr>
      <w:r>
        <w:rPr>
          <w:rFonts w:hint="eastAsia"/>
        </w:rPr>
        <w:t xml:space="preserve">当未命中</w:t>
      </w:r>
      <w:r>
        <w:t xml:space="preserve"> exploration </w:t>
      </w:r>
      <w:r>
        <w:rPr>
          <w:rFonts w:hint="eastAsia"/>
        </w:rPr>
        <w:t xml:space="preserve">条件时，基于动态评分和</w:t>
      </w:r>
      <w:r>
        <w:t xml:space="preserve"> reward </w:t>
      </w:r>
      <w:r>
        <w:rPr>
          <w:rFonts w:hint="eastAsia"/>
        </w:rPr>
        <w:t xml:space="preserve">学习结果计算</w:t>
      </w:r>
      <w:r>
        <w:t xml:space="preserve"> exploitation </w:t>
      </w:r>
      <w:r>
        <w:rPr>
          <w:rFonts w:hint="eastAsia"/>
        </w:rPr>
        <w:t xml:space="preserve">分值，并依据</w:t>
      </w:r>
      <w:r>
        <w:t xml:space="preserve"> exploitation </w:t>
      </w:r>
      <w:r>
        <w:rPr>
          <w:rFonts w:hint="eastAsia"/>
        </w:rPr>
        <w:t xml:space="preserve">分值选择目标区块生产者或输出利用评估结果；</w:t>
      </w:r>
    </w:p>
    <w:p>
      <w:pPr>
        <w:pStyle w:val="Compact"/>
        <w:numPr>
          <w:ilvl w:val="0"/>
          <w:numId w:val="1004"/>
        </w:numPr>
      </w:pPr>
      <w:r>
        <w:rPr>
          <w:rFonts w:hint="eastAsia"/>
        </w:rPr>
        <w:t xml:space="preserve">根据后续反馈结果持续更新所述行为观测数据、动态评分和</w:t>
      </w:r>
      <w:r>
        <w:t xml:space="preserve"> reward </w:t>
      </w:r>
      <w:r>
        <w:rPr>
          <w:rFonts w:hint="eastAsia"/>
        </w:rPr>
        <w:t xml:space="preserve">学习结果；</w:t>
      </w:r>
    </w:p>
    <w:p>
      <w:pPr>
        <w:pStyle w:val="Compact"/>
        <w:numPr>
          <w:ilvl w:val="0"/>
          <w:numId w:val="1004"/>
        </w:numPr>
      </w:pPr>
      <w:r>
        <w:rPr>
          <w:rFonts w:hint="eastAsia"/>
        </w:rPr>
        <w:t xml:space="preserve">输出区块生产者排序结果、健康评估结果、准入建议、风险预警结果或调度结果中的至少一种。</w:t>
      </w:r>
    </w:p>
    <w:bookmarkEnd w:id="31"/>
    <w:bookmarkStart w:id="32" w:name="有益效果"/>
    <w:p>
      <w:pPr>
        <w:pStyle w:val="Heading3"/>
      </w:pPr>
      <w:r>
        <w:rPr>
          <w:rFonts w:hint="eastAsia"/>
        </w:rPr>
        <w:t xml:space="preserve">有益效果</w:t>
      </w:r>
    </w:p>
    <w:p>
      <w:pPr>
        <w:pStyle w:val="FirstParagraph"/>
      </w:pPr>
      <w:r>
        <w:rPr>
          <w:rFonts w:hint="eastAsia"/>
        </w:rPr>
        <w:t xml:space="preserve">与现有技术相比，本发明至少具有以下有益效果：</w:t>
      </w:r>
    </w:p>
    <w:p>
      <w:pPr>
        <w:pStyle w:val="Compact"/>
        <w:numPr>
          <w:ilvl w:val="0"/>
          <w:numId w:val="1005"/>
        </w:numPr>
      </w:pPr>
      <w:r>
        <w:rPr>
          <w:rFonts w:hint="eastAsia"/>
        </w:rPr>
        <w:t xml:space="preserve">通过面向区块生产者建立独立的动态评分机制，可以将长期信誉评估从具体业务链路中抽象出来，形成可复用的底层能力；</w:t>
      </w:r>
    </w:p>
    <w:p>
      <w:pPr>
        <w:pStyle w:val="Compact"/>
        <w:numPr>
          <w:ilvl w:val="0"/>
          <w:numId w:val="1005"/>
        </w:numPr>
      </w:pPr>
      <w:r>
        <w:rPr>
          <w:rFonts w:hint="eastAsia"/>
        </w:rPr>
        <w:t xml:space="preserve">通过</w:t>
      </w:r>
      <w:r>
        <w:t xml:space="preserve"> reward </w:t>
      </w:r>
      <w:r>
        <w:rPr>
          <w:rFonts w:hint="eastAsia"/>
        </w:rPr>
        <w:t xml:space="preserve">学习结果反映区块生产者的近期状态变化，可提升对状态突变、行为恶化或收益波动的响应速度；</w:t>
      </w:r>
    </w:p>
    <w:p>
      <w:pPr>
        <w:pStyle w:val="Compact"/>
        <w:numPr>
          <w:ilvl w:val="0"/>
          <w:numId w:val="1005"/>
        </w:numPr>
      </w:pPr>
      <w:r>
        <w:rPr>
          <w:rFonts w:hint="eastAsia"/>
        </w:rPr>
        <w:t xml:space="preserve">通过</w:t>
      </w:r>
      <w:r>
        <w:t xml:space="preserve"> exploration / exploitation </w:t>
      </w:r>
      <w:r>
        <w:rPr>
          <w:rFonts w:hint="eastAsia"/>
        </w:rPr>
        <w:t xml:space="preserve">分层机制，可在稳定利用成熟区块生产者与发现潜在优质新区块生产者之间取得平衡；</w:t>
      </w:r>
    </w:p>
    <w:p>
      <w:pPr>
        <w:pStyle w:val="Compact"/>
        <w:numPr>
          <w:ilvl w:val="0"/>
          <w:numId w:val="1005"/>
        </w:numPr>
      </w:pPr>
      <w:r>
        <w:rPr>
          <w:rFonts w:hint="eastAsia"/>
        </w:rPr>
        <w:t xml:space="preserve">通过对异常行为、风险行为和正向行为进行联合建模，可提升区块生产者健康评估的准确性与解释性；</w:t>
      </w:r>
    </w:p>
    <w:p>
      <w:pPr>
        <w:pStyle w:val="Compact"/>
        <w:numPr>
          <w:ilvl w:val="0"/>
          <w:numId w:val="1005"/>
        </w:numPr>
      </w:pPr>
      <w:r>
        <w:rPr>
          <w:rFonts w:hint="eastAsia"/>
        </w:rPr>
        <w:t xml:space="preserve">该机制不仅可用于具体的业务选择或策略路由，还可扩展用于健康评估、准入控制、风险预警和资源调度等场景。</w:t>
      </w:r>
    </w:p>
    <w:bookmarkEnd w:id="32"/>
    <w:bookmarkEnd w:id="33"/>
    <w:bookmarkStart w:id="34" w:name="附图说明"/>
    <w:p>
      <w:pPr>
        <w:pStyle w:val="Heading2"/>
      </w:pPr>
      <w:r>
        <w:rPr>
          <w:rFonts w:hint="eastAsia"/>
        </w:rPr>
        <w:t xml:space="preserve">附图说明</w:t>
      </w:r>
    </w:p>
    <w:p>
      <w:pPr>
        <w:pStyle w:val="FirstParagraph"/>
      </w:pPr>
      <w:r>
        <w:rPr>
          <w:rFonts w:hint="eastAsia"/>
        </w:rPr>
        <w:t xml:space="preserve">图1为实验中各区块生产者动态评分变化示意图。</w:t>
      </w:r>
    </w:p>
    <w:bookmarkEnd w:id="34"/>
    <w:bookmarkStart w:id="43" w:name="具体实施方法"/>
    <w:p>
      <w:pPr>
        <w:pStyle w:val="Heading2"/>
      </w:pPr>
      <w:r>
        <w:rPr>
          <w:rFonts w:hint="eastAsia"/>
        </w:rPr>
        <w:t xml:space="preserve">具体实施方法</w:t>
      </w:r>
    </w:p>
    <w:bookmarkStart w:id="35" w:name="系统组成"/>
    <w:p>
      <w:pPr>
        <w:pStyle w:val="Heading3"/>
      </w:pPr>
      <w:r>
        <w:rPr>
          <w:rFonts w:hint="eastAsia"/>
        </w:rPr>
        <w:t xml:space="preserve">系统组成</w:t>
      </w:r>
    </w:p>
    <w:p>
      <w:pPr>
        <w:pStyle w:val="FirstParagraph"/>
      </w:pPr>
      <w:r>
        <w:rPr>
          <w:rFonts w:hint="eastAsia"/>
        </w:rPr>
        <w:t xml:space="preserve">在一个实施例中，系统包括：</w:t>
      </w:r>
    </w:p>
    <w:p>
      <w:pPr>
        <w:pStyle w:val="Compact"/>
        <w:numPr>
          <w:ilvl w:val="0"/>
          <w:numId w:val="1006"/>
        </w:numPr>
      </w:pPr>
      <w:r>
        <w:rPr>
          <w:rFonts w:hint="eastAsia"/>
        </w:rPr>
        <w:t xml:space="preserve">数据采集模块，用于采集各区块生产者的行为观测数据；</w:t>
      </w:r>
    </w:p>
    <w:p>
      <w:pPr>
        <w:pStyle w:val="Compact"/>
        <w:numPr>
          <w:ilvl w:val="0"/>
          <w:numId w:val="1006"/>
        </w:numPr>
      </w:pPr>
      <w:r>
        <w:rPr>
          <w:rFonts w:hint="eastAsia"/>
        </w:rPr>
        <w:t xml:space="preserve">区块生产者画像模块，用于维护各区块生产者的行为统计、动态评分和历史状态；</w:t>
      </w:r>
    </w:p>
    <w:p>
      <w:pPr>
        <w:pStyle w:val="Compact"/>
        <w:numPr>
          <w:ilvl w:val="0"/>
          <w:numId w:val="1006"/>
        </w:numPr>
      </w:pPr>
      <w:r>
        <w:t xml:space="preserve">reward </w:t>
      </w:r>
      <w:r>
        <w:rPr>
          <w:rFonts w:hint="eastAsia"/>
        </w:rPr>
        <w:t xml:space="preserve">学习模块，用于根据行为观测结果生成近期收益质量信号；</w:t>
      </w:r>
    </w:p>
    <w:p>
      <w:pPr>
        <w:pStyle w:val="Compact"/>
        <w:numPr>
          <w:ilvl w:val="0"/>
          <w:numId w:val="1006"/>
        </w:numPr>
      </w:pPr>
      <w:r>
        <w:rPr>
          <w:rFonts w:hint="eastAsia"/>
        </w:rPr>
        <w:t xml:space="preserve">分层控制模块，用于基于</w:t>
      </w:r>
      <w:r>
        <w:t xml:space="preserve"> exploration </w:t>
      </w:r>
      <w:r>
        <w:rPr>
          <w:rFonts w:hint="eastAsia"/>
        </w:rPr>
        <w:t xml:space="preserve">与</w:t>
      </w:r>
      <w:r>
        <w:t xml:space="preserve"> exploitation </w:t>
      </w:r>
      <w:r>
        <w:rPr>
          <w:rFonts w:hint="eastAsia"/>
        </w:rPr>
        <w:t xml:space="preserve">机制对区块生产者进行评估、选择或调度；</w:t>
      </w:r>
    </w:p>
    <w:p>
      <w:pPr>
        <w:pStyle w:val="Compact"/>
        <w:numPr>
          <w:ilvl w:val="0"/>
          <w:numId w:val="1006"/>
        </w:numPr>
      </w:pPr>
      <w:r>
        <w:rPr>
          <w:rFonts w:hint="eastAsia"/>
        </w:rPr>
        <w:t xml:space="preserve">结果输出模块，用于输出区块生产者排序、健康评估、准入建议、风险预警或调度结果；</w:t>
      </w:r>
    </w:p>
    <w:p>
      <w:pPr>
        <w:pStyle w:val="Compact"/>
        <w:numPr>
          <w:ilvl w:val="0"/>
          <w:numId w:val="1006"/>
        </w:numPr>
      </w:pPr>
      <w:r>
        <w:rPr>
          <w:rFonts w:hint="eastAsia"/>
        </w:rPr>
        <w:t xml:space="preserve">指标记录模块，用于记录区块生产者画像快照、评分变化、reward</w:t>
      </w:r>
      <w:r>
        <w:t xml:space="preserve"> </w:t>
      </w:r>
      <w:r>
        <w:rPr>
          <w:rFonts w:hint="eastAsia"/>
        </w:rPr>
        <w:t xml:space="preserve">变化和分层决策结果。</w:t>
      </w:r>
    </w:p>
    <w:bookmarkEnd w:id="35"/>
    <w:bookmarkStart w:id="36" w:name="行为观测数据实施方式"/>
    <w:p>
      <w:pPr>
        <w:pStyle w:val="Heading3"/>
      </w:pPr>
      <w:r>
        <w:rPr>
          <w:rFonts w:hint="eastAsia"/>
        </w:rPr>
        <w:t xml:space="preserve">行为观测数据实施方式</w:t>
      </w:r>
    </w:p>
    <w:p>
      <w:pPr>
        <w:pStyle w:val="FirstParagraph"/>
      </w:pPr>
      <w:r>
        <w:rPr>
          <w:rFonts w:hint="eastAsia"/>
        </w:rPr>
        <w:t xml:space="preserve">在一个实施例中，每个区块生产者对应一组行为观测数据，至少包括：</w:t>
      </w:r>
    </w:p>
    <w:p>
      <w:pPr>
        <w:pStyle w:val="Compact"/>
        <w:numPr>
          <w:ilvl w:val="0"/>
          <w:numId w:val="1007"/>
        </w:numPr>
      </w:pPr>
      <w:r>
        <w:rPr>
          <w:rFonts w:hint="eastAsia"/>
        </w:rPr>
        <w:t xml:space="preserve">服务尝试次数；</w:t>
      </w:r>
    </w:p>
    <w:p>
      <w:pPr>
        <w:pStyle w:val="Compact"/>
        <w:numPr>
          <w:ilvl w:val="0"/>
          <w:numId w:val="1007"/>
        </w:numPr>
      </w:pPr>
      <w:r>
        <w:rPr>
          <w:rFonts w:hint="eastAsia"/>
        </w:rPr>
        <w:t xml:space="preserve">服务成功次数；</w:t>
      </w:r>
    </w:p>
    <w:p>
      <w:pPr>
        <w:pStyle w:val="Compact"/>
        <w:numPr>
          <w:ilvl w:val="0"/>
          <w:numId w:val="1007"/>
        </w:numPr>
      </w:pPr>
      <w:r>
        <w:rPr>
          <w:rFonts w:hint="eastAsia"/>
        </w:rPr>
        <w:t xml:space="preserve">服务失败次数；</w:t>
      </w:r>
    </w:p>
    <w:p>
      <w:pPr>
        <w:pStyle w:val="Compact"/>
        <w:numPr>
          <w:ilvl w:val="0"/>
          <w:numId w:val="1007"/>
        </w:numPr>
      </w:pPr>
      <w:r>
        <w:rPr>
          <w:rFonts w:hint="eastAsia"/>
        </w:rPr>
        <w:t xml:space="preserve">异常行为次数；</w:t>
      </w:r>
    </w:p>
    <w:p>
      <w:pPr>
        <w:pStyle w:val="Compact"/>
        <w:numPr>
          <w:ilvl w:val="0"/>
          <w:numId w:val="1007"/>
        </w:numPr>
      </w:pPr>
      <w:r>
        <w:rPr>
          <w:rFonts w:hint="eastAsia"/>
        </w:rPr>
        <w:t xml:space="preserve">正向行为次数；</w:t>
      </w:r>
    </w:p>
    <w:p>
      <w:pPr>
        <w:pStyle w:val="Compact"/>
        <w:numPr>
          <w:ilvl w:val="0"/>
          <w:numId w:val="1007"/>
        </w:numPr>
      </w:pPr>
      <w:r>
        <w:rPr>
          <w:rFonts w:hint="eastAsia"/>
        </w:rPr>
        <w:t xml:space="preserve">价值产出累计值；</w:t>
      </w:r>
    </w:p>
    <w:p>
      <w:pPr>
        <w:pStyle w:val="Compact"/>
        <w:numPr>
          <w:ilvl w:val="0"/>
          <w:numId w:val="1007"/>
        </w:numPr>
      </w:pPr>
      <w:r>
        <w:t xml:space="preserve">reward </w:t>
      </w:r>
      <w:r>
        <w:rPr>
          <w:rFonts w:hint="eastAsia"/>
        </w:rPr>
        <w:t xml:space="preserve">样本数、累计</w:t>
      </w:r>
      <w:r>
        <w:t xml:space="preserve"> </w:t>
      </w:r>
      <w:r>
        <w:rPr>
          <w:rFonts w:hint="eastAsia"/>
        </w:rPr>
        <w:t xml:space="preserve">reward、平均</w:t>
      </w:r>
      <w:r>
        <w:t xml:space="preserve"> </w:t>
      </w:r>
      <w:r>
        <w:rPr>
          <w:rFonts w:hint="eastAsia"/>
        </w:rPr>
        <w:t xml:space="preserve">reward、最近</w:t>
      </w:r>
      <w:r>
        <w:t xml:space="preserve"> reward。</w:t>
      </w:r>
    </w:p>
    <w:p>
      <w:pPr>
        <w:pStyle w:val="FirstParagraph"/>
      </w:pPr>
      <w:r>
        <w:rPr>
          <w:rFonts w:hint="eastAsia"/>
        </w:rPr>
        <w:t xml:space="preserve">其中，异常行为可包括但不限于</w:t>
      </w:r>
      <w:r>
        <w:t xml:space="preserve"> sandwich </w:t>
      </w:r>
      <w:r>
        <w:rPr>
          <w:rFonts w:hint="eastAsia"/>
        </w:rPr>
        <w:t xml:space="preserve">attack、异常失效率上升、违规响应或其他风险模式；正向行为可包括但不限于稳定完成服务、持续高质量产出、符合预设规范的行为或其他可归因为健康信号的行为。</w:t>
      </w:r>
    </w:p>
    <w:bookmarkEnd w:id="36"/>
    <w:bookmarkStart w:id="37" w:name="动态评分实施方式"/>
    <w:p>
      <w:pPr>
        <w:pStyle w:val="Heading3"/>
      </w:pPr>
      <w:r>
        <w:rPr>
          <w:rFonts w:hint="eastAsia"/>
        </w:rPr>
        <w:t xml:space="preserve">动态评分实施方式</w:t>
      </w:r>
    </w:p>
    <w:p>
      <w:pPr>
        <w:pStyle w:val="FirstParagraph"/>
      </w:pPr>
      <w:r>
        <w:rPr>
          <w:rFonts w:hint="eastAsia"/>
        </w:rPr>
        <w:t xml:space="preserve">在一个实施例中，系统基于所述行为观测数据，计算区块生产者的动态评分。动态评分用于表征区块生产者的长期信誉水平，可由以下因素共同确定：</w:t>
      </w:r>
    </w:p>
    <w:p>
      <w:pPr>
        <w:pStyle w:val="Compact"/>
        <w:numPr>
          <w:ilvl w:val="0"/>
          <w:numId w:val="1008"/>
        </w:numPr>
      </w:pPr>
      <w:r>
        <w:rPr>
          <w:rFonts w:hint="eastAsia"/>
        </w:rPr>
        <w:t xml:space="preserve">成功率对应的可靠性因子；</w:t>
      </w:r>
    </w:p>
    <w:p>
      <w:pPr>
        <w:pStyle w:val="Compact"/>
        <w:numPr>
          <w:ilvl w:val="0"/>
          <w:numId w:val="1008"/>
        </w:numPr>
      </w:pPr>
      <w:r>
        <w:rPr>
          <w:rFonts w:hint="eastAsia"/>
        </w:rPr>
        <w:t xml:space="preserve">连续失败对应的失败惩罚因子；</w:t>
      </w:r>
    </w:p>
    <w:p>
      <w:pPr>
        <w:pStyle w:val="Compact"/>
        <w:numPr>
          <w:ilvl w:val="0"/>
          <w:numId w:val="1008"/>
        </w:numPr>
      </w:pPr>
      <w:r>
        <w:rPr>
          <w:rFonts w:hint="eastAsia"/>
        </w:rPr>
        <w:t xml:space="preserve">异常行为对应的风险惩罚因子；</w:t>
      </w:r>
    </w:p>
    <w:p>
      <w:pPr>
        <w:pStyle w:val="Compact"/>
        <w:numPr>
          <w:ilvl w:val="0"/>
          <w:numId w:val="1008"/>
        </w:numPr>
      </w:pPr>
      <w:r>
        <w:rPr>
          <w:rFonts w:hint="eastAsia"/>
        </w:rPr>
        <w:t xml:space="preserve">正向行为对应的奖励因子；</w:t>
      </w:r>
    </w:p>
    <w:p>
      <w:pPr>
        <w:pStyle w:val="Compact"/>
        <w:numPr>
          <w:ilvl w:val="0"/>
          <w:numId w:val="1008"/>
        </w:numPr>
      </w:pPr>
      <w:r>
        <w:rPr>
          <w:rFonts w:hint="eastAsia"/>
        </w:rPr>
        <w:t xml:space="preserve">价值产出对应的价值奖励因子。</w:t>
      </w:r>
    </w:p>
    <w:p>
      <w:pPr>
        <w:pStyle w:val="FirstParagraph"/>
      </w:pPr>
      <w:r>
        <w:rPr>
          <w:rFonts w:hint="eastAsia"/>
        </w:rPr>
        <w:t xml:space="preserve">在一个具体实现中，区块生产者的有效分数可表示为：</w:t>
      </w:r>
    </w:p>
    <w:p>
      <w:pPr>
        <w:pStyle w:val="BodyText"/>
      </w:pPr>
      <w:r>
        <w:t xml:space="preserve">effective_score = base_score * reliability_factor * failure_factor * risk_factor * positive_factor * value_factor</w:t>
      </w:r>
    </w:p>
    <w:p>
      <w:pPr>
        <w:pStyle w:val="BodyText"/>
      </w:pPr>
      <w:r>
        <w:rPr>
          <w:rFonts w:hint="eastAsia"/>
        </w:rPr>
        <w:t xml:space="preserve">其中，risk_factor</w:t>
      </w:r>
      <w:r>
        <w:t xml:space="preserve"> </w:t>
      </w:r>
      <w:r>
        <w:rPr>
          <w:rFonts w:hint="eastAsia"/>
        </w:rPr>
        <w:t xml:space="preserve">随异常行为次数增加而下降，positive_factor</w:t>
      </w:r>
      <w:r>
        <w:t xml:space="preserve"> </w:t>
      </w:r>
      <w:r>
        <w:rPr>
          <w:rFonts w:hint="eastAsia"/>
        </w:rPr>
        <w:t xml:space="preserve">和</w:t>
      </w:r>
      <w:r>
        <w:t xml:space="preserve"> value_factor </w:t>
      </w:r>
      <w:r>
        <w:rPr>
          <w:rFonts w:hint="eastAsia"/>
        </w:rPr>
        <w:t xml:space="preserve">随正向行为和价值产出增加而上升。</w:t>
      </w:r>
    </w:p>
    <w:bookmarkEnd w:id="37"/>
    <w:bookmarkStart w:id="38" w:name="reward-学习实施方式"/>
    <w:p>
      <w:pPr>
        <w:pStyle w:val="Heading3"/>
      </w:pPr>
      <w:r>
        <w:t xml:space="preserve">Reward </w:t>
      </w:r>
      <w:r>
        <w:rPr>
          <w:rFonts w:hint="eastAsia"/>
        </w:rPr>
        <w:t xml:space="preserve">学习实施方式</w:t>
      </w:r>
    </w:p>
    <w:p>
      <w:pPr>
        <w:pStyle w:val="FirstParagraph"/>
      </w:pPr>
      <w:r>
        <w:rPr>
          <w:rFonts w:hint="eastAsia"/>
        </w:rPr>
        <w:t xml:space="preserve">在一个实施例中，reward</w:t>
      </w:r>
      <w:r>
        <w:t xml:space="preserve"> </w:t>
      </w:r>
      <w:r>
        <w:rPr>
          <w:rFonts w:hint="eastAsia"/>
        </w:rPr>
        <w:t xml:space="preserve">作为近期收益质量的学习信号，用于反映区块生产者近期表现是否优于或劣于其长期平均水平。所述</w:t>
      </w:r>
      <w:r>
        <w:t xml:space="preserve"> reward </w:t>
      </w:r>
      <w:r>
        <w:rPr>
          <w:rFonts w:hint="eastAsia"/>
        </w:rPr>
        <w:t xml:space="preserve">可基于以下因素计算：</w:t>
      </w:r>
    </w:p>
    <w:p>
      <w:pPr>
        <w:pStyle w:val="Compact"/>
        <w:numPr>
          <w:ilvl w:val="0"/>
          <w:numId w:val="1009"/>
        </w:numPr>
      </w:pPr>
      <w:r>
        <w:rPr>
          <w:rFonts w:hint="eastAsia"/>
        </w:rPr>
        <w:t xml:space="preserve">服务成功率；</w:t>
      </w:r>
    </w:p>
    <w:p>
      <w:pPr>
        <w:pStyle w:val="Compact"/>
        <w:numPr>
          <w:ilvl w:val="0"/>
          <w:numId w:val="1009"/>
        </w:numPr>
      </w:pPr>
      <w:r>
        <w:rPr>
          <w:rFonts w:hint="eastAsia"/>
        </w:rPr>
        <w:t xml:space="preserve">失败率；</w:t>
      </w:r>
    </w:p>
    <w:p>
      <w:pPr>
        <w:pStyle w:val="Compact"/>
        <w:numPr>
          <w:ilvl w:val="0"/>
          <w:numId w:val="1009"/>
        </w:numPr>
      </w:pPr>
      <w:r>
        <w:rPr>
          <w:rFonts w:hint="eastAsia"/>
        </w:rPr>
        <w:t xml:space="preserve">价值产出；</w:t>
      </w:r>
    </w:p>
    <w:p>
      <w:pPr>
        <w:pStyle w:val="Compact"/>
        <w:numPr>
          <w:ilvl w:val="0"/>
          <w:numId w:val="1009"/>
        </w:numPr>
      </w:pPr>
      <w:r>
        <w:rPr>
          <w:rFonts w:hint="eastAsia"/>
        </w:rPr>
        <w:t xml:space="preserve">正向行为；</w:t>
      </w:r>
    </w:p>
    <w:p>
      <w:pPr>
        <w:pStyle w:val="Compact"/>
        <w:numPr>
          <w:ilvl w:val="0"/>
          <w:numId w:val="1009"/>
        </w:numPr>
      </w:pPr>
      <w:r>
        <w:rPr>
          <w:rFonts w:hint="eastAsia"/>
        </w:rPr>
        <w:t xml:space="preserve">异常行为惩罚。</w:t>
      </w:r>
    </w:p>
    <w:p>
      <w:pPr>
        <w:pStyle w:val="FirstParagraph"/>
      </w:pPr>
      <w:r>
        <w:rPr>
          <w:rFonts w:hint="eastAsia"/>
        </w:rPr>
        <w:t xml:space="preserve">在一个具体实现中，reward</w:t>
      </w:r>
      <w:r>
        <w:t xml:space="preserve"> </w:t>
      </w:r>
      <w:r>
        <w:rPr>
          <w:rFonts w:hint="eastAsia"/>
        </w:rPr>
        <w:t xml:space="preserve">可表示为：</w:t>
      </w:r>
    </w:p>
    <w:p>
      <w:pPr>
        <w:pStyle w:val="BodyText"/>
      </w:pPr>
      <w:r>
        <w:t xml:space="preserve">reward = success_weight * success_rate + value_weight * value_component + positive_weight * positive_component - failure_weight * failure_rate - risk_weight * abnormal_events</w:t>
      </w:r>
    </w:p>
    <w:p>
      <w:pPr>
        <w:pStyle w:val="BodyText"/>
      </w:pPr>
      <w:r>
        <w:rPr>
          <w:rFonts w:hint="eastAsia"/>
        </w:rPr>
        <w:t xml:space="preserve">基于</w:t>
      </w:r>
      <w:r>
        <w:t xml:space="preserve"> reward </w:t>
      </w:r>
      <w:r>
        <w:rPr>
          <w:rFonts w:hint="eastAsia"/>
        </w:rPr>
        <w:t xml:space="preserve">样本累计得到</w:t>
      </w:r>
      <w:r>
        <w:t xml:space="preserve"> </w:t>
      </w:r>
      <w:r>
        <w:rPr>
          <w:rFonts w:hint="eastAsia"/>
        </w:rPr>
        <w:t xml:space="preserve">average_reward，并据此构建区块生产者的近期收益质量刻画。</w:t>
      </w:r>
    </w:p>
    <w:bookmarkEnd w:id="38"/>
    <w:bookmarkStart w:id="39" w:name="动态评分与-reward-的联合决策实施方式"/>
    <w:p>
      <w:pPr>
        <w:pStyle w:val="Heading3"/>
      </w:pPr>
      <w:r>
        <w:rPr>
          <w:rFonts w:hint="eastAsia"/>
        </w:rPr>
        <w:t xml:space="preserve">动态评分与</w:t>
      </w:r>
      <w:r>
        <w:t xml:space="preserve"> Reward </w:t>
      </w:r>
      <w:r>
        <w:rPr>
          <w:rFonts w:hint="eastAsia"/>
        </w:rPr>
        <w:t xml:space="preserve">的联合决策实施方式</w:t>
      </w:r>
    </w:p>
    <w:p>
      <w:pPr>
        <w:pStyle w:val="FirstParagraph"/>
      </w:pPr>
      <w:r>
        <w:rPr>
          <w:rFonts w:hint="eastAsia"/>
        </w:rPr>
        <w:t xml:space="preserve">在一个实施例中，系统并非仅依据动态评分或仅依据</w:t>
      </w:r>
      <w:r>
        <w:t xml:space="preserve"> reward </w:t>
      </w:r>
      <w:r>
        <w:rPr>
          <w:rFonts w:hint="eastAsia"/>
        </w:rPr>
        <w:t xml:space="preserve">单独做评估决策，而是将两者联合使用。其中：</w:t>
      </w:r>
    </w:p>
    <w:p>
      <w:pPr>
        <w:pStyle w:val="Compact"/>
        <w:numPr>
          <w:ilvl w:val="0"/>
          <w:numId w:val="1010"/>
        </w:numPr>
      </w:pPr>
      <w:r>
        <w:rPr>
          <w:rFonts w:hint="eastAsia"/>
        </w:rPr>
        <w:t xml:space="preserve">动态评分反映区块生产者的长期信誉水平；</w:t>
      </w:r>
    </w:p>
    <w:p>
      <w:pPr>
        <w:pStyle w:val="Compact"/>
        <w:numPr>
          <w:ilvl w:val="0"/>
          <w:numId w:val="1010"/>
        </w:numPr>
      </w:pPr>
      <w:r>
        <w:t xml:space="preserve">reward </w:t>
      </w:r>
      <w:r>
        <w:rPr>
          <w:rFonts w:hint="eastAsia"/>
        </w:rPr>
        <w:t xml:space="preserve">反映区块生产者近期收益质量和状态变化；</w:t>
      </w:r>
    </w:p>
    <w:p>
      <w:pPr>
        <w:pStyle w:val="Compact"/>
        <w:numPr>
          <w:ilvl w:val="0"/>
          <w:numId w:val="1010"/>
        </w:numPr>
      </w:pPr>
      <w:r>
        <w:rPr>
          <w:rFonts w:hint="eastAsia"/>
        </w:rPr>
        <w:t xml:space="preserve">预期收益指标、健康度指标或综合优先级指标通过动态评分与</w:t>
      </w:r>
      <w:r>
        <w:t xml:space="preserve"> reward </w:t>
      </w:r>
      <w:r>
        <w:rPr>
          <w:rFonts w:hint="eastAsia"/>
        </w:rPr>
        <w:t xml:space="preserve">组合得到，用于统一刻画区块生产者当前的综合状态。</w:t>
      </w:r>
    </w:p>
    <w:p>
      <w:pPr>
        <w:pStyle w:val="FirstParagraph"/>
      </w:pPr>
      <w:r>
        <w:rPr>
          <w:rFonts w:hint="eastAsia"/>
        </w:rPr>
        <w:t xml:space="preserve">在一个具体实现中，预期收益可表示为：</w:t>
      </w:r>
    </w:p>
    <w:p>
      <w:pPr>
        <w:pStyle w:val="BodyText"/>
      </w:pPr>
      <w:r>
        <w:t xml:space="preserve">expected_reward = reputation_score * reward_multiplier</w:t>
      </w:r>
    </w:p>
    <w:p>
      <w:pPr>
        <w:pStyle w:val="BodyText"/>
      </w:pPr>
      <w:r>
        <w:rPr>
          <w:rFonts w:hint="eastAsia"/>
        </w:rPr>
        <w:t xml:space="preserve">其中，reputation_score</w:t>
      </w:r>
      <w:r>
        <w:t xml:space="preserve"> </w:t>
      </w:r>
      <w:r>
        <w:rPr>
          <w:rFonts w:hint="eastAsia"/>
        </w:rPr>
        <w:t xml:space="preserve">来源于动态评分结果，reward_multiplier</w:t>
      </w:r>
      <w:r>
        <w:t xml:space="preserve"> </w:t>
      </w:r>
      <w:r>
        <w:rPr>
          <w:rFonts w:hint="eastAsia"/>
        </w:rPr>
        <w:t xml:space="preserve">来源于</w:t>
      </w:r>
      <w:r>
        <w:t xml:space="preserve"> reward </w:t>
      </w:r>
      <w:r>
        <w:rPr>
          <w:rFonts w:hint="eastAsia"/>
        </w:rPr>
        <w:t xml:space="preserve">学习结果。</w:t>
      </w:r>
    </w:p>
    <w:p>
      <w:pPr>
        <w:pStyle w:val="BodyText"/>
      </w:pPr>
      <w:r>
        <w:rPr>
          <w:rFonts w:hint="eastAsia"/>
        </w:rPr>
        <w:t xml:space="preserve">通过该联合建模方式，可以避免仅依赖长期历史均值导致对近期恶化响应过慢，也可以避免仅依赖短期</w:t>
      </w:r>
      <w:r>
        <w:t xml:space="preserve"> reward </w:t>
      </w:r>
      <w:r>
        <w:rPr>
          <w:rFonts w:hint="eastAsia"/>
        </w:rPr>
        <w:t xml:space="preserve">导致评估结果波动过大。</w:t>
      </w:r>
    </w:p>
    <w:bookmarkEnd w:id="39"/>
    <w:bookmarkStart w:id="40" w:name="exploration-exploitation-实施方式"/>
    <w:p>
      <w:pPr>
        <w:pStyle w:val="Heading3"/>
      </w:pPr>
      <w:r>
        <w:t xml:space="preserve">Exploration / Exploitation </w:t>
      </w:r>
      <w:r>
        <w:rPr>
          <w:rFonts w:hint="eastAsia"/>
        </w:rPr>
        <w:t xml:space="preserve">实施方式</w:t>
      </w:r>
    </w:p>
    <w:p>
      <w:pPr>
        <w:pStyle w:val="FirstParagraph"/>
      </w:pPr>
      <w:r>
        <w:rPr>
          <w:rFonts w:hint="eastAsia"/>
        </w:rPr>
        <w:t xml:space="preserve">在一个实施例中，系统将区块生产者分为成熟区块生产者与待探索区块生产者。若区块生产者满足以下任一条件，则可被认定为待探索区块生产者：</w:t>
      </w:r>
    </w:p>
    <w:p>
      <w:pPr>
        <w:pStyle w:val="Compact"/>
        <w:numPr>
          <w:ilvl w:val="0"/>
          <w:numId w:val="1011"/>
        </w:numPr>
      </w:pPr>
      <w:r>
        <w:rPr>
          <w:rFonts w:hint="eastAsia"/>
        </w:rPr>
        <w:t xml:space="preserve">样本数低于预设阈值；</w:t>
      </w:r>
    </w:p>
    <w:p>
      <w:pPr>
        <w:pStyle w:val="Compact"/>
        <w:numPr>
          <w:ilvl w:val="0"/>
          <w:numId w:val="1011"/>
        </w:numPr>
      </w:pPr>
      <w:r>
        <w:rPr>
          <w:rFonts w:hint="eastAsia"/>
        </w:rPr>
        <w:t xml:space="preserve">注册时间处于预设宽限期内；</w:t>
      </w:r>
    </w:p>
    <w:p>
      <w:pPr>
        <w:pStyle w:val="Compact"/>
        <w:numPr>
          <w:ilvl w:val="0"/>
          <w:numId w:val="1011"/>
        </w:numPr>
      </w:pPr>
      <w:r>
        <w:rPr>
          <w:rFonts w:hint="eastAsia"/>
        </w:rPr>
        <w:t xml:space="preserve">观测数据不充分或不确定性较高。</w:t>
      </w:r>
    </w:p>
    <w:p>
      <w:pPr>
        <w:pStyle w:val="FirstParagraph"/>
      </w:pPr>
      <w:r>
        <w:rPr>
          <w:rFonts w:hint="eastAsia"/>
        </w:rPr>
        <w:t xml:space="preserve">当系统命中</w:t>
      </w:r>
      <w:r>
        <w:t xml:space="preserve"> exploration </w:t>
      </w:r>
      <w:r>
        <w:rPr>
          <w:rFonts w:hint="eastAsia"/>
        </w:rPr>
        <w:t xml:space="preserve">条件时，从待探索区块生产者集合中进行探索评估。探索分值可由下述因素组合得到：</w:t>
      </w:r>
    </w:p>
    <w:p>
      <w:pPr>
        <w:pStyle w:val="Compact"/>
        <w:numPr>
          <w:ilvl w:val="0"/>
          <w:numId w:val="1012"/>
        </w:numPr>
      </w:pPr>
      <w:r>
        <w:rPr>
          <w:rFonts w:hint="eastAsia"/>
        </w:rPr>
        <w:t xml:space="preserve">预期收益；</w:t>
      </w:r>
    </w:p>
    <w:p>
      <w:pPr>
        <w:pStyle w:val="Compact"/>
        <w:numPr>
          <w:ilvl w:val="0"/>
          <w:numId w:val="1012"/>
        </w:numPr>
      </w:pPr>
      <w:r>
        <w:rPr>
          <w:rFonts w:hint="eastAsia"/>
        </w:rPr>
        <w:t xml:space="preserve">样本不足补偿项；</w:t>
      </w:r>
    </w:p>
    <w:p>
      <w:pPr>
        <w:pStyle w:val="Compact"/>
        <w:numPr>
          <w:ilvl w:val="0"/>
          <w:numId w:val="1012"/>
        </w:numPr>
      </w:pPr>
      <w:r>
        <w:rPr>
          <w:rFonts w:hint="eastAsia"/>
        </w:rPr>
        <w:t xml:space="preserve">新生产者奖励项；</w:t>
      </w:r>
    </w:p>
    <w:p>
      <w:pPr>
        <w:pStyle w:val="Compact"/>
        <w:numPr>
          <w:ilvl w:val="0"/>
          <w:numId w:val="1012"/>
        </w:numPr>
      </w:pPr>
      <w:r>
        <w:rPr>
          <w:rFonts w:hint="eastAsia"/>
        </w:rPr>
        <w:t xml:space="preserve">不确定性权重项；</w:t>
      </w:r>
    </w:p>
    <w:p>
      <w:pPr>
        <w:pStyle w:val="Compact"/>
        <w:numPr>
          <w:ilvl w:val="0"/>
          <w:numId w:val="1012"/>
        </w:numPr>
      </w:pPr>
      <w:r>
        <w:t xml:space="preserve">UCB bonus。</w:t>
      </w:r>
    </w:p>
    <w:p>
      <w:pPr>
        <w:pStyle w:val="FirstParagraph"/>
      </w:pPr>
      <w:r>
        <w:rPr>
          <w:rFonts w:hint="eastAsia"/>
        </w:rPr>
        <w:t xml:space="preserve">当系统未命中</w:t>
      </w:r>
      <w:r>
        <w:t xml:space="preserve"> exploration </w:t>
      </w:r>
      <w:r>
        <w:rPr>
          <w:rFonts w:hint="eastAsia"/>
        </w:rPr>
        <w:t xml:space="preserve">条件，或者待探索区块生产者集合为空时，系统进入</w:t>
      </w:r>
      <w:r>
        <w:t xml:space="preserve"> exploitation </w:t>
      </w:r>
      <w:r>
        <w:rPr>
          <w:rFonts w:hint="eastAsia"/>
        </w:rPr>
        <w:t xml:space="preserve">模式，基于</w:t>
      </w:r>
      <w:r>
        <w:t xml:space="preserve"> expected_reward </w:t>
      </w:r>
      <w:r>
        <w:rPr>
          <w:rFonts w:hint="eastAsia"/>
        </w:rPr>
        <w:t xml:space="preserve">或综合优先级指标对成熟区块生产者进行利用评估。</w:t>
      </w:r>
    </w:p>
    <w:p>
      <w:pPr>
        <w:pStyle w:val="BodyText"/>
      </w:pPr>
      <w:r>
        <w:rPr>
          <w:rFonts w:hint="eastAsia"/>
        </w:rPr>
        <w:t xml:space="preserve">通过上述设计，系统不再仅依赖历史优势区块生产者，而是能够在保持整体稳定性的同时，持续发现潜在高质量的新区块生产者，从而缓解长期中心化问题。</w:t>
      </w:r>
    </w:p>
    <w:bookmarkEnd w:id="40"/>
    <w:bookmarkStart w:id="41" w:name="应用场景实施方式"/>
    <w:p>
      <w:pPr>
        <w:pStyle w:val="Heading3"/>
      </w:pPr>
      <w:r>
        <w:rPr>
          <w:rFonts w:hint="eastAsia"/>
        </w:rPr>
        <w:t xml:space="preserve">应用场景实施方式</w:t>
      </w:r>
    </w:p>
    <w:p>
      <w:pPr>
        <w:pStyle w:val="FirstParagraph"/>
      </w:pPr>
      <w:r>
        <w:rPr>
          <w:rFonts w:hint="eastAsia"/>
        </w:rPr>
        <w:t xml:space="preserve">在一个实施例中，本发明所述机制可独立应用于以下场景中的一种或多种：</w:t>
      </w:r>
    </w:p>
    <w:p>
      <w:pPr>
        <w:pStyle w:val="Compact"/>
        <w:numPr>
          <w:ilvl w:val="0"/>
          <w:numId w:val="1013"/>
        </w:numPr>
      </w:pPr>
      <w:r>
        <w:rPr>
          <w:rFonts w:hint="eastAsia"/>
        </w:rPr>
        <w:t xml:space="preserve">区块生产者健康评估；</w:t>
      </w:r>
    </w:p>
    <w:p>
      <w:pPr>
        <w:pStyle w:val="Compact"/>
        <w:numPr>
          <w:ilvl w:val="0"/>
          <w:numId w:val="1013"/>
        </w:numPr>
      </w:pPr>
      <w:r>
        <w:rPr>
          <w:rFonts w:hint="eastAsia"/>
        </w:rPr>
        <w:t xml:space="preserve">区块生产者准入控制；</w:t>
      </w:r>
    </w:p>
    <w:p>
      <w:pPr>
        <w:pStyle w:val="Compact"/>
        <w:numPr>
          <w:ilvl w:val="0"/>
          <w:numId w:val="1013"/>
        </w:numPr>
      </w:pPr>
      <w:r>
        <w:rPr>
          <w:rFonts w:hint="eastAsia"/>
        </w:rPr>
        <w:t xml:space="preserve">区块生产者风险预警；</w:t>
      </w:r>
    </w:p>
    <w:p>
      <w:pPr>
        <w:pStyle w:val="Compact"/>
        <w:numPr>
          <w:ilvl w:val="0"/>
          <w:numId w:val="1013"/>
        </w:numPr>
      </w:pPr>
      <w:r>
        <w:rPr>
          <w:rFonts w:hint="eastAsia"/>
        </w:rPr>
        <w:t xml:space="preserve">资源调度与策略排序；</w:t>
      </w:r>
    </w:p>
    <w:p>
      <w:pPr>
        <w:pStyle w:val="Compact"/>
        <w:numPr>
          <w:ilvl w:val="0"/>
          <w:numId w:val="1013"/>
        </w:numPr>
      </w:pPr>
      <w:r>
        <w:rPr>
          <w:rFonts w:hint="eastAsia"/>
        </w:rPr>
        <w:t xml:space="preserve">面向具体业务的区块生产者选择。</w:t>
      </w:r>
    </w:p>
    <w:p>
      <w:pPr>
        <w:pStyle w:val="FirstParagraph"/>
      </w:pPr>
      <w:r>
        <w:rPr>
          <w:rFonts w:hint="eastAsia"/>
        </w:rPr>
        <w:t xml:space="preserve">其中，面向具体业务的区块生产者选择仅是本发明的一个应用场景，而非对本发明的限定。</w:t>
      </w:r>
    </w:p>
    <w:bookmarkEnd w:id="41"/>
    <w:bookmarkStart w:id="42" w:name="实验验证"/>
    <w:p>
      <w:pPr>
        <w:pStyle w:val="Heading3"/>
      </w:pPr>
      <w:r>
        <w:rPr>
          <w:rFonts w:hint="eastAsia"/>
        </w:rPr>
        <w:t xml:space="preserve">实验验证</w:t>
      </w:r>
    </w:p>
    <w:p>
      <w:pPr>
        <w:pStyle w:val="FirstParagraph"/>
      </w:pPr>
      <w:r>
        <w:rPr>
          <w:rFonts w:hint="eastAsia"/>
        </w:rPr>
        <w:t xml:space="preserve">在一个</w:t>
      </w:r>
      <w:r>
        <w:t xml:space="preserve"> mock </w:t>
      </w:r>
      <w:r>
        <w:rPr>
          <w:rFonts w:hint="eastAsia"/>
        </w:rPr>
        <w:t xml:space="preserve">实验中，设置</w:t>
      </w:r>
      <w:r>
        <w:t xml:space="preserve"> 7 </w:t>
      </w:r>
      <w:r>
        <w:rPr>
          <w:rFonts w:hint="eastAsia"/>
        </w:rPr>
        <w:t xml:space="preserve">个区块生产者并连续模拟约</w:t>
      </w:r>
      <w:r>
        <w:t xml:space="preserve"> 10000 </w:t>
      </w:r>
      <w:r>
        <w:rPr>
          <w:rFonts w:hint="eastAsia"/>
        </w:rPr>
        <w:t xml:space="preserve">个目标区块，通过新区块事件为每个区块随机生成</w:t>
      </w:r>
      <w:r>
        <w:t xml:space="preserve"> 0 </w:t>
      </w:r>
      <w:r>
        <w:rPr>
          <w:rFonts w:hint="eastAsia"/>
        </w:rPr>
        <w:t xml:space="preserve">至</w:t>
      </w:r>
      <w:r>
        <w:t xml:space="preserve"> 5 </w:t>
      </w:r>
      <w:r>
        <w:rPr>
          <w:rFonts w:hint="eastAsia"/>
        </w:rPr>
        <w:t xml:space="preserve">个</w:t>
      </w:r>
      <w:r>
        <w:t xml:space="preserve"> </w:t>
      </w:r>
      <w:r>
        <w:rPr>
          <w:rFonts w:hint="eastAsia"/>
        </w:rPr>
        <w:t xml:space="preserve">bundle，并采用</w:t>
      </w:r>
      <w:r>
        <w:t xml:space="preserve"> exploration / exploitation </w:t>
      </w:r>
      <w:r>
        <w:rPr>
          <w:rFonts w:hint="eastAsia"/>
        </w:rPr>
        <w:t xml:space="preserve">交替调度；实验产生</w:t>
      </w:r>
      <w:r>
        <w:t xml:space="preserve"> 25618 </w:t>
      </w:r>
      <w:r>
        <w:rPr>
          <w:rFonts w:hint="eastAsia"/>
        </w:rPr>
        <w:t xml:space="preserve">个</w:t>
      </w:r>
      <w:r>
        <w:t xml:space="preserve"> </w:t>
      </w:r>
      <w:r>
        <w:rPr>
          <w:rFonts w:hint="eastAsia"/>
        </w:rPr>
        <w:t xml:space="preserve">bundle，其中</w:t>
      </w:r>
      <w:r>
        <w:t xml:space="preserve"> exploration </w:t>
      </w:r>
      <w:r>
        <w:rPr>
          <w:rFonts w:hint="eastAsia"/>
        </w:rPr>
        <w:t xml:space="preserve">与</w:t>
      </w:r>
      <w:r>
        <w:t xml:space="preserve"> exploitation </w:t>
      </w:r>
      <w:r>
        <w:rPr>
          <w:rFonts w:hint="eastAsia"/>
        </w:rPr>
        <w:t xml:space="preserve">各为</w:t>
      </w:r>
      <w:r>
        <w:t xml:space="preserve"> 12809 </w:t>
      </w:r>
      <w:r>
        <w:rPr>
          <w:rFonts w:hint="eastAsia"/>
        </w:rPr>
        <w:t xml:space="preserve">次，平均每个目标区块约</w:t>
      </w:r>
      <w:r>
        <w:t xml:space="preserve"> 2.52 </w:t>
      </w:r>
      <w:r>
        <w:rPr>
          <w:rFonts w:hint="eastAsia"/>
        </w:rPr>
        <w:t xml:space="preserve">个</w:t>
      </w:r>
      <w:r>
        <w:t xml:space="preserve"> </w:t>
      </w:r>
      <w:r>
        <w:rPr>
          <w:rFonts w:hint="eastAsia"/>
        </w:rPr>
        <w:t xml:space="preserve">bundle，alpha</w:t>
      </w:r>
      <w:r>
        <w:t xml:space="preserve"> </w:t>
      </w:r>
      <w:r>
        <w:rPr>
          <w:rFonts w:hint="eastAsia"/>
        </w:rPr>
        <w:t xml:space="preserve">初始评分为</w:t>
      </w:r>
      <w:r>
        <w:t xml:space="preserve"> </w:t>
      </w:r>
      <w:r>
        <w:rPr>
          <w:rFonts w:hint="eastAsia"/>
        </w:rPr>
        <w:t xml:space="preserve">85、最终为</w:t>
      </w:r>
      <w:r>
        <w:t xml:space="preserve"> </w:t>
      </w:r>
      <w:r>
        <w:rPr>
          <w:rFonts w:hint="eastAsia"/>
        </w:rPr>
        <w:t xml:space="preserve">97.16，订单流分发占比为</w:t>
      </w:r>
      <w:r>
        <w:t xml:space="preserve"> </w:t>
      </w:r>
      <w:r>
        <w:rPr>
          <w:rFonts w:hint="eastAsia"/>
        </w:rPr>
        <w:t xml:space="preserve">23.6%；其中一个初始评分为</w:t>
      </w:r>
      <w:r>
        <w:t xml:space="preserve"> 85 </w:t>
      </w:r>
      <w:r>
        <w:rPr>
          <w:rFonts w:hint="eastAsia"/>
        </w:rPr>
        <w:t xml:space="preserve">的高分生产者在后半程持续产生</w:t>
      </w:r>
      <w:r>
        <w:t xml:space="preserve"> sandwich </w:t>
      </w:r>
      <w:r>
        <w:rPr>
          <w:rFonts w:hint="eastAsia"/>
        </w:rPr>
        <w:t xml:space="preserve">行为，评分降至</w:t>
      </w:r>
      <w:r>
        <w:t xml:space="preserve"> </w:t>
      </w:r>
      <w:r>
        <w:rPr>
          <w:rFonts w:hint="eastAsia"/>
        </w:rPr>
        <w:t xml:space="preserve">19.12，另一恶意生产者评分降至</w:t>
      </w:r>
      <w:r>
        <w:t xml:space="preserve"> </w:t>
      </w:r>
      <w:r>
        <w:rPr>
          <w:rFonts w:hint="eastAsia"/>
        </w:rPr>
        <w:t xml:space="preserve">1.70；中途加入的</w:t>
      </w:r>
      <w:r>
        <w:t xml:space="preserve"> zeta </w:t>
      </w:r>
      <w:r>
        <w:rPr>
          <w:rFonts w:hint="eastAsia"/>
        </w:rPr>
        <w:t xml:space="preserve">获得</w:t>
      </w:r>
      <w:r>
        <w:t xml:space="preserve"> 3824 </w:t>
      </w:r>
      <w:r>
        <w:rPr>
          <w:rFonts w:hint="eastAsia"/>
        </w:rPr>
        <w:t xml:space="preserve">次分发，其中</w:t>
      </w:r>
      <w:r>
        <w:t xml:space="preserve"> 2000 </w:t>
      </w:r>
      <w:r>
        <w:rPr>
          <w:rFonts w:hint="eastAsia"/>
        </w:rPr>
        <w:t xml:space="preserve">次为</w:t>
      </w:r>
      <w:r>
        <w:t xml:space="preserve"> </w:t>
      </w:r>
      <w:r>
        <w:rPr>
          <w:rFonts w:hint="eastAsia"/>
        </w:rPr>
        <w:t xml:space="preserve">exploration，结果表明所述动态评分与交替探索利用机制能够在保持高质量生产者优势的同时抑制流量集中，并降低恶意区块生产者的后续分发权重。</w:t>
      </w:r>
    </w:p>
    <w:bookmarkEnd w:id="42"/>
    <w:bookmarkEnd w:id="43"/>
    <w:bookmarkEnd w:id="44"/>
    <w:bookmarkStart w:id="47" w:name="说明书附图"/>
    <w:p>
      <w:pPr>
        <w:pStyle w:val="Heading1"/>
      </w:pPr>
      <w:r>
        <w:rPr>
          <w:rFonts w:hint="eastAsia"/>
        </w:rPr>
        <w:t xml:space="preserve">说明书附图</w:t>
      </w:r>
    </w:p>
    <w:p>
      <w:pPr>
        <w:pStyle w:val="FirstParagraph"/>
      </w:pPr>
      <w:r>
        <w:drawing>
          <wp:inline>
            <wp:extent cx="5803265" cy="2901632"/>
            <wp:effectExtent b="0" l="0" r="0" t="0"/>
            <wp:docPr descr="" title="" id="45" name="Picture"/>
            <a:graphic>
              <a:graphicData uri="http://schemas.openxmlformats.org/drawingml/2006/picture">
                <pic:pic>
                  <pic:nvPicPr>
                    <pic:cNvPr descr="../logs/experiment_mock_5builders/plots/builder_score_trends.png" id="46" name="Picture"/>
                    <pic:cNvPicPr>
                      <a:picLocks noChangeArrowheads="1" noChangeAspect="1"/>
                    </pic:cNvPicPr>
                  </pic:nvPicPr>
                  <pic:blipFill>
                    <a:blip r:embed="rId22"/>
                    <a:stretch>
                      <a:fillRect/>
                    </a:stretch>
                  </pic:blipFill>
                  <pic:spPr bwMode="auto">
                    <a:xfrm>
                      <a:off x="0" y="0"/>
                      <a:ext cx="5803265" cy="2901632"/>
                    </a:xfrm>
                    <a:prstGeom prst="rect">
                      <a:avLst/>
                    </a:prstGeom>
                    <a:noFill/>
                    <a:ln w="9525">
                      <a:noFill/>
                      <a:headEnd/>
                      <a:tailEnd/>
                    </a:ln>
                  </pic:spPr>
                </pic:pic>
              </a:graphicData>
            </a:graphic>
          </wp:inline>
        </w:drawing>
      </w:r>
    </w:p>
    <w:p>
      <w:pPr>
        <w:pStyle w:val="BodyText"/>
      </w:pPr>
      <w:r>
        <w:rPr>
          <w:rFonts w:hint="eastAsia"/>
        </w:rPr>
        <w:t xml:space="preserve">图1</w:t>
      </w:r>
    </w:p>
    <w:bookmarkEnd w:id="47"/>
    <w:sectPr w:rsidR="009D35E1" w:rsidRPr="00CB47A2" w:rsidSect="00AB6F0E">
      <w:pgSz w:h="16838" w:w="11906"/>
      <w:pgMar w:bottom="851" w:footer="992" w:gutter="0" w:header="851" w:left="1418" w:right="851" w:top="1418"/>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0A46510B"/>
    <w:multiLevelType w:val="hybridMultilevel"/>
    <w:tmpl w:val="F802005A"/>
    <w:lvl w:ilvl="0" w:tplc="D8F2453E">
      <w:start w:val="1"/>
      <w:numFmt w:val="decimal"/>
      <w:lvlText w:val="%1."/>
      <w:lvlJc w:val="left"/>
      <w:pPr>
        <w:ind w:hanging="360" w:left="920"/>
      </w:pPr>
      <w:rPr>
        <w:rFonts w:hint="default"/>
      </w:rPr>
    </w:lvl>
    <w:lvl w:ilvl="1" w:tentative="1" w:tplc="04090019">
      <w:start w:val="1"/>
      <w:numFmt w:val="lowerLetter"/>
      <w:lvlText w:val="%2)"/>
      <w:lvlJc w:val="left"/>
      <w:pPr>
        <w:ind w:hanging="420" w:left="1400"/>
      </w:pPr>
    </w:lvl>
    <w:lvl w:ilvl="2" w:tentative="1" w:tplc="0409001B">
      <w:start w:val="1"/>
      <w:numFmt w:val="lowerRoman"/>
      <w:lvlText w:val="%3."/>
      <w:lvlJc w:val="right"/>
      <w:pPr>
        <w:ind w:hanging="420" w:left="1820"/>
      </w:pPr>
    </w:lvl>
    <w:lvl w:ilvl="3" w:tentative="1" w:tplc="0409000F">
      <w:start w:val="1"/>
      <w:numFmt w:val="decimal"/>
      <w:lvlText w:val="%4."/>
      <w:lvlJc w:val="left"/>
      <w:pPr>
        <w:ind w:hanging="420" w:left="2240"/>
      </w:pPr>
    </w:lvl>
    <w:lvl w:ilvl="4" w:tentative="1" w:tplc="04090019">
      <w:start w:val="1"/>
      <w:numFmt w:val="lowerLetter"/>
      <w:lvlText w:val="%5)"/>
      <w:lvlJc w:val="left"/>
      <w:pPr>
        <w:ind w:hanging="420" w:left="2660"/>
      </w:pPr>
    </w:lvl>
    <w:lvl w:ilvl="5" w:tentative="1" w:tplc="0409001B">
      <w:start w:val="1"/>
      <w:numFmt w:val="lowerRoman"/>
      <w:lvlText w:val="%6."/>
      <w:lvlJc w:val="right"/>
      <w:pPr>
        <w:ind w:hanging="420" w:left="3080"/>
      </w:pPr>
    </w:lvl>
    <w:lvl w:ilvl="6" w:tentative="1" w:tplc="0409000F">
      <w:start w:val="1"/>
      <w:numFmt w:val="decimal"/>
      <w:lvlText w:val="%7."/>
      <w:lvlJc w:val="left"/>
      <w:pPr>
        <w:ind w:hanging="420" w:left="3500"/>
      </w:pPr>
    </w:lvl>
    <w:lvl w:ilvl="7" w:tentative="1" w:tplc="04090019">
      <w:start w:val="1"/>
      <w:numFmt w:val="lowerLetter"/>
      <w:lvlText w:val="%8)"/>
      <w:lvlJc w:val="left"/>
      <w:pPr>
        <w:ind w:hanging="420" w:left="3920"/>
      </w:pPr>
    </w:lvl>
    <w:lvl w:ilvl="8" w:tentative="1" w:tplc="0409001B">
      <w:start w:val="1"/>
      <w:numFmt w:val="lowerRoman"/>
      <w:lvlText w:val="%9."/>
      <w:lvlJc w:val="right"/>
      <w:pPr>
        <w:ind w:hanging="420" w:left="4340"/>
      </w:pPr>
    </w:lvl>
  </w:abstractNum>
  <w:abstractNum w15:restartNumberingAfterBreak="0" w:abstractNumId="1">
    <w:nsid w:val="129C1FCF"/>
    <w:multiLevelType w:val="hybridMultilevel"/>
    <w:tmpl w:val="F314E8C8"/>
    <w:lvl w:ilvl="0" w:tplc="0409000F">
      <w:start w:val="1"/>
      <w:numFmt w:val="decimal"/>
      <w:lvlText w:val="%1."/>
      <w:lvlJc w:val="left"/>
      <w:pPr>
        <w:ind w:hanging="420" w:left="980"/>
      </w:pPr>
    </w:lvl>
    <w:lvl w:ilvl="1" w:tentative="1" w:tplc="04090019">
      <w:start w:val="1"/>
      <w:numFmt w:val="lowerLetter"/>
      <w:lvlText w:val="%2)"/>
      <w:lvlJc w:val="left"/>
      <w:pPr>
        <w:ind w:hanging="420" w:left="1400"/>
      </w:pPr>
    </w:lvl>
    <w:lvl w:ilvl="2" w:tentative="1" w:tplc="0409001B">
      <w:start w:val="1"/>
      <w:numFmt w:val="lowerRoman"/>
      <w:lvlText w:val="%3."/>
      <w:lvlJc w:val="right"/>
      <w:pPr>
        <w:ind w:hanging="420" w:left="1820"/>
      </w:pPr>
    </w:lvl>
    <w:lvl w:ilvl="3" w:tentative="1" w:tplc="0409000F">
      <w:start w:val="1"/>
      <w:numFmt w:val="decimal"/>
      <w:lvlText w:val="%4."/>
      <w:lvlJc w:val="left"/>
      <w:pPr>
        <w:ind w:hanging="420" w:left="2240"/>
      </w:pPr>
    </w:lvl>
    <w:lvl w:ilvl="4" w:tentative="1" w:tplc="04090019">
      <w:start w:val="1"/>
      <w:numFmt w:val="lowerLetter"/>
      <w:lvlText w:val="%5)"/>
      <w:lvlJc w:val="left"/>
      <w:pPr>
        <w:ind w:hanging="420" w:left="2660"/>
      </w:pPr>
    </w:lvl>
    <w:lvl w:ilvl="5" w:tentative="1" w:tplc="0409001B">
      <w:start w:val="1"/>
      <w:numFmt w:val="lowerRoman"/>
      <w:lvlText w:val="%6."/>
      <w:lvlJc w:val="right"/>
      <w:pPr>
        <w:ind w:hanging="420" w:left="3080"/>
      </w:pPr>
    </w:lvl>
    <w:lvl w:ilvl="6" w:tentative="1" w:tplc="0409000F">
      <w:start w:val="1"/>
      <w:numFmt w:val="decimal"/>
      <w:lvlText w:val="%7."/>
      <w:lvlJc w:val="left"/>
      <w:pPr>
        <w:ind w:hanging="420" w:left="3500"/>
      </w:pPr>
    </w:lvl>
    <w:lvl w:ilvl="7" w:tentative="1" w:tplc="04090019">
      <w:start w:val="1"/>
      <w:numFmt w:val="lowerLetter"/>
      <w:lvlText w:val="%8)"/>
      <w:lvlJc w:val="left"/>
      <w:pPr>
        <w:ind w:hanging="420" w:left="3920"/>
      </w:pPr>
    </w:lvl>
    <w:lvl w:ilvl="8" w:tentative="1" w:tplc="0409001B">
      <w:start w:val="1"/>
      <w:numFmt w:val="lowerRoman"/>
      <w:lvlText w:val="%9."/>
      <w:lvlJc w:val="right"/>
      <w:pPr>
        <w:ind w:hanging="420" w:left="4340"/>
      </w:pPr>
    </w:lvl>
  </w:abstractNum>
  <w:abstractNum w15:restartNumberingAfterBreak="0" w:abstractNumId="2">
    <w:nsid w:val="43A13E25"/>
    <w:multiLevelType w:val="hybridMultilevel"/>
    <w:tmpl w:val="878EBAE4"/>
    <w:lvl w:ilvl="0" w:tplc="0409000F">
      <w:start w:val="1"/>
      <w:numFmt w:val="decimal"/>
      <w:lvlText w:val="%1."/>
      <w:lvlJc w:val="left"/>
      <w:pPr>
        <w:ind w:hanging="420" w:left="1400"/>
      </w:pPr>
    </w:lvl>
    <w:lvl w:ilvl="1" w:tentative="1" w:tplc="04090019">
      <w:start w:val="1"/>
      <w:numFmt w:val="lowerLetter"/>
      <w:lvlText w:val="%2)"/>
      <w:lvlJc w:val="left"/>
      <w:pPr>
        <w:ind w:hanging="420" w:left="1820"/>
      </w:pPr>
    </w:lvl>
    <w:lvl w:ilvl="2" w:tentative="1" w:tplc="0409001B">
      <w:start w:val="1"/>
      <w:numFmt w:val="lowerRoman"/>
      <w:lvlText w:val="%3."/>
      <w:lvlJc w:val="right"/>
      <w:pPr>
        <w:ind w:hanging="420" w:left="2240"/>
      </w:pPr>
    </w:lvl>
    <w:lvl w:ilvl="3" w:tentative="1" w:tplc="0409000F">
      <w:start w:val="1"/>
      <w:numFmt w:val="decimal"/>
      <w:lvlText w:val="%4."/>
      <w:lvlJc w:val="left"/>
      <w:pPr>
        <w:ind w:hanging="420" w:left="2660"/>
      </w:pPr>
    </w:lvl>
    <w:lvl w:ilvl="4" w:tentative="1" w:tplc="04090019">
      <w:start w:val="1"/>
      <w:numFmt w:val="lowerLetter"/>
      <w:lvlText w:val="%5)"/>
      <w:lvlJc w:val="left"/>
      <w:pPr>
        <w:ind w:hanging="420" w:left="3080"/>
      </w:pPr>
    </w:lvl>
    <w:lvl w:ilvl="5" w:tentative="1" w:tplc="0409001B">
      <w:start w:val="1"/>
      <w:numFmt w:val="lowerRoman"/>
      <w:lvlText w:val="%6."/>
      <w:lvlJc w:val="right"/>
      <w:pPr>
        <w:ind w:hanging="420" w:left="3500"/>
      </w:pPr>
    </w:lvl>
    <w:lvl w:ilvl="6" w:tentative="1" w:tplc="0409000F">
      <w:start w:val="1"/>
      <w:numFmt w:val="decimal"/>
      <w:lvlText w:val="%7."/>
      <w:lvlJc w:val="left"/>
      <w:pPr>
        <w:ind w:hanging="420" w:left="3920"/>
      </w:pPr>
    </w:lvl>
    <w:lvl w:ilvl="7" w:tentative="1" w:tplc="04090019">
      <w:start w:val="1"/>
      <w:numFmt w:val="lowerLetter"/>
      <w:lvlText w:val="%8)"/>
      <w:lvlJc w:val="left"/>
      <w:pPr>
        <w:ind w:hanging="420" w:left="4340"/>
      </w:pPr>
    </w:lvl>
    <w:lvl w:ilvl="8" w:tentative="1" w:tplc="0409001B">
      <w:start w:val="1"/>
      <w:numFmt w:val="lowerRoman"/>
      <w:lvlText w:val="%9."/>
      <w:lvlJc w:val="right"/>
      <w:pPr>
        <w:ind w:hanging="420" w:left="4760"/>
      </w:pPr>
    </w:lvl>
  </w:abstractNum>
  <w:abstractNum w15:restartNumberingAfterBreak="0" w:abstractNumId="3">
    <w:nsid w:val="4C8F5AE3"/>
    <w:multiLevelType w:val="hybridMultilevel"/>
    <w:tmpl w:val="DDCA1F70"/>
    <w:lvl w:ilvl="0" w:tplc="0409000F">
      <w:start w:val="1"/>
      <w:numFmt w:val="decimal"/>
      <w:lvlText w:val="%1."/>
      <w:lvlJc w:val="left"/>
      <w:pPr>
        <w:ind w:hanging="420" w:left="420"/>
      </w:pPr>
    </w:lvl>
    <w:lvl w:ilvl="1" w:tentative="1" w:tplc="04090019">
      <w:start w:val="1"/>
      <w:numFmt w:val="lowerLetter"/>
      <w:lvlText w:val="%2)"/>
      <w:lvlJc w:val="left"/>
      <w:pPr>
        <w:ind w:hanging="420" w:left="840"/>
      </w:pPr>
    </w:lvl>
    <w:lvl w:ilvl="2" w:tentative="1" w:tplc="0409001B">
      <w:start w:val="1"/>
      <w:numFmt w:val="lowerRoman"/>
      <w:lvlText w:val="%3."/>
      <w:lvlJc w:val="right"/>
      <w:pPr>
        <w:ind w:hanging="420" w:left="1260"/>
      </w:pPr>
    </w:lvl>
    <w:lvl w:ilvl="3" w:tentative="1" w:tplc="0409000F">
      <w:start w:val="1"/>
      <w:numFmt w:val="decimal"/>
      <w:lvlText w:val="%4."/>
      <w:lvlJc w:val="left"/>
      <w:pPr>
        <w:ind w:hanging="420" w:left="1680"/>
      </w:pPr>
    </w:lvl>
    <w:lvl w:ilvl="4" w:tentative="1" w:tplc="04090019">
      <w:start w:val="1"/>
      <w:numFmt w:val="lowerLetter"/>
      <w:lvlText w:val="%5)"/>
      <w:lvlJc w:val="left"/>
      <w:pPr>
        <w:ind w:hanging="420" w:left="2100"/>
      </w:pPr>
    </w:lvl>
    <w:lvl w:ilvl="5" w:tentative="1" w:tplc="0409001B">
      <w:start w:val="1"/>
      <w:numFmt w:val="lowerRoman"/>
      <w:lvlText w:val="%6."/>
      <w:lvlJc w:val="right"/>
      <w:pPr>
        <w:ind w:hanging="420" w:left="2520"/>
      </w:pPr>
    </w:lvl>
    <w:lvl w:ilvl="6" w:tentative="1" w:tplc="0409000F">
      <w:start w:val="1"/>
      <w:numFmt w:val="decimal"/>
      <w:lvlText w:val="%7."/>
      <w:lvlJc w:val="left"/>
      <w:pPr>
        <w:ind w:hanging="420" w:left="2940"/>
      </w:pPr>
    </w:lvl>
    <w:lvl w:ilvl="7" w:tentative="1" w:tplc="04090019">
      <w:start w:val="1"/>
      <w:numFmt w:val="lowerLetter"/>
      <w:lvlText w:val="%8)"/>
      <w:lvlJc w:val="left"/>
      <w:pPr>
        <w:ind w:hanging="420" w:left="3360"/>
      </w:pPr>
    </w:lvl>
    <w:lvl w:ilvl="8" w:tentative="1" w:tplc="0409001B">
      <w:start w:val="1"/>
      <w:numFmt w:val="lowerRoman"/>
      <w:lvlText w:val="%9."/>
      <w:lvlJc w:val="right"/>
      <w:pPr>
        <w:ind w:hanging="420" w:left="3780"/>
      </w:pPr>
    </w:lvl>
  </w:abstractNum>
  <w:abstractNum w15:restartNumberingAfterBreak="0" w:abstractNumId="4">
    <w:nsid w:val="7A9B6AD7"/>
    <w:multiLevelType w:val="hybridMultilevel"/>
    <w:tmpl w:val="03B465C8"/>
    <w:lvl w:ilvl="0" w:tplc="0409000F">
      <w:start w:val="1"/>
      <w:numFmt w:val="decimal"/>
      <w:lvlText w:val="%1."/>
      <w:lvlJc w:val="left"/>
      <w:pPr>
        <w:ind w:hanging="420" w:left="980"/>
      </w:pPr>
    </w:lvl>
    <w:lvl w:ilvl="1" w:tentative="1" w:tplc="04090019">
      <w:start w:val="1"/>
      <w:numFmt w:val="lowerLetter"/>
      <w:lvlText w:val="%2)"/>
      <w:lvlJc w:val="left"/>
      <w:pPr>
        <w:ind w:hanging="420" w:left="1400"/>
      </w:pPr>
    </w:lvl>
    <w:lvl w:ilvl="2" w:tentative="1" w:tplc="0409001B">
      <w:start w:val="1"/>
      <w:numFmt w:val="lowerRoman"/>
      <w:lvlText w:val="%3."/>
      <w:lvlJc w:val="right"/>
      <w:pPr>
        <w:ind w:hanging="420" w:left="1820"/>
      </w:pPr>
    </w:lvl>
    <w:lvl w:ilvl="3" w:tentative="1" w:tplc="0409000F">
      <w:start w:val="1"/>
      <w:numFmt w:val="decimal"/>
      <w:lvlText w:val="%4."/>
      <w:lvlJc w:val="left"/>
      <w:pPr>
        <w:ind w:hanging="420" w:left="2240"/>
      </w:pPr>
    </w:lvl>
    <w:lvl w:ilvl="4" w:tentative="1" w:tplc="04090019">
      <w:start w:val="1"/>
      <w:numFmt w:val="lowerLetter"/>
      <w:lvlText w:val="%5)"/>
      <w:lvlJc w:val="left"/>
      <w:pPr>
        <w:ind w:hanging="420" w:left="2660"/>
      </w:pPr>
    </w:lvl>
    <w:lvl w:ilvl="5" w:tentative="1" w:tplc="0409001B">
      <w:start w:val="1"/>
      <w:numFmt w:val="lowerRoman"/>
      <w:lvlText w:val="%6."/>
      <w:lvlJc w:val="right"/>
      <w:pPr>
        <w:ind w:hanging="420" w:left="3080"/>
      </w:pPr>
    </w:lvl>
    <w:lvl w:ilvl="6" w:tentative="1" w:tplc="0409000F">
      <w:start w:val="1"/>
      <w:numFmt w:val="decimal"/>
      <w:lvlText w:val="%7."/>
      <w:lvlJc w:val="left"/>
      <w:pPr>
        <w:ind w:hanging="420" w:left="3500"/>
      </w:pPr>
    </w:lvl>
    <w:lvl w:ilvl="7" w:tentative="1" w:tplc="04090019">
      <w:start w:val="1"/>
      <w:numFmt w:val="lowerLetter"/>
      <w:lvlText w:val="%8)"/>
      <w:lvlJc w:val="left"/>
      <w:pPr>
        <w:ind w:hanging="420" w:left="3920"/>
      </w:pPr>
    </w:lvl>
    <w:lvl w:ilvl="8" w:tentative="1" w:tplc="0409001B">
      <w:start w:val="1"/>
      <w:numFmt w:val="lowerRoman"/>
      <w:lvlText w:val="%9."/>
      <w:lvlJc w:val="right"/>
      <w:pPr>
        <w:ind w:hanging="420" w:left="43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4"/>
  </w:num>
  <w:num w:numId="3">
    <w:abstractNumId w:val="2"/>
  </w:num>
  <w:num w:numId="4">
    <w:abstractNumId w:val="3"/>
  </w:num>
  <w:num w:numId="5">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val="0004"/>
  <w:doNotTrackMoves/>
  <w:defaultTabStop w:val="420"/>
  <w:drawingGridHorizontalSpacing w:val="105"/>
  <w:drawingGridVerticalSpacing w:val="156"/>
  <w:displayHorizontalDrawingGridEvery w:val="0"/>
  <w:displayVerticalDrawingGridEvery w:val="2"/>
  <w:characterSpacingControl w:val="compressPunctuation"/>
  <w:savePreviewPicture/>
  <w:hdrShapeDefaults>
    <o:shapedefaults spidmax="2049" v:ext="edit"/>
  </w:hdrShapeDefaults>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E31379"/>
    <w:rsid w:val="000324E5"/>
    <w:rsid w:val="00053F1F"/>
    <w:rsid w:val="00081438"/>
    <w:rsid w:val="00081D01"/>
    <w:rsid w:val="00083881"/>
    <w:rsid w:val="0009415F"/>
    <w:rsid w:val="00095265"/>
    <w:rsid w:val="000A4D26"/>
    <w:rsid w:val="000B0A49"/>
    <w:rsid w:val="000B6EC0"/>
    <w:rsid w:val="000B7A4A"/>
    <w:rsid w:val="000C06ED"/>
    <w:rsid w:val="000C4504"/>
    <w:rsid w:val="000D3D32"/>
    <w:rsid w:val="000D7117"/>
    <w:rsid w:val="000E0D7B"/>
    <w:rsid w:val="000F2DAE"/>
    <w:rsid w:val="0010025A"/>
    <w:rsid w:val="001214BD"/>
    <w:rsid w:val="00121728"/>
    <w:rsid w:val="00125F0F"/>
    <w:rsid w:val="00136F13"/>
    <w:rsid w:val="00143C54"/>
    <w:rsid w:val="00163377"/>
    <w:rsid w:val="00175659"/>
    <w:rsid w:val="00177281"/>
    <w:rsid w:val="00177537"/>
    <w:rsid w:val="0018221A"/>
    <w:rsid w:val="00191149"/>
    <w:rsid w:val="0019458A"/>
    <w:rsid w:val="001A450B"/>
    <w:rsid w:val="001C64F6"/>
    <w:rsid w:val="001C7A70"/>
    <w:rsid w:val="001E0642"/>
    <w:rsid w:val="001E1008"/>
    <w:rsid w:val="001F7B70"/>
    <w:rsid w:val="0020455F"/>
    <w:rsid w:val="00224223"/>
    <w:rsid w:val="00232B92"/>
    <w:rsid w:val="0023435B"/>
    <w:rsid w:val="00235C17"/>
    <w:rsid w:val="0023740A"/>
    <w:rsid w:val="0025061F"/>
    <w:rsid w:val="0025464F"/>
    <w:rsid w:val="0026362A"/>
    <w:rsid w:val="00293CD5"/>
    <w:rsid w:val="002971AB"/>
    <w:rsid w:val="002A0A78"/>
    <w:rsid w:val="002A6144"/>
    <w:rsid w:val="002C063E"/>
    <w:rsid w:val="002C4481"/>
    <w:rsid w:val="002D1294"/>
    <w:rsid w:val="002E0463"/>
    <w:rsid w:val="002E168B"/>
    <w:rsid w:val="002E7655"/>
    <w:rsid w:val="00303C57"/>
    <w:rsid w:val="0031445B"/>
    <w:rsid w:val="00323232"/>
    <w:rsid w:val="003259A3"/>
    <w:rsid w:val="00326CBD"/>
    <w:rsid w:val="00344072"/>
    <w:rsid w:val="003612CB"/>
    <w:rsid w:val="00364C3B"/>
    <w:rsid w:val="003730FA"/>
    <w:rsid w:val="003815C6"/>
    <w:rsid w:val="003949D4"/>
    <w:rsid w:val="003A049D"/>
    <w:rsid w:val="003B4AA4"/>
    <w:rsid w:val="003C162F"/>
    <w:rsid w:val="003C6D9B"/>
    <w:rsid w:val="003F3DF5"/>
    <w:rsid w:val="00403205"/>
    <w:rsid w:val="00403679"/>
    <w:rsid w:val="00407012"/>
    <w:rsid w:val="004072C4"/>
    <w:rsid w:val="004128B4"/>
    <w:rsid w:val="004165C1"/>
    <w:rsid w:val="00426EB2"/>
    <w:rsid w:val="0043074E"/>
    <w:rsid w:val="00431F45"/>
    <w:rsid w:val="00433C6D"/>
    <w:rsid w:val="0044022C"/>
    <w:rsid w:val="00450CCC"/>
    <w:rsid w:val="00470A87"/>
    <w:rsid w:val="0048398A"/>
    <w:rsid w:val="004846E2"/>
    <w:rsid w:val="00491862"/>
    <w:rsid w:val="0049530E"/>
    <w:rsid w:val="004A489C"/>
    <w:rsid w:val="004B33EB"/>
    <w:rsid w:val="004B57E4"/>
    <w:rsid w:val="004B6C42"/>
    <w:rsid w:val="004D0822"/>
    <w:rsid w:val="004D6A11"/>
    <w:rsid w:val="004E468F"/>
    <w:rsid w:val="004E5CF3"/>
    <w:rsid w:val="004E5F0D"/>
    <w:rsid w:val="00504469"/>
    <w:rsid w:val="005056BB"/>
    <w:rsid w:val="00510B80"/>
    <w:rsid w:val="0051529B"/>
    <w:rsid w:val="00527650"/>
    <w:rsid w:val="00533060"/>
    <w:rsid w:val="00543322"/>
    <w:rsid w:val="00543E42"/>
    <w:rsid w:val="00546FD4"/>
    <w:rsid w:val="00561432"/>
    <w:rsid w:val="005627C3"/>
    <w:rsid w:val="00562F8F"/>
    <w:rsid w:val="005670AA"/>
    <w:rsid w:val="005713FB"/>
    <w:rsid w:val="00577DC2"/>
    <w:rsid w:val="00590DD6"/>
    <w:rsid w:val="005A1C17"/>
    <w:rsid w:val="005B5C8A"/>
    <w:rsid w:val="005C0B6A"/>
    <w:rsid w:val="005C6C74"/>
    <w:rsid w:val="005D4F29"/>
    <w:rsid w:val="005D6B56"/>
    <w:rsid w:val="005E1BF9"/>
    <w:rsid w:val="005F62EA"/>
    <w:rsid w:val="006048DC"/>
    <w:rsid w:val="00616285"/>
    <w:rsid w:val="006163D1"/>
    <w:rsid w:val="006167EE"/>
    <w:rsid w:val="00630A41"/>
    <w:rsid w:val="006412CE"/>
    <w:rsid w:val="00642AFB"/>
    <w:rsid w:val="00642B9B"/>
    <w:rsid w:val="00643D86"/>
    <w:rsid w:val="00644355"/>
    <w:rsid w:val="00645974"/>
    <w:rsid w:val="00653B23"/>
    <w:rsid w:val="00657EAF"/>
    <w:rsid w:val="00667B94"/>
    <w:rsid w:val="00675873"/>
    <w:rsid w:val="00685027"/>
    <w:rsid w:val="00686338"/>
    <w:rsid w:val="00687E66"/>
    <w:rsid w:val="00690D06"/>
    <w:rsid w:val="006B65DA"/>
    <w:rsid w:val="006C4C80"/>
    <w:rsid w:val="006C5BB0"/>
    <w:rsid w:val="006C78D2"/>
    <w:rsid w:val="006F243E"/>
    <w:rsid w:val="006F51BB"/>
    <w:rsid w:val="00706F0C"/>
    <w:rsid w:val="007146D0"/>
    <w:rsid w:val="007230E8"/>
    <w:rsid w:val="007274F1"/>
    <w:rsid w:val="00731FBA"/>
    <w:rsid w:val="007423F6"/>
    <w:rsid w:val="00745D7A"/>
    <w:rsid w:val="0074745E"/>
    <w:rsid w:val="00754745"/>
    <w:rsid w:val="007603A0"/>
    <w:rsid w:val="00763DE0"/>
    <w:rsid w:val="00780082"/>
    <w:rsid w:val="0078192E"/>
    <w:rsid w:val="007830D3"/>
    <w:rsid w:val="00791788"/>
    <w:rsid w:val="007A0088"/>
    <w:rsid w:val="007A2EB4"/>
    <w:rsid w:val="007A40A7"/>
    <w:rsid w:val="007B13E2"/>
    <w:rsid w:val="007B61A9"/>
    <w:rsid w:val="007E2A4E"/>
    <w:rsid w:val="007E77D8"/>
    <w:rsid w:val="007F250B"/>
    <w:rsid w:val="007F32B0"/>
    <w:rsid w:val="00806F45"/>
    <w:rsid w:val="00811335"/>
    <w:rsid w:val="008150B3"/>
    <w:rsid w:val="00816A24"/>
    <w:rsid w:val="0082438C"/>
    <w:rsid w:val="00827F0F"/>
    <w:rsid w:val="008303C4"/>
    <w:rsid w:val="00832532"/>
    <w:rsid w:val="00850739"/>
    <w:rsid w:val="0085720F"/>
    <w:rsid w:val="00866E26"/>
    <w:rsid w:val="00867EC0"/>
    <w:rsid w:val="0087543B"/>
    <w:rsid w:val="00881F5B"/>
    <w:rsid w:val="0088425D"/>
    <w:rsid w:val="00884EAF"/>
    <w:rsid w:val="00891217"/>
    <w:rsid w:val="008948ED"/>
    <w:rsid w:val="008B0D11"/>
    <w:rsid w:val="008B2805"/>
    <w:rsid w:val="008B3DD4"/>
    <w:rsid w:val="008B7FA7"/>
    <w:rsid w:val="008C408D"/>
    <w:rsid w:val="008C49E6"/>
    <w:rsid w:val="008D2AA0"/>
    <w:rsid w:val="008D4B30"/>
    <w:rsid w:val="008E0A61"/>
    <w:rsid w:val="008E1D13"/>
    <w:rsid w:val="008E3219"/>
    <w:rsid w:val="008E3D5C"/>
    <w:rsid w:val="008E5EBB"/>
    <w:rsid w:val="008F6A81"/>
    <w:rsid w:val="008F7F96"/>
    <w:rsid w:val="00916F66"/>
    <w:rsid w:val="00917907"/>
    <w:rsid w:val="00924B35"/>
    <w:rsid w:val="00935B27"/>
    <w:rsid w:val="009410CB"/>
    <w:rsid w:val="0095289C"/>
    <w:rsid w:val="00952F8C"/>
    <w:rsid w:val="00976099"/>
    <w:rsid w:val="00994595"/>
    <w:rsid w:val="00996899"/>
    <w:rsid w:val="009A21B3"/>
    <w:rsid w:val="009B5AA6"/>
    <w:rsid w:val="009C3589"/>
    <w:rsid w:val="009C7343"/>
    <w:rsid w:val="009D35E1"/>
    <w:rsid w:val="009E34DD"/>
    <w:rsid w:val="009F753A"/>
    <w:rsid w:val="00A0607E"/>
    <w:rsid w:val="00A27E48"/>
    <w:rsid w:val="00A35999"/>
    <w:rsid w:val="00A35FDD"/>
    <w:rsid w:val="00A72A1B"/>
    <w:rsid w:val="00A74492"/>
    <w:rsid w:val="00A74533"/>
    <w:rsid w:val="00A761DF"/>
    <w:rsid w:val="00A81118"/>
    <w:rsid w:val="00A95585"/>
    <w:rsid w:val="00AB0607"/>
    <w:rsid w:val="00AB0D69"/>
    <w:rsid w:val="00AB3183"/>
    <w:rsid w:val="00AB5939"/>
    <w:rsid w:val="00AB6F0E"/>
    <w:rsid w:val="00AC5E1B"/>
    <w:rsid w:val="00AD4B8A"/>
    <w:rsid w:val="00AE3C8D"/>
    <w:rsid w:val="00AF19E3"/>
    <w:rsid w:val="00B00F32"/>
    <w:rsid w:val="00B026F6"/>
    <w:rsid w:val="00B03748"/>
    <w:rsid w:val="00B105E0"/>
    <w:rsid w:val="00B11EF7"/>
    <w:rsid w:val="00B26C46"/>
    <w:rsid w:val="00B30706"/>
    <w:rsid w:val="00B3407D"/>
    <w:rsid w:val="00B35ABC"/>
    <w:rsid w:val="00B55124"/>
    <w:rsid w:val="00B5552A"/>
    <w:rsid w:val="00B6593D"/>
    <w:rsid w:val="00B831FC"/>
    <w:rsid w:val="00B918B3"/>
    <w:rsid w:val="00B93C25"/>
    <w:rsid w:val="00BA43E4"/>
    <w:rsid w:val="00BB004F"/>
    <w:rsid w:val="00BB21B0"/>
    <w:rsid w:val="00BC7C80"/>
    <w:rsid w:val="00BD7CCA"/>
    <w:rsid w:val="00BE09A8"/>
    <w:rsid w:val="00BF1397"/>
    <w:rsid w:val="00BF5820"/>
    <w:rsid w:val="00C1106B"/>
    <w:rsid w:val="00C118B0"/>
    <w:rsid w:val="00C2324E"/>
    <w:rsid w:val="00C25CA3"/>
    <w:rsid w:val="00C27EC5"/>
    <w:rsid w:val="00C34C17"/>
    <w:rsid w:val="00C45923"/>
    <w:rsid w:val="00C50DCB"/>
    <w:rsid w:val="00C54962"/>
    <w:rsid w:val="00C62235"/>
    <w:rsid w:val="00C65A84"/>
    <w:rsid w:val="00C67E5C"/>
    <w:rsid w:val="00C67F54"/>
    <w:rsid w:val="00C71AB4"/>
    <w:rsid w:val="00C7757D"/>
    <w:rsid w:val="00C90603"/>
    <w:rsid w:val="00CA219A"/>
    <w:rsid w:val="00CA258C"/>
    <w:rsid w:val="00CA2E00"/>
    <w:rsid w:val="00CA5515"/>
    <w:rsid w:val="00CA69C0"/>
    <w:rsid w:val="00CB050B"/>
    <w:rsid w:val="00CB47A2"/>
    <w:rsid w:val="00CC29E6"/>
    <w:rsid w:val="00CC54F6"/>
    <w:rsid w:val="00CD1FD9"/>
    <w:rsid w:val="00CD2B33"/>
    <w:rsid w:val="00CD6DD0"/>
    <w:rsid w:val="00CE04FA"/>
    <w:rsid w:val="00CE4849"/>
    <w:rsid w:val="00D041C3"/>
    <w:rsid w:val="00D0700B"/>
    <w:rsid w:val="00D21542"/>
    <w:rsid w:val="00D35CCE"/>
    <w:rsid w:val="00D42A89"/>
    <w:rsid w:val="00D75308"/>
    <w:rsid w:val="00D76F20"/>
    <w:rsid w:val="00D7718E"/>
    <w:rsid w:val="00D831AB"/>
    <w:rsid w:val="00D85313"/>
    <w:rsid w:val="00D94F1E"/>
    <w:rsid w:val="00DB11A3"/>
    <w:rsid w:val="00DB6F5B"/>
    <w:rsid w:val="00DC2811"/>
    <w:rsid w:val="00DC636D"/>
    <w:rsid w:val="00DC6B3B"/>
    <w:rsid w:val="00DD0668"/>
    <w:rsid w:val="00DD3382"/>
    <w:rsid w:val="00DD55C3"/>
    <w:rsid w:val="00DF1944"/>
    <w:rsid w:val="00DF3C8A"/>
    <w:rsid w:val="00E075F5"/>
    <w:rsid w:val="00E31379"/>
    <w:rsid w:val="00E366AB"/>
    <w:rsid w:val="00E45604"/>
    <w:rsid w:val="00E676AC"/>
    <w:rsid w:val="00EA10D7"/>
    <w:rsid w:val="00EB3DBE"/>
    <w:rsid w:val="00EC0E1A"/>
    <w:rsid w:val="00EC1703"/>
    <w:rsid w:val="00ED4AB5"/>
    <w:rsid w:val="00EE135A"/>
    <w:rsid w:val="00EE4103"/>
    <w:rsid w:val="00EE4EA9"/>
    <w:rsid w:val="00EF085B"/>
    <w:rsid w:val="00F01B54"/>
    <w:rsid w:val="00F35BD6"/>
    <w:rsid w:val="00F37AA1"/>
    <w:rsid w:val="00F50878"/>
    <w:rsid w:val="00F51662"/>
    <w:rsid w:val="00F5252A"/>
    <w:rsid w:val="00F52C58"/>
    <w:rsid w:val="00F57CD1"/>
    <w:rsid w:val="00F63D5E"/>
    <w:rsid w:val="00F63E3B"/>
    <w:rsid w:val="00F658DB"/>
    <w:rsid w:val="00F81305"/>
    <w:rsid w:val="00F82957"/>
    <w:rsid w:val="00F836F7"/>
    <w:rsid w:val="00F937B9"/>
    <w:rsid w:val="00FA0739"/>
    <w:rsid w:val="00FA34AA"/>
    <w:rsid w:val="00FC42D8"/>
    <w:rsid w:val="00FD2462"/>
    <w:rsid w:val="00FD643C"/>
    <w:rsid w:val="00FD7759"/>
    <w:rsid w:val="00FE5AE7"/>
    <w:rsid w:val="00FE684F"/>
    <w:rsid w:val="00FF204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EastAsia" w:hAnsiTheme="minorHAnsi"/>
        <w:kern w:val="2"/>
        <w:sz w:val="21"/>
        <w:szCs w:val="22"/>
        <w:lang w:bidi="ar-SA" w:eastAsia="zh-CN" w:val="en-US"/>
      </w:rPr>
    </w:rPrDefault>
    <w:pPrDefault/>
  </w:docDefaults>
  <w:latentStyles w:count="375"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default="1" w:styleId="Normal" w:type="paragraph">
    <w:name w:val="Normal"/>
    <w:qFormat/>
    <w:rsid w:val="00E31379"/>
    <w:pPr>
      <w:widowControl w:val="0"/>
      <w:jc w:val="both"/>
    </w:pPr>
    <w:rPr>
      <w:rFonts w:ascii="Times New Roman" w:cs="Times New Roman" w:eastAsia="SimSun" w:hAnsi="Times New Roman"/>
      <w:szCs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alloonText" w:type="paragraph">
    <w:name w:val="Balloon Text"/>
    <w:basedOn w:val="Normal"/>
    <w:link w:val="BalloonTextChar"/>
    <w:uiPriority w:val="99"/>
    <w:semiHidden/>
    <w:unhideWhenUsed/>
    <w:rsid w:val="00E31379"/>
    <w:rPr>
      <w:sz w:val="18"/>
      <w:szCs w:val="18"/>
    </w:rPr>
  </w:style>
  <w:style w:customStyle="1" w:styleId="BalloonTextChar" w:type="character">
    <w:name w:val="Balloon Text Char"/>
    <w:basedOn w:val="DefaultParagraphFont"/>
    <w:link w:val="BalloonText"/>
    <w:uiPriority w:val="99"/>
    <w:semiHidden/>
    <w:rsid w:val="00E31379"/>
    <w:rPr>
      <w:rFonts w:ascii="Times New Roman" w:cs="Times New Roman" w:eastAsia="SimSun" w:hAnsi="Times New Roman"/>
      <w:sz w:val="18"/>
      <w:szCs w:val="18"/>
    </w:rPr>
  </w:style>
  <w:style w:styleId="Header" w:type="paragraph">
    <w:name w:val="header"/>
    <w:basedOn w:val="Normal"/>
    <w:link w:val="HeaderChar"/>
    <w:uiPriority w:val="99"/>
    <w:unhideWhenUsed/>
    <w:rsid w:val="00653B23"/>
    <w:pPr>
      <w:pBdr>
        <w:bottom w:color="auto" w:space="1" w:sz="6" w:val="single"/>
      </w:pBdr>
      <w:tabs>
        <w:tab w:pos="4153" w:val="center"/>
        <w:tab w:pos="8306" w:val="right"/>
      </w:tabs>
      <w:snapToGrid w:val="0"/>
      <w:jc w:val="center"/>
    </w:pPr>
    <w:rPr>
      <w:sz w:val="18"/>
      <w:szCs w:val="18"/>
    </w:rPr>
  </w:style>
  <w:style w:customStyle="1" w:styleId="HeaderChar" w:type="character">
    <w:name w:val="Header Char"/>
    <w:basedOn w:val="DefaultParagraphFont"/>
    <w:link w:val="Header"/>
    <w:uiPriority w:val="99"/>
    <w:rsid w:val="00653B23"/>
    <w:rPr>
      <w:rFonts w:ascii="Times New Roman" w:cs="Times New Roman" w:eastAsia="SimSun" w:hAnsi="Times New Roman"/>
      <w:sz w:val="18"/>
      <w:szCs w:val="18"/>
    </w:rPr>
  </w:style>
  <w:style w:styleId="Footer" w:type="paragraph">
    <w:name w:val="footer"/>
    <w:basedOn w:val="Normal"/>
    <w:link w:val="FooterChar"/>
    <w:uiPriority w:val="99"/>
    <w:unhideWhenUsed/>
    <w:rsid w:val="00653B23"/>
    <w:pPr>
      <w:tabs>
        <w:tab w:pos="4153" w:val="center"/>
        <w:tab w:pos="8306" w:val="right"/>
      </w:tabs>
      <w:snapToGrid w:val="0"/>
      <w:jc w:val="left"/>
    </w:pPr>
    <w:rPr>
      <w:sz w:val="18"/>
      <w:szCs w:val="18"/>
    </w:rPr>
  </w:style>
  <w:style w:customStyle="1" w:styleId="FooterChar" w:type="character">
    <w:name w:val="Footer Char"/>
    <w:basedOn w:val="DefaultParagraphFont"/>
    <w:link w:val="Footer"/>
    <w:uiPriority w:val="99"/>
    <w:rsid w:val="00653B23"/>
    <w:rPr>
      <w:rFonts w:ascii="Times New Roman" w:cs="Times New Roman" w:eastAsia="SimSun" w:hAnsi="Times New Roman"/>
      <w:sz w:val="18"/>
      <w:szCs w:val="18"/>
    </w:rPr>
  </w:style>
  <w:style w:styleId="ListParagraph" w:type="paragraph">
    <w:name w:val="List Paragraph"/>
    <w:basedOn w:val="Normal"/>
    <w:uiPriority w:val="34"/>
    <w:qFormat/>
    <w:rsid w:val="008B3DD4"/>
    <w:pPr>
      <w:ind w:firstLine="420" w:firstLineChars="20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8083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0" Target="numbering.xml" /><Relationship Type="http://schemas.openxmlformats.org/officeDocument/2006/relationships/styles" Id="rId19" Target="styles.xml" /><Relationship Type="http://schemas.openxmlformats.org/officeDocument/2006/relationships/settings" Id="rId18" Target="settings.xml" /><Relationship Type="http://schemas.openxmlformats.org/officeDocument/2006/relationships/webSettings" Id="rId17" Target="webSettings.xml" /><Relationship Type="http://schemas.openxmlformats.org/officeDocument/2006/relationships/fontTable" Id="rId16" Target="fontTable.xml" /><Relationship Type="http://schemas.openxmlformats.org/officeDocument/2006/relationships/theme" Id="rId15" Target="theme/theme1.xml" /><Relationship Type="http://schemas.openxmlformats.org/officeDocument/2006/relationships/footnotes" Id="rId14" Target="footnotes.xml" /><Relationship Type="http://schemas.openxmlformats.org/officeDocument/2006/relationships/comments" Id="rId13" Target="comments.xml" /><Relationship Id="rId8" Target="media/image1.png" Type="http://schemas.openxmlformats.org/officeDocument/2006/relationships/image" /><Relationship Id="rId12" Target="media/image4.png" Type="http://schemas.openxmlformats.org/officeDocument/2006/relationships/image" /><Relationship Id="rId10" Target="media/image3.png" Type="http://schemas.openxmlformats.org/officeDocument/2006/relationships/image" /><Relationship Id="rId9" Target="media/image2.png" Type="http://schemas.openxmlformats.org/officeDocument/2006/relationships/image"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950</TotalTime>
  <Pages>10</Pages>
  <Words>778</Words>
  <Characters>4438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2026-08-17T03:37:09Z</dcterms:created>
  <dcterms:modified xsi:type="dcterms:W3CDTF">2026-08-17T03:37:09Z</dcterms:modified>
</cp:coreProperties>
</file>

<file path=docProps/custom.xml><?xml version="1.0" encoding="utf-8"?>
<Properties xmlns="http://schemas.openxmlformats.org/officeDocument/2006/custom-properties" xmlns:vt="http://schemas.openxmlformats.org/officeDocument/2006/docPropsVTypes"/>
</file>