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3511"/>
        <w:gridCol w:w="3511"/>
        <w:gridCol w:w="3511"/>
      </w:tblGrid>
      <w:tr>
        <w:trPr>
          <w:trHeight w:hRule="exact" w:val="784"/>
        </w:trPr>
        <w:tc>
          <w:tcPr>
            <w:tcW w:type="dxa" w:w="72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457200</wp:posOffset>
                  </wp:positionH>
                  <wp:positionV relativeFrom="page">
                    <wp:posOffset>596900</wp:posOffset>
                  </wp:positionV>
                  <wp:extent cx="431800" cy="444500"/>
                  <wp:wrapNone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44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496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4" w:lineRule="exact" w:before="4" w:after="0"/>
              <w:ind w:left="5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/>
                <w:color w:val="942958"/>
                <w:sz w:val="50"/>
              </w:rPr>
              <w:t>risks</w:t>
            </w:r>
          </w:p>
        </w:tc>
        <w:tc>
          <w:tcPr>
            <w:tcW w:type="dxa" w:w="479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0" w:right="2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6564630</wp:posOffset>
                  </wp:positionH>
                  <wp:positionV relativeFrom="page">
                    <wp:posOffset>673100</wp:posOffset>
                  </wp:positionV>
                  <wp:extent cx="528320" cy="347980"/>
                  <wp:wrapNone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320" cy="34798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422" w:lineRule="exact" w:before="122" w:after="224"/>
        <w:ind w:left="0" w:right="3024" w:firstLine="6"/>
        <w:jc w:val="left"/>
      </w:pPr>
      <w:r>
        <w:rPr>
          <w:rFonts w:ascii="URWPalladioL" w:hAnsi="URWPalladioL" w:eastAsia="URWPalladioL"/>
          <w:b w:val="0"/>
          <w:i/>
          <w:color w:val="000000"/>
          <w:sz w:val="20"/>
        </w:rPr>
        <w:t xml:space="preserve">Article </w:t>
      </w:r>
      <w:r>
        <w:br/>
      </w:r>
      <w:r>
        <w:rPr>
          <w:rFonts w:ascii="URWPalladioL" w:hAnsi="URWPalladioL" w:eastAsia="URWPalladioL"/>
          <w:b/>
          <w:i w:val="0"/>
          <w:color w:val="000000"/>
          <w:sz w:val="36"/>
        </w:rPr>
        <w:t>Value-Based Financial Risk Prediction Model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2107"/>
        <w:gridCol w:w="2107"/>
        <w:gridCol w:w="2107"/>
        <w:gridCol w:w="2107"/>
        <w:gridCol w:w="2107"/>
      </w:tblGrid>
      <w:tr>
        <w:trPr>
          <w:trHeight w:hRule="exact" w:val="300"/>
        </w:trPr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20"/>
              </w:rPr>
              <w:t>Jiˇr</w:t>
            </w:r>
            <w:r>
              <w:rPr>
                <w:rFonts w:ascii="URWPalladioL" w:hAnsi="URWPalladioL" w:eastAsia="URWPalladioL"/>
                <w:b/>
                <w:i w:val="0"/>
                <w:color w:val="000000"/>
                <w:sz w:val="20"/>
              </w:rPr>
              <w:t>í</w:t>
            </w:r>
            <w:r>
              <w:rPr>
                <w:rFonts w:ascii="URWPalladioL" w:hAnsi="URWPalladioL" w:eastAsia="URWPalladioL"/>
                <w:b/>
                <w:i w:val="0"/>
                <w:color w:val="000000"/>
                <w:sz w:val="20"/>
              </w:rPr>
              <w:t xml:space="preserve"> Posp</w:t>
            </w:r>
            <w:r>
              <w:rPr>
                <w:rFonts w:ascii="URWPalladioL" w:hAnsi="URWPalladioL" w:eastAsia="URWPalladioL"/>
                <w:b/>
                <w:i w:val="0"/>
                <w:color w:val="000000"/>
                <w:sz w:val="20"/>
              </w:rPr>
              <w:t>í</w:t>
            </w:r>
            <w:r>
              <w:rPr>
                <w:rFonts w:ascii="URWPalladioL" w:hAnsi="URWPalladioL" w:eastAsia="URWPalladioL"/>
                <w:b/>
                <w:i w:val="0"/>
                <w:color w:val="000000"/>
                <w:sz w:val="20"/>
              </w:rPr>
              <w:t>šil</w:t>
            </w:r>
          </w:p>
        </w:tc>
        <w:tc>
          <w:tcPr>
            <w:tcW w:type="dxa" w:w="2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1155700</wp:posOffset>
                  </wp:positionH>
                  <wp:positionV relativeFrom="page">
                    <wp:posOffset>1879600</wp:posOffset>
                  </wp:positionV>
                  <wp:extent cx="127000" cy="127000"/>
                  <wp:wrapNone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URWPalladioL" w:hAnsi="URWPalladioL" w:eastAsia="URWPalladioL"/>
                <w:b/>
                <w:i w:val="0"/>
                <w:color w:val="000000"/>
                <w:sz w:val="20"/>
              </w:rPr>
              <w:t>, Nata</w:t>
            </w:r>
            <w:r>
              <w:rPr>
                <w:rFonts w:ascii="URWPalladioL" w:hAnsi="URWPalladioL" w:eastAsia="URWPalladioL"/>
                <w:b/>
                <w:i w:val="0"/>
                <w:color w:val="000000"/>
                <w:sz w:val="20"/>
              </w:rPr>
              <w:hyperlink r:id="rId12" w:history="1">
                <w:r>
                  <w:rPr>
                    <w:rStyle w:val="Hyperlink"/>
                  </w:rPr>
                  <w:t>ša</w:t>
                </w:r>
              </w:hyperlink>
            </w:r>
            <w:r>
              <w:rPr>
                <w:rFonts w:ascii="URWPalladioL" w:hAnsi="URWPalladioL" w:eastAsia="URWPalladioL"/>
                <w:b/>
                <w:i w:val="0"/>
                <w:color w:val="000000"/>
                <w:sz w:val="20"/>
              </w:rPr>
              <w:t xml:space="preserve"> Matulayov</w:t>
            </w:r>
            <w:r>
              <w:rPr>
                <w:rFonts w:ascii="URWPalladioL" w:hAnsi="URWPalladioL" w:eastAsia="URWPalladioL"/>
                <w:b/>
                <w:i w:val="0"/>
                <w:color w:val="000000"/>
                <w:sz w:val="20"/>
              </w:rPr>
              <w:t>á</w:t>
            </w:r>
          </w:p>
        </w:tc>
        <w:tc>
          <w:tcPr>
            <w:tcW w:type="dxa" w:w="5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2476500</wp:posOffset>
                  </wp:positionH>
                  <wp:positionV relativeFrom="page">
                    <wp:posOffset>1879600</wp:posOffset>
                  </wp:positionV>
                  <wp:extent cx="127000" cy="127000"/>
                  <wp:wrapNone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URWPalladioL" w:hAnsi="URWPalladioL" w:eastAsia="URWPalladioL"/>
                <w:b/>
                <w:i w:val="0"/>
                <w:color w:val="000000"/>
                <w:sz w:val="20"/>
              </w:rPr>
              <w:t>, Pavla Mach</w:t>
            </w:r>
            <w:r>
              <w:rPr>
                <w:rFonts w:ascii="URWPalladioL" w:hAnsi="URWPalladioL" w:eastAsia="URWPalladioL"/>
                <w:b/>
                <w:i w:val="0"/>
                <w:color w:val="000000"/>
                <w:sz w:val="20"/>
              </w:rPr>
              <w:t>á</w:t>
            </w:r>
            <w:r>
              <w:rPr>
                <w:rFonts w:ascii="URWPalladioL" w:hAnsi="URWPalladioL" w:eastAsia="URWPalladioL"/>
                <w:b/>
                <w:i w:val="0"/>
                <w:color w:val="000000"/>
                <w:sz w:val="20"/>
              </w:rPr>
              <w:t>ˇckov</w:t>
            </w:r>
            <w:r>
              <w:rPr>
                <w:rFonts w:ascii="URWPalladioL" w:hAnsi="URWPalladioL" w:eastAsia="URWPalladioL"/>
                <w:b/>
                <w:i w:val="0"/>
                <w:color w:val="000000"/>
                <w:sz w:val="20"/>
              </w:rPr>
              <w:t>á</w:t>
            </w:r>
            <w:r>
              <w:rPr>
                <w:rFonts w:ascii="URWPalladioL" w:hAnsi="URWPalladioL" w:eastAsia="URWPalladioL"/>
                <w:b/>
                <w:i w:val="0"/>
                <w:color w:val="000000"/>
                <w:sz w:val="20"/>
              </w:rPr>
              <w:t>, Pavl</w:t>
            </w:r>
            <w:r>
              <w:rPr>
                <w:rFonts w:ascii="URWPalladioL" w:hAnsi="URWPalladioL" w:eastAsia="URWPalladioL"/>
                <w:b/>
                <w:i w:val="0"/>
                <w:color w:val="000000"/>
                <w:sz w:val="20"/>
              </w:rPr>
              <w:t>í</w:t>
            </w:r>
            <w:r>
              <w:rPr>
                <w:rFonts w:ascii="URWPalladioL" w:hAnsi="URWPalladioL" w:eastAsia="URWPalladioL"/>
                <w:b/>
                <w:i w:val="0"/>
                <w:color w:val="000000"/>
                <w:sz w:val="20"/>
              </w:rPr>
              <w:t>na Jurn</w:t>
            </w:r>
            <w:r>
              <w:rPr>
                <w:rFonts w:ascii="URWPalladioL" w:hAnsi="URWPalladioL" w:eastAsia="URWPalladioL"/>
                <w:b/>
                <w:i w:val="0"/>
                <w:color w:val="000000"/>
                <w:sz w:val="20"/>
              </w:rPr>
              <w:t>í</w:t>
            </w:r>
            <w:r>
              <w:rPr>
                <w:rFonts w:ascii="URWPalladioL" w:hAnsi="URWPalladioL" w:eastAsia="URWPalladioL"/>
                <w:b/>
                <w:i w:val="0"/>
                <w:color w:val="000000"/>
                <w:sz w:val="20"/>
              </w:rPr>
              <w:t>ˇckov</w:t>
            </w:r>
            <w:r>
              <w:rPr>
                <w:rFonts w:ascii="URWPalladioL" w:hAnsi="URWPalladioL" w:eastAsia="URWPalladioL"/>
                <w:b/>
                <w:i w:val="0"/>
                <w:color w:val="000000"/>
                <w:sz w:val="20"/>
              </w:rPr>
              <w:t>á</w:t>
            </w:r>
            <w:r>
              <w:rPr>
                <w:rFonts w:ascii="URWPalladioL" w:hAnsi="URWPalladioL" w:eastAsia="URWPalladioL"/>
                <w:b/>
                <w:i w:val="0"/>
                <w:color w:val="000000"/>
                <w:sz w:val="20"/>
              </w:rPr>
              <w:t>, Ivana Oleck</w:t>
            </w:r>
            <w:r>
              <w:rPr>
                <w:rFonts w:ascii="URWPalladioL" w:hAnsi="URWPalladioL" w:eastAsia="URWPalladioL"/>
                <w:b/>
                <w:i w:val="0"/>
                <w:color w:val="000000"/>
                <w:sz w:val="20"/>
              </w:rPr>
              <w:t>á</w:t>
            </w:r>
            <w:r>
              <w:rPr>
                <w:rFonts w:ascii="URWPalladioL" w:hAnsi="URWPalladioL" w:eastAsia="URWPalladioL"/>
                <w:b/>
                <w:i w:val="0"/>
                <w:color w:val="000000"/>
                <w:sz w:val="20"/>
              </w:rPr>
              <w:t xml:space="preserve"> *</w:t>
            </w: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5803900</wp:posOffset>
                  </wp:positionH>
                  <wp:positionV relativeFrom="page">
                    <wp:posOffset>1879600</wp:posOffset>
                  </wp:positionV>
                  <wp:extent cx="127000" cy="127000"/>
                  <wp:wrapNone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4" w:after="0"/>
              <w:ind w:left="30" w:right="0" w:firstLine="0"/>
              <w:jc w:val="left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20"/>
              </w:rPr>
              <w:t>and</w:t>
            </w:r>
          </w:p>
        </w:tc>
      </w:tr>
      <w:tr>
        <w:trPr>
          <w:trHeight w:hRule="exact" w:val="314"/>
        </w:trPr>
        <w:tc>
          <w:tcPr>
            <w:tcW w:type="dxa" w:w="1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20"/>
              </w:rPr>
              <w:t>Helena Posp</w:t>
            </w:r>
            <w:r>
              <w:rPr>
                <w:rFonts w:ascii="URWPalladioL" w:hAnsi="URWPalladioL" w:eastAsia="URWPalladioL"/>
                <w:b/>
                <w:i w:val="0"/>
                <w:color w:val="000000"/>
                <w:sz w:val="20"/>
              </w:rPr>
              <w:t>í</w:t>
            </w:r>
            <w:r>
              <w:rPr>
                <w:rFonts w:ascii="URWPalladioL" w:hAnsi="URWPalladioL" w:eastAsia="URWPalladioL"/>
                <w:b/>
                <w:i w:val="0"/>
                <w:color w:val="000000"/>
                <w:sz w:val="20"/>
              </w:rPr>
              <w:t>šilov</w:t>
            </w:r>
            <w:r>
              <w:rPr>
                <w:rFonts w:ascii="URWPalladioL" w:hAnsi="URWPalladioL" w:eastAsia="URWPalladioL"/>
                <w:b/>
                <w:i w:val="0"/>
                <w:color w:val="000000"/>
                <w:sz w:val="20"/>
              </w:rPr>
              <w:t>á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2032000</wp:posOffset>
                  </wp:positionV>
                  <wp:extent cx="127000" cy="127000"/>
                  <wp:wrapNone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2107"/>
            <w:vMerge/>
            <w:tcBorders/>
          </w:tcPr>
          <w:p/>
        </w:tc>
        <w:tc>
          <w:tcPr>
            <w:tcW w:type="dxa" w:w="21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16" w:lineRule="exact" w:before="308" w:after="0"/>
        <w:ind w:left="2626" w:right="0" w:firstLine="0"/>
        <w:jc w:val="left"/>
      </w:pPr>
      <w:r>
        <w:rPr>
          <w:w w:val="98.8260269165039"/>
          <w:rFonts w:ascii="URWPalladioL" w:hAnsi="URWPalladioL" w:eastAsia="URWPalladioL"/>
          <w:b w:val="0"/>
          <w:i w:val="0"/>
          <w:color w:val="000000"/>
          <w:sz w:val="16"/>
        </w:rPr>
        <w:t>Department of Christian Social Work, Sts Cyril and Methodius Faculty of Theology, Palack</w:t>
      </w:r>
      <w:r>
        <w:rPr>
          <w:w w:val="98.8260269165039"/>
          <w:rFonts w:ascii="VnURWPalladioL" w:hAnsi="VnURWPalladioL" w:eastAsia="VnURWPalladioL"/>
          <w:b w:val="0"/>
          <w:i w:val="0"/>
          <w:color w:val="000000"/>
          <w:sz w:val="16"/>
        </w:rPr>
        <w:t>ý</w:t>
      </w:r>
      <w:r>
        <w:rPr>
          <w:w w:val="98.8260269165039"/>
          <w:rFonts w:ascii="URWPalladioL" w:hAnsi="URWPalladioL" w:eastAsia="URWPalladioL"/>
          <w:b w:val="0"/>
          <w:i w:val="0"/>
          <w:color w:val="000000"/>
          <w:sz w:val="16"/>
        </w:rPr>
        <w:t xml:space="preserve"> University Olomouc, 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 xml:space="preserve">Na Hradˇe 5, 779 00 Olomouc, Czech Republic; jiri.pospisil@upol.cz (J.P.); natasa.matulayova@upol.cz (N.M.); 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 xml:space="preserve">pavla.machackova@upol.cz (P.M.); pavlina.jurnickova@upol.cz (P.J.); helena.pospisilova@upol.cz (H.P.) </w:t>
      </w:r>
      <w:r>
        <w:rPr>
          <w:rFonts w:ascii="URWPalladioL" w:hAnsi="URWPalladioL" w:eastAsia="URWPalladioL"/>
          <w:b/>
          <w:i w:val="0"/>
          <w:color w:val="000000"/>
          <w:sz w:val="16"/>
        </w:rPr>
        <w:t>*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Correspondence: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ivana.olecka@upol.cz; Tel.: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+420-585637280</w:t>
      </w:r>
    </w:p>
    <w:p>
      <w:pPr>
        <w:autoSpaceDN w:val="0"/>
        <w:autoSpaceDE w:val="0"/>
        <w:widowControl/>
        <w:spacing w:line="260" w:lineRule="exact" w:before="260" w:after="40"/>
        <w:ind w:left="2640" w:right="50" w:hanging="8"/>
        <w:jc w:val="both"/>
      </w:pPr>
      <w:r>
        <w:rPr>
          <w:rFonts w:ascii="URWPalladioL" w:hAnsi="URWPalladioL" w:eastAsia="URWPalladioL"/>
          <w:b/>
          <w:i w:val="0"/>
          <w:color w:val="000000"/>
          <w:sz w:val="18"/>
        </w:rPr>
        <w:t>Abstract: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The model of financial risk prediction we developed and present in our paper is based 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on the theoretical assumption that there exists a significant relationship between actual economic 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situation and values.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This assumption confirmed by the research influences the potential risk in 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financial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behaviour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it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becomes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actual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especially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in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case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of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changing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life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conditions.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The 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concept of the model is based on data received from 3768 respondents questioned across the Czech 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Republic.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Measured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variables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were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indexed,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cluster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factor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analyses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were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used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for 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multivariate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analysis.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model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is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unique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in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combination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of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personal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values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projected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into 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six generalized value types and developed economic indexes clustered in four types of economic 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situations.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The primary purpose of the model is to identify the anticipated personal financial risk 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of clients.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The model has fundamental applications as a diagnostic or auto-diagnostic tool in social </w:t>
      </w:r>
      <w:r>
        <w:rPr>
          <w:w w:val="98.67567486233182"/>
          <w:rFonts w:ascii="URWPalladioL" w:hAnsi="URWPalladioL" w:eastAsia="URWPalladioL"/>
          <w:b w:val="0"/>
          <w:i w:val="0"/>
          <w:color w:val="000000"/>
          <w:sz w:val="18"/>
        </w:rPr>
        <w:t>work, counselling, psychotherapy, and other helping professions, or as a research instrument leading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5267"/>
        <w:gridCol w:w="5267"/>
      </w:tblGrid>
      <w:tr>
        <w:trPr>
          <w:trHeight w:hRule="exact" w:val="1142"/>
        </w:trPr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2" w:after="0"/>
              <w:ind w:left="2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457200</wp:posOffset>
                  </wp:positionH>
                  <wp:positionV relativeFrom="page">
                    <wp:posOffset>5092700</wp:posOffset>
                  </wp:positionV>
                  <wp:extent cx="215900" cy="215900"/>
                  <wp:wrapNone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00" cy="2159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38" w:lineRule="exact" w:before="96" w:after="0"/>
              <w:ind w:left="20" w:right="288" w:firstLine="0"/>
              <w:jc w:val="left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14"/>
              </w:rPr>
              <w:t>Citation: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Posp</w:t>
            </w:r>
            <w:r>
              <w:rPr>
                <w:rFonts w:ascii="VnURWPalladioL" w:hAnsi="VnURWPalladioL" w:eastAsia="VnURWPalladioL"/>
                <w:b w:val="0"/>
                <w:i w:val="0"/>
                <w:color w:val="000000"/>
                <w:sz w:val="14"/>
              </w:rPr>
              <w:t>í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šil, Jiˇr</w:t>
            </w:r>
            <w:r>
              <w:rPr>
                <w:rFonts w:ascii="VnURWPalladioL" w:hAnsi="VnURWPalladioL" w:eastAsia="VnURWPalladioL"/>
                <w:b w:val="0"/>
                <w:i w:val="0"/>
                <w:color w:val="000000"/>
                <w:sz w:val="14"/>
              </w:rPr>
              <w:t>í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 xml:space="preserve">, Nataša 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Matulayov</w:t>
            </w:r>
            <w:r>
              <w:rPr>
                <w:rFonts w:ascii="VnURWPalladioL" w:hAnsi="VnURWPalladioL" w:eastAsia="VnURWPalladioL"/>
                <w:b w:val="0"/>
                <w:i w:val="0"/>
                <w:color w:val="000000"/>
                <w:sz w:val="14"/>
              </w:rPr>
              <w:t>á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, Pavla Mach</w:t>
            </w:r>
            <w:r>
              <w:rPr>
                <w:rFonts w:ascii="VnURWPalladioL" w:hAnsi="VnURWPalladioL" w:eastAsia="VnURWPalladioL"/>
                <w:b w:val="0"/>
                <w:i w:val="0"/>
                <w:color w:val="000000"/>
                <w:sz w:val="14"/>
              </w:rPr>
              <w:t>á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ˇckov</w:t>
            </w:r>
            <w:r>
              <w:rPr>
                <w:rFonts w:ascii="VnURWPalladioL" w:hAnsi="VnURWPalladioL" w:eastAsia="VnURWPalladioL"/>
                <w:b w:val="0"/>
                <w:i w:val="0"/>
                <w:color w:val="000000"/>
                <w:sz w:val="14"/>
              </w:rPr>
              <w:t>á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,</w:t>
            </w:r>
          </w:p>
        </w:tc>
        <w:tc>
          <w:tcPr>
            <w:tcW w:type="dxa" w:w="8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326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to various hypotheses and to the enhancement of theories concerning economic behaviour.</w:t>
            </w:r>
          </w:p>
          <w:p>
            <w:pPr>
              <w:autoSpaceDN w:val="0"/>
              <w:autoSpaceDE w:val="0"/>
              <w:widowControl/>
              <w:spacing w:line="180" w:lineRule="exact" w:before="318" w:after="0"/>
              <w:ind w:left="326" w:right="0" w:firstLine="0"/>
              <w:jc w:val="left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18"/>
              </w:rPr>
              <w:t>Keywords: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model; financial responsibility; financial well-being; financial knowledge; values; eco-</w:t>
            </w:r>
          </w:p>
          <w:p>
            <w:pPr>
              <w:autoSpaceDN w:val="0"/>
              <w:autoSpaceDE w:val="0"/>
              <w:widowControl/>
              <w:spacing w:line="180" w:lineRule="exact" w:before="80" w:after="0"/>
              <w:ind w:left="326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nomic situation; risks; helping professions</w:t>
            </w:r>
          </w:p>
        </w:tc>
      </w:tr>
    </w:tbl>
    <w:p>
      <w:pPr>
        <w:autoSpaceDN w:val="0"/>
        <w:autoSpaceDE w:val="0"/>
        <w:widowControl/>
        <w:spacing w:line="216" w:lineRule="exact" w:before="0" w:after="48"/>
        <w:ind w:left="14" w:right="8352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14"/>
        </w:rPr>
        <w:t>Pavl</w:t>
      </w:r>
      <w:r>
        <w:rPr>
          <w:rFonts w:ascii="VnURWPalladioL" w:hAnsi="VnURWPalladioL" w:eastAsia="VnURWPalladioL"/>
          <w:b w:val="0"/>
          <w:i w:val="0"/>
          <w:color w:val="000000"/>
          <w:sz w:val="14"/>
        </w:rPr>
        <w:t>í</w:t>
      </w:r>
      <w:r>
        <w:rPr>
          <w:rFonts w:ascii="URWPalladioL" w:hAnsi="URWPalladioL" w:eastAsia="URWPalladioL"/>
          <w:b w:val="0"/>
          <w:i w:val="0"/>
          <w:color w:val="000000"/>
          <w:sz w:val="14"/>
        </w:rPr>
        <w:t>na Jurn</w:t>
      </w:r>
      <w:r>
        <w:rPr>
          <w:rFonts w:ascii="VnURWPalladioL" w:hAnsi="VnURWPalladioL" w:eastAsia="VnURWPalladioL"/>
          <w:b w:val="0"/>
          <w:i w:val="0"/>
          <w:color w:val="000000"/>
          <w:sz w:val="14"/>
        </w:rPr>
        <w:t>í</w:t>
      </w:r>
      <w:r>
        <w:rPr>
          <w:rFonts w:ascii="URWPalladioL" w:hAnsi="URWPalladioL" w:eastAsia="URWPalladioL"/>
          <w:b w:val="0"/>
          <w:i w:val="0"/>
          <w:color w:val="000000"/>
          <w:sz w:val="14"/>
        </w:rPr>
        <w:t>ˇckov</w:t>
      </w:r>
      <w:r>
        <w:rPr>
          <w:rFonts w:ascii="VnURWPalladioL" w:hAnsi="VnURWPalladioL" w:eastAsia="VnURWPalladioL"/>
          <w:b w:val="0"/>
          <w:i w:val="0"/>
          <w:color w:val="000000"/>
          <w:sz w:val="14"/>
        </w:rPr>
        <w:t>á</w:t>
      </w:r>
      <w:r>
        <w:rPr>
          <w:rFonts w:ascii="URWPalladioL" w:hAnsi="URWPalladioL" w:eastAsia="URWPalladioL"/>
          <w:b w:val="0"/>
          <w:i w:val="0"/>
          <w:color w:val="000000"/>
          <w:sz w:val="14"/>
        </w:rPr>
        <w:t>, Ivana Oleck</w:t>
      </w:r>
      <w:r>
        <w:rPr>
          <w:rFonts w:ascii="VnURWPalladioL" w:hAnsi="VnURWPalladioL" w:eastAsia="VnURWPalladioL"/>
          <w:b w:val="0"/>
          <w:i w:val="0"/>
          <w:color w:val="000000"/>
          <w:sz w:val="14"/>
        </w:rPr>
        <w:t>á</w:t>
      </w:r>
      <w:r>
        <w:rPr>
          <w:rFonts w:ascii="URWPalladioL" w:hAnsi="URWPalladioL" w:eastAsia="URWPalladioL"/>
          <w:b w:val="0"/>
          <w:i w:val="0"/>
          <w:color w:val="000000"/>
          <w:sz w:val="14"/>
        </w:rPr>
        <w:t xml:space="preserve">, </w:t>
      </w:r>
      <w:r>
        <w:br/>
      </w:r>
      <w:r>
        <w:rPr>
          <w:rFonts w:ascii="URWPalladioL" w:hAnsi="URWPalladioL" w:eastAsia="URWPalladioL"/>
          <w:b w:val="0"/>
          <w:i w:val="0"/>
          <w:color w:val="000000"/>
          <w:sz w:val="14"/>
        </w:rPr>
        <w:t>and Helena Posp</w:t>
      </w:r>
      <w:r>
        <w:rPr>
          <w:rFonts w:ascii="VnURWPalladioL" w:hAnsi="VnURWPalladioL" w:eastAsia="VnURWPalladioL"/>
          <w:b w:val="0"/>
          <w:i w:val="0"/>
          <w:color w:val="000000"/>
          <w:sz w:val="14"/>
        </w:rPr>
        <w:t>í</w:t>
      </w:r>
      <w:r>
        <w:rPr>
          <w:rFonts w:ascii="URWPalladioL" w:hAnsi="URWPalladioL" w:eastAsia="URWPalladioL"/>
          <w:b w:val="0"/>
          <w:i w:val="0"/>
          <w:color w:val="000000"/>
          <w:sz w:val="14"/>
        </w:rPr>
        <w:t>šilov</w:t>
      </w:r>
      <w:r>
        <w:rPr>
          <w:rFonts w:ascii="VnURWPalladioL" w:hAnsi="VnURWPalladioL" w:eastAsia="VnURWPalladioL"/>
          <w:b w:val="0"/>
          <w:i w:val="0"/>
          <w:color w:val="000000"/>
          <w:sz w:val="14"/>
        </w:rPr>
        <w:t>á</w:t>
      </w:r>
      <w:r>
        <w:rPr>
          <w:rFonts w:ascii="URWPalladioL" w:hAnsi="URWPalladioL" w:eastAsia="URWPalladioL"/>
          <w:b w:val="0"/>
          <w:i w:val="0"/>
          <w:color w:val="000000"/>
          <w:sz w:val="14"/>
        </w:rPr>
        <w:t>.</w:t>
      </w:r>
      <w:r>
        <w:rPr>
          <w:rFonts w:ascii="URWPalladioL" w:hAnsi="URWPalladioL" w:eastAsia="URWPalladioL"/>
          <w:b w:val="0"/>
          <w:i w:val="0"/>
          <w:color w:val="000000"/>
          <w:sz w:val="14"/>
        </w:rPr>
        <w:t>2021.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5267"/>
        <w:gridCol w:w="5267"/>
      </w:tblGrid>
      <w:tr>
        <w:trPr>
          <w:trHeight w:hRule="exact" w:val="700"/>
        </w:trPr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0" w:right="0" w:hanging="6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 xml:space="preserve">Value-Based Financial Risk Prediction 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Model.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4"/>
              </w:rPr>
              <w:t>Risks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 xml:space="preserve"> 9: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205.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hyperlink r:id="rId17" w:history="1">
                <w:r>
                  <w:rPr>
                    <w:rStyle w:val="Hyperlink"/>
                  </w:rPr>
                  <w:t xml:space="preserve">https:// </w:t>
                </w:r>
              </w:hyperlink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hyperlink r:id="rId17" w:history="1">
                <w:r>
                  <w:rPr>
                    <w:rStyle w:val="Hyperlink"/>
                  </w:rPr>
                  <w:t>doi.org/10.3390/risks9110205</w:t>
                </w:r>
              </w:hyperlink>
            </w:r>
          </w:p>
        </w:tc>
        <w:tc>
          <w:tcPr>
            <w:tcW w:type="dxa" w:w="8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90" w:val="left"/>
              </w:tabs>
              <w:autoSpaceDE w:val="0"/>
              <w:widowControl/>
              <w:spacing w:line="312" w:lineRule="exact" w:before="52" w:after="0"/>
              <w:ind w:left="166" w:right="0" w:firstLine="0"/>
              <w:jc w:val="left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20"/>
              </w:rPr>
              <w:t>1.</w:t>
            </w:r>
            <w:r>
              <w:rPr>
                <w:rFonts w:ascii="URWPalladioL" w:hAnsi="URWPalladioL" w:eastAsia="URWPalladioL"/>
                <w:b/>
                <w:i w:val="0"/>
                <w:color w:val="000000"/>
                <w:sz w:val="20"/>
              </w:rPr>
              <w:t xml:space="preserve">Introduction 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>The value-based financial risk prediction model presented in this paper is based on</w:t>
            </w:r>
          </w:p>
        </w:tc>
      </w:tr>
    </w:tbl>
    <w:p>
      <w:pPr>
        <w:autoSpaceDN w:val="0"/>
        <w:tabs>
          <w:tab w:pos="2632" w:val="left"/>
          <w:tab w:pos="2634" w:val="left"/>
          <w:tab w:pos="2636" w:val="left"/>
          <w:tab w:pos="2640" w:val="left"/>
        </w:tabs>
        <w:autoSpaceDE w:val="0"/>
        <w:widowControl/>
        <w:spacing w:line="248" w:lineRule="exact" w:before="0" w:after="0"/>
        <w:ind w:left="8" w:right="0" w:firstLine="0"/>
        <w:jc w:val="left"/>
      </w:pPr>
      <w:r>
        <w:tab/>
      </w:r>
      <w:r>
        <w:tab/>
      </w:r>
      <w:r>
        <w:tab/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theoretical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assumption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that,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out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of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all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factors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influencing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human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financial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decisions, </w:t>
      </w:r>
      <w:r>
        <w:rPr>
          <w:rFonts w:ascii="URWPalladioL" w:hAnsi="URWPalladioL" w:eastAsia="URWPalladioL"/>
          <w:b w:val="0"/>
          <w:i w:val="0"/>
          <w:color w:val="000000"/>
          <w:sz w:val="14"/>
        </w:rPr>
        <w:t>Academic Editor:</w:t>
      </w:r>
      <w:r>
        <w:rPr>
          <w:rFonts w:ascii="URWPalladioL" w:hAnsi="URWPalladioL" w:eastAsia="URWPalladioL"/>
          <w:b w:val="0"/>
          <w:i w:val="0"/>
          <w:color w:val="000000"/>
          <w:sz w:val="14"/>
        </w:rPr>
        <w:t xml:space="preserve">Mogens Steffensen </w:t>
      </w:r>
      <w:r>
        <w:tab/>
      </w:r>
      <w:r>
        <w:tab/>
      </w:r>
      <w:r>
        <w:tab/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most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important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are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values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economic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situations.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This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led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us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to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design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four </w:t>
      </w:r>
      <w:r>
        <w:tab/>
      </w:r>
      <w:r>
        <w:tab/>
      </w:r>
      <w:r>
        <w:tab/>
      </w:r>
      <w:r>
        <w:tab/>
      </w:r>
      <w:r>
        <w:rPr>
          <w:w w:val="98.67501258850098"/>
          <w:rFonts w:ascii="URWPalladioL" w:hAnsi="URWPalladioL" w:eastAsia="URWPalladioL"/>
          <w:b w:val="0"/>
          <w:i w:val="0"/>
          <w:color w:val="000000"/>
          <w:sz w:val="20"/>
        </w:rPr>
        <w:t>components—financial responsibility (</w:t>
      </w:r>
      <w:r>
        <w:rPr>
          <w:w w:val="98.67501258850098"/>
          <w:rFonts w:ascii="URWPalladioL" w:hAnsi="URWPalladioL" w:eastAsia="URWPalladioL"/>
          <w:b w:val="0"/>
          <w:i w:val="0"/>
          <w:color w:val="0875B7"/>
          <w:sz w:val="20"/>
        </w:rPr>
        <w:t>van Raaij 2016</w:t>
      </w:r>
      <w:r>
        <w:rPr>
          <w:w w:val="98.67501258850098"/>
          <w:rFonts w:ascii="URWPalladioL" w:hAnsi="URWPalladioL" w:eastAsia="URWPalladioL"/>
          <w:b w:val="0"/>
          <w:i w:val="0"/>
          <w:color w:val="000000"/>
          <w:sz w:val="20"/>
        </w:rPr>
        <w:t>;</w:t>
      </w:r>
      <w:r>
        <w:rPr>
          <w:w w:val="98.67501258850098"/>
          <w:rFonts w:ascii="URWPalladioL" w:hAnsi="URWPalladioL" w:eastAsia="URWPalladioL"/>
          <w:b w:val="0"/>
          <w:i w:val="0"/>
          <w:color w:val="0875B7"/>
          <w:sz w:val="20"/>
        </w:rPr>
        <w:t xml:space="preserve"> Xiao et al. 2014</w:t>
      </w:r>
      <w:r>
        <w:rPr>
          <w:w w:val="98.67501258850098"/>
          <w:rFonts w:ascii="URWPalladioL" w:hAnsi="URWPalladioL" w:eastAsia="URWPalladioL"/>
          <w:b w:val="0"/>
          <w:i w:val="0"/>
          <w:color w:val="000000"/>
          <w:sz w:val="20"/>
        </w:rPr>
        <w:t xml:space="preserve">), financial well-being </w:t>
      </w:r>
      <w:r>
        <w:rPr>
          <w:rFonts w:ascii="URWPalladioL" w:hAnsi="URWPalladioL" w:eastAsia="URWPalladioL"/>
          <w:b w:val="0"/>
          <w:i w:val="0"/>
          <w:color w:val="000000"/>
          <w:sz w:val="14"/>
        </w:rPr>
        <w:t>Received:</w:t>
      </w:r>
      <w:r>
        <w:rPr>
          <w:rFonts w:ascii="URWPalladioL" w:hAnsi="URWPalladioL" w:eastAsia="URWPalladioL"/>
          <w:b w:val="0"/>
          <w:i w:val="0"/>
          <w:color w:val="000000"/>
          <w:sz w:val="14"/>
        </w:rPr>
        <w:t xml:space="preserve">15 September 2021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(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Sirgy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2018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;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Strömbäck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et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al.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2017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),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financial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knowledge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(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Hung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et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al.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2009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;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Nejad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 xml:space="preserve">and </w:t>
      </w:r>
      <w:r>
        <w:rPr>
          <w:rFonts w:ascii="URWPalladioL" w:hAnsi="URWPalladioL" w:eastAsia="URWPalladioL"/>
          <w:b w:val="0"/>
          <w:i w:val="0"/>
          <w:color w:val="000000"/>
          <w:sz w:val="14"/>
        </w:rPr>
        <w:t>Accepted:</w:t>
      </w:r>
      <w:r>
        <w:rPr>
          <w:rFonts w:ascii="URWPalladioL" w:hAnsi="URWPalladioL" w:eastAsia="URWPalladioL"/>
          <w:b w:val="0"/>
          <w:i w:val="0"/>
          <w:color w:val="000000"/>
          <w:sz w:val="14"/>
        </w:rPr>
        <w:t xml:space="preserve">9 November 2021 </w:t>
      </w:r>
      <w:r>
        <w:tab/>
      </w:r>
      <w:r>
        <w:tab/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Javid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2018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)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value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types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(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Spranger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1921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;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Rokeach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1973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;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Schwartz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and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Bilsky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1990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). </w:t>
      </w:r>
      <w:r>
        <w:rPr>
          <w:rFonts w:ascii="URWPalladioL" w:hAnsi="URWPalladioL" w:eastAsia="URWPalladioL"/>
          <w:b w:val="0"/>
          <w:i w:val="0"/>
          <w:color w:val="000000"/>
          <w:sz w:val="14"/>
        </w:rPr>
        <w:t>Published:</w:t>
      </w:r>
      <w:r>
        <w:rPr>
          <w:rFonts w:ascii="URWPalladioL" w:hAnsi="URWPalladioL" w:eastAsia="URWPalladioL"/>
          <w:b w:val="0"/>
          <w:i w:val="0"/>
          <w:color w:val="000000"/>
          <w:sz w:val="14"/>
        </w:rPr>
        <w:t xml:space="preserve">11 November 2021 </w:t>
      </w:r>
      <w:r>
        <w:tab/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first three components describe three key aspects of the actual economic situation of </w:t>
      </w:r>
      <w:r>
        <w:tab/>
      </w:r>
      <w:r>
        <w:tab/>
      </w:r>
      <w:r>
        <w:tab/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an individual.</w:t>
      </w:r>
    </w:p>
    <w:p>
      <w:pPr>
        <w:autoSpaceDN w:val="0"/>
        <w:autoSpaceDE w:val="0"/>
        <w:widowControl/>
        <w:spacing w:line="140" w:lineRule="exact" w:before="32" w:after="36"/>
        <w:ind w:left="14" w:right="0" w:firstLine="0"/>
        <w:jc w:val="left"/>
      </w:pPr>
      <w:r>
        <w:rPr>
          <w:rFonts w:ascii="URWPalladioL" w:hAnsi="URWPalladioL" w:eastAsia="URWPalladioL"/>
          <w:b/>
          <w:i w:val="0"/>
          <w:color w:val="000000"/>
          <w:sz w:val="14"/>
        </w:rPr>
        <w:t>Publisher’s Note:</w:t>
      </w:r>
      <w:r>
        <w:rPr>
          <w:rFonts w:ascii="URWPalladioL" w:hAnsi="URWPalladioL" w:eastAsia="URWPalladioL"/>
          <w:b w:val="0"/>
          <w:i w:val="0"/>
          <w:color w:val="000000"/>
          <w:sz w:val="14"/>
        </w:rPr>
        <w:t>MDPI stays neutral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5267"/>
        <w:gridCol w:w="5267"/>
      </w:tblGrid>
      <w:tr>
        <w:trPr>
          <w:trHeight w:hRule="exact" w:val="862"/>
        </w:trPr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16" w:right="0" w:hanging="2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 xml:space="preserve">with regard to jurisdictional claims in 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published maps and institutional affil-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iations.</w:t>
            </w:r>
          </w:p>
        </w:tc>
        <w:tc>
          <w:tcPr>
            <w:tcW w:type="dxa" w:w="8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70" w:val="left"/>
              </w:tabs>
              <w:autoSpaceDE w:val="0"/>
              <w:widowControl/>
              <w:spacing w:line="268" w:lineRule="exact" w:before="0" w:after="0"/>
              <w:ind w:left="146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/>
                <w:color w:val="000000"/>
                <w:sz w:val="20"/>
              </w:rPr>
              <w:t xml:space="preserve">The Idea of a Financial Risk Prediction Model 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>power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>financial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>risk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>prediction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>model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>is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>combination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>two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 xml:space="preserve">key 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>factors—values and economic situation, recognized in the introduction as two of the most</w:t>
            </w:r>
          </w:p>
        </w:tc>
      </w:tr>
    </w:tbl>
    <w:p>
      <w:pPr>
        <w:autoSpaceDN w:val="0"/>
        <w:autoSpaceDE w:val="0"/>
        <w:widowControl/>
        <w:spacing w:line="198" w:lineRule="exact" w:before="0" w:after="6"/>
        <w:ind w:left="0" w:right="2944" w:firstLine="0"/>
        <w:jc w:val="right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>important factors influencing financial decision-making.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1505"/>
        <w:gridCol w:w="1505"/>
        <w:gridCol w:w="1505"/>
        <w:gridCol w:w="1505"/>
        <w:gridCol w:w="1505"/>
        <w:gridCol w:w="1505"/>
        <w:gridCol w:w="1505"/>
      </w:tblGrid>
      <w:tr>
        <w:trPr>
          <w:trHeight w:hRule="exact" w:val="282"/>
        </w:trPr>
        <w:tc>
          <w:tcPr>
            <w:tcW w:type="dxa" w:w="250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457200</wp:posOffset>
                  </wp:positionH>
                  <wp:positionV relativeFrom="page">
                    <wp:posOffset>8357870</wp:posOffset>
                  </wp:positionV>
                  <wp:extent cx="720090" cy="251459"/>
                  <wp:wrapNone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25145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40" w:lineRule="exact" w:before="38" w:after="0"/>
              <w:ind w:left="16" w:right="114" w:firstLine="0"/>
              <w:jc w:val="both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14"/>
              </w:rPr>
              <w:t>Copyright: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©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2021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by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the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 xml:space="preserve">authors. 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Licensee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MDPI,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Basel,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 xml:space="preserve">Switzerland. 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This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article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is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an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open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access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article</w:t>
            </w:r>
          </w:p>
        </w:tc>
        <w:tc>
          <w:tcPr>
            <w:tcW w:type="dxa" w:w="80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57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>This model will enable helping professionals to:</w:t>
            </w:r>
          </w:p>
        </w:tc>
      </w:tr>
      <w:tr>
        <w:trPr>
          <w:trHeight w:hRule="exact" w:val="300"/>
        </w:trPr>
        <w:tc>
          <w:tcPr>
            <w:tcW w:type="dxa" w:w="7525"/>
            <w:gridSpan w:val="5"/>
            <w:vMerge/>
            <w:tcBorders/>
          </w:tcPr>
          <w:p/>
        </w:tc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6" w:after="0"/>
              <w:ind w:left="0" w:right="0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>1.</w:t>
            </w:r>
          </w:p>
        </w:tc>
        <w:tc>
          <w:tcPr>
            <w:tcW w:type="dxa" w:w="7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74" w:after="0"/>
              <w:ind w:left="326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>distinguish an individual’s economic situation and value type and predict his/her</w:t>
            </w:r>
          </w:p>
        </w:tc>
      </w:tr>
      <w:tr>
        <w:trPr>
          <w:trHeight w:hRule="exact" w:val="240"/>
        </w:trPr>
        <w:tc>
          <w:tcPr>
            <w:tcW w:type="dxa" w:w="7525"/>
            <w:gridSpan w:val="5"/>
            <w:vMerge/>
            <w:tcBorders/>
          </w:tcPr>
          <w:p/>
        </w:tc>
        <w:tc>
          <w:tcPr>
            <w:tcW w:type="dxa" w:w="80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606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>financial risk,</w:t>
            </w:r>
          </w:p>
        </w:tc>
      </w:tr>
      <w:tr>
        <w:trPr>
          <w:trHeight w:hRule="exact" w:val="340"/>
        </w:trPr>
        <w:tc>
          <w:tcPr>
            <w:tcW w:type="dxa" w:w="7525"/>
            <w:gridSpan w:val="5"/>
            <w:vMerge/>
            <w:tcBorders/>
          </w:tcPr>
          <w:p/>
        </w:tc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8" w:after="0"/>
              <w:ind w:left="0" w:right="0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>2.</w:t>
            </w:r>
          </w:p>
        </w:tc>
        <w:tc>
          <w:tcPr>
            <w:tcW w:type="dxa" w:w="7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8" w:after="0"/>
              <w:ind w:left="326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>to follow with either preventive measures or appropriate intervention.</w:t>
            </w:r>
          </w:p>
        </w:tc>
      </w:tr>
      <w:tr>
        <w:trPr>
          <w:trHeight w:hRule="exact" w:val="280"/>
        </w:trPr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9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distributed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9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under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9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the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9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terms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9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and</w:t>
            </w:r>
          </w:p>
        </w:tc>
        <w:tc>
          <w:tcPr>
            <w:tcW w:type="dxa" w:w="80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140" w:right="14" w:firstLine="424"/>
              <w:jc w:val="both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 xml:space="preserve">The presented model is not only profiling (as it allows professionals to identify the 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 xml:space="preserve">type of client based on their economic situation and value type), but it also gives helping 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 xml:space="preserve">professionals the possibility to predict the risk of poor financial decision making, leading 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>to a worsening of the living situation of a client.</w:t>
            </w:r>
          </w:p>
        </w:tc>
      </w:tr>
      <w:tr>
        <w:trPr>
          <w:trHeight w:hRule="exact" w:val="722"/>
        </w:trPr>
        <w:tc>
          <w:tcPr>
            <w:tcW w:type="dxa" w:w="25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4" w:right="0" w:firstLine="6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conditions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of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the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Creative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 xml:space="preserve">Commons 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Attribution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(CC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BY)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license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 xml:space="preserve">(https:// 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hyperlink r:id="rId19" w:history="1">
                <w:r>
                  <w:rPr>
                    <w:rStyle w:val="Hyperlink"/>
                  </w:rPr>
                  <w:t>creativecommons.org/licenses/by/</w:t>
                </w:r>
              </w:hyperlink>
            </w:r>
          </w:p>
        </w:tc>
        <w:tc>
          <w:tcPr>
            <w:tcW w:type="dxa" w:w="3010"/>
            <w:gridSpan w:val="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0" w:lineRule="exact" w:before="44" w:after="104"/>
        <w:ind w:left="14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14"/>
        </w:rPr>
        <w:t>4.0/).</w:t>
      </w:r>
    </w:p>
    <w:p>
      <w:pPr>
        <w:sectPr>
          <w:pgSz w:w="11906" w:h="16838"/>
          <w:pgMar w:top="464" w:right="666" w:bottom="190" w:left="7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2" w:lineRule="exact" w:before="18" w:after="0"/>
        <w:ind w:left="8" w:right="0" w:firstLine="0"/>
        <w:jc w:val="left"/>
      </w:pPr>
      <w:r>
        <w:rPr>
          <w:rFonts w:ascii="URWPalladioL" w:hAnsi="URWPalladioL" w:eastAsia="URWPalladioL"/>
          <w:b w:val="0"/>
          <w:i/>
          <w:color w:val="000000"/>
          <w:sz w:val="16"/>
        </w:rPr>
        <w:t>Risks</w:t>
      </w:r>
      <w:r>
        <w:rPr>
          <w:rFonts w:ascii="URWPalladioL" w:hAnsi="URWPalladioL" w:eastAsia="URWPalladioL"/>
          <w:b/>
          <w:i w:val="0"/>
          <w:color w:val="000000"/>
          <w:sz w:val="16"/>
        </w:rPr>
        <w:t xml:space="preserve"> 2021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,</w:t>
      </w:r>
      <w:r>
        <w:rPr>
          <w:rFonts w:ascii="URWPalladioL" w:hAnsi="URWPalladioL" w:eastAsia="URWPalladioL"/>
          <w:b w:val="0"/>
          <w:i/>
          <w:color w:val="000000"/>
          <w:sz w:val="16"/>
        </w:rPr>
        <w:t xml:space="preserve"> 9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, 205.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hyperlink r:id="rId17" w:history="1">
          <w:r>
            <w:rPr>
              <w:rStyle w:val="Hyperlink"/>
            </w:rPr>
            <w:t>https://doi.org/10.3390/risks9110205</w:t>
          </w:r>
        </w:hyperlink>
      </w:r>
    </w:p>
    <w:p>
      <w:pPr>
        <w:sectPr>
          <w:type w:val="continuous"/>
          <w:pgSz w:w="11906" w:h="16838"/>
          <w:pgMar w:top="464" w:right="666" w:bottom="190" w:left="706" w:header="720" w:footer="720" w:gutter="0"/>
          <w:cols w:num="2" w:equalWidth="0">
            <w:col w:w="5830" w:space="0"/>
            <w:col w:w="4704" w:space="0"/>
          </w:cols>
          <w:docGrid w:linePitch="360"/>
        </w:sectPr>
      </w:pPr>
    </w:p>
    <w:p>
      <w:pPr>
        <w:autoSpaceDN w:val="0"/>
        <w:autoSpaceDE w:val="0"/>
        <w:widowControl/>
        <w:spacing w:line="160" w:lineRule="exact" w:before="20" w:after="0"/>
        <w:ind w:left="0" w:right="94" w:firstLine="0"/>
        <w:jc w:val="right"/>
      </w:pPr>
      <w:r>
        <w:rPr>
          <w:rFonts w:ascii="URWPalladioL" w:hAnsi="URWPalladioL" w:eastAsia="URWPalladioL"/>
          <w:b w:val="0"/>
          <w:i w:val="0"/>
          <w:color w:val="000000"/>
          <w:sz w:val="16"/>
        </w:rPr>
        <w:hyperlink r:id="rId20" w:history="1">
          <w:r>
            <w:rPr>
              <w:rStyle w:val="Hyperlink"/>
            </w:rPr>
            <w:t>https://www.mdpi.com/journal/risks</w:t>
          </w:r>
        </w:hyperlink>
      </w:r>
    </w:p>
    <w:p>
      <w:pPr>
        <w:sectPr>
          <w:type w:val="nextColumn"/>
          <w:pgSz w:w="11906" w:h="16838"/>
          <w:pgMar w:top="464" w:right="666" w:bottom="190" w:left="706" w:header="720" w:footer="720" w:gutter="0"/>
          <w:cols w:num="2" w:equalWidth="0">
            <w:col w:w="5830" w:space="0"/>
            <w:col w:w="4704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5263"/>
        <w:gridCol w:w="5263"/>
      </w:tblGrid>
      <w:tr>
        <w:trPr>
          <w:trHeight w:hRule="exact" w:val="272"/>
        </w:trPr>
        <w:tc>
          <w:tcPr>
            <w:tcW w:type="dxa" w:w="558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0" w:after="0"/>
              <w:ind w:left="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/>
                <w:color w:val="000000"/>
                <w:sz w:val="16"/>
              </w:rPr>
              <w:t>Risks</w:t>
            </w:r>
            <w:r>
              <w:rPr>
                <w:rFonts w:ascii="URWPalladioL" w:hAnsi="URWPalladioL" w:eastAsia="URWPalladioL"/>
                <w:b/>
                <w:i w:val="0"/>
                <w:color w:val="000000"/>
                <w:sz w:val="16"/>
              </w:rPr>
              <w:t xml:space="preserve"> 2021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,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6"/>
              </w:rPr>
              <w:t xml:space="preserve"> 9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, 205</w:t>
            </w:r>
          </w:p>
        </w:tc>
        <w:tc>
          <w:tcPr>
            <w:tcW w:type="dxa" w:w="489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" w:after="0"/>
              <w:ind w:left="0" w:right="4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2 of 24</w:t>
            </w:r>
          </w:p>
        </w:tc>
      </w:tr>
    </w:tbl>
    <w:p>
      <w:pPr>
        <w:autoSpaceDN w:val="0"/>
        <w:autoSpaceDE w:val="0"/>
        <w:widowControl/>
        <w:spacing w:line="250" w:lineRule="exact" w:before="530" w:after="0"/>
        <w:ind w:left="2622" w:right="0" w:firstLine="424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motivation behind this paper was our theoretical assumption that values and </w:t>
      </w:r>
      <w:r>
        <w:rPr>
          <w:w w:val="98.9763069152832"/>
          <w:rFonts w:ascii="URWPalladioL" w:hAnsi="URWPalladioL" w:eastAsia="URWPalladioL"/>
          <w:b w:val="0"/>
          <w:i w:val="0"/>
          <w:color w:val="000000"/>
          <w:sz w:val="20"/>
        </w:rPr>
        <w:t>economic behaviour influence each other, and this influence is statistically significant.</w:t>
      </w:r>
      <w:r>
        <w:rPr>
          <w:w w:val="98.9763069152832"/>
          <w:rFonts w:ascii="URWPalladioL" w:hAnsi="URWPalladioL" w:eastAsia="URWPalladioL"/>
          <w:b w:val="0"/>
          <w:i w:val="0"/>
          <w:color w:val="000000"/>
          <w:sz w:val="20"/>
        </w:rPr>
        <w:t xml:space="preserve">Our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first research aim was to confirm this influence.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Further, we understood that this relation-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ship between values and economic behaviour could be implemented in form of a model,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usable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diagnostic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tool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in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practice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of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social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work,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counselling,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social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pedagogy,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psychology,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other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helping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professions.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Part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of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our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motivation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was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our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endeavour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to translate our logical model building knowledge in the practice and our aspiration to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fill the gap between theory and practice in the field of diagnosis in helping professions.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While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doing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literature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review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for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this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paper,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we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realized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how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big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lack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of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logical </w:t>
      </w:r>
      <w:r>
        <w:rPr>
          <w:w w:val="98.9763069152832"/>
          <w:rFonts w:ascii="URWPalladioL" w:hAnsi="URWPalladioL" w:eastAsia="URWPalladioL"/>
          <w:b w:val="0"/>
          <w:i w:val="0"/>
          <w:color w:val="000000"/>
          <w:sz w:val="20"/>
        </w:rPr>
        <w:t xml:space="preserve">model building in social sciences is and how slowly modelling habits in social sciences are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changing (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Taagepera 2008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).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Helping professions could benefit significantly from statistical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modelling—exploring the possible relationships between variables through simple and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partial correlations, transformed into a useful specific mathematically oriented equation-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based model.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expansion of different modelling approaches in helping professions is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one of the challenges researchers and practitioners need to deal with.</w:t>
      </w:r>
    </w:p>
    <w:p>
      <w:pPr>
        <w:autoSpaceDN w:val="0"/>
        <w:autoSpaceDE w:val="0"/>
        <w:widowControl/>
        <w:spacing w:line="250" w:lineRule="exact" w:before="2" w:after="0"/>
        <w:ind w:left="2626" w:right="54" w:firstLine="430"/>
        <w:jc w:val="both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Our model can be transformed into a practical, user-friendly application for helping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professionals and it can serve as a diagnostic tool in case they need to predict their client’s 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financial risk.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Precise diagnosis serves as a guiding tool for helping professionals to choose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 most effective intervention.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Choosing the interventions from which an individual can 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benefit the most and in possibly the shortest period of time, translates into cost-effectiveness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in all helping professions (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Dew et al. 2020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).</w:t>
      </w:r>
    </w:p>
    <w:p>
      <w:pPr>
        <w:autoSpaceDN w:val="0"/>
        <w:autoSpaceDE w:val="0"/>
        <w:widowControl/>
        <w:spacing w:line="200" w:lineRule="exact" w:before="248" w:after="0"/>
        <w:ind w:left="0" w:right="6052" w:firstLine="0"/>
        <w:jc w:val="right"/>
      </w:pPr>
      <w:r>
        <w:rPr>
          <w:rFonts w:ascii="URWPalladioL" w:hAnsi="URWPalladioL" w:eastAsia="URWPalladioL"/>
          <w:b/>
          <w:i w:val="0"/>
          <w:color w:val="000000"/>
          <w:sz w:val="20"/>
        </w:rPr>
        <w:t>2.</w:t>
      </w:r>
      <w:r>
        <w:rPr>
          <w:rFonts w:ascii="URWPalladioL" w:hAnsi="URWPalladioL" w:eastAsia="URWPalladioL"/>
          <w:b/>
          <w:i w:val="0"/>
          <w:color w:val="000000"/>
          <w:sz w:val="20"/>
        </w:rPr>
        <w:t>Literature Review</w:t>
      </w:r>
    </w:p>
    <w:p>
      <w:pPr>
        <w:autoSpaceDN w:val="0"/>
        <w:autoSpaceDE w:val="0"/>
        <w:widowControl/>
        <w:spacing w:line="252" w:lineRule="exact" w:before="60" w:after="0"/>
        <w:ind w:left="2632" w:right="54" w:firstLine="424"/>
        <w:jc w:val="both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Financial responsibility is not defined strictly; most definitions come from the fields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of business finance and business ethics.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In general, people, able to consider their income </w:t>
      </w:r>
      <w:r>
        <w:rPr>
          <w:w w:val="98.9261531829834"/>
          <w:rFonts w:ascii="URWPalladioL" w:hAnsi="URWPalladioL" w:eastAsia="URWPalladioL"/>
          <w:b w:val="0"/>
          <w:i w:val="0"/>
          <w:color w:val="000000"/>
          <w:sz w:val="20"/>
        </w:rPr>
        <w:t xml:space="preserve">and determine how much of that income would be appropriate to allocate to expenses, are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considered financially responsible (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van Raaij 2016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).</w:t>
      </w:r>
    </w:p>
    <w:p>
      <w:pPr>
        <w:autoSpaceDN w:val="0"/>
        <w:autoSpaceDE w:val="0"/>
        <w:widowControl/>
        <w:spacing w:line="252" w:lineRule="exact" w:before="0" w:after="0"/>
        <w:ind w:left="2622" w:right="0" w:firstLine="424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>We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assume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that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financially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responsible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people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know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where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their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money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going;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they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have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financial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budget,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so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they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know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exactly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what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they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can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afford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to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buy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and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what they should not buy, what they need, or what they do not need.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Being financially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responsible means creating a financial reserve, spending less money than an individual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can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earn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(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van Raaij 2016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)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in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case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of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debt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to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fulfill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financial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obligations.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Financially 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responsible individuals are not afraid to seek help and advice when they need it.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According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to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 xml:space="preserve"> Fan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 (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2021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)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 financial advice-seeking behaviour is closely related to age and short- and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long-term financial behaviour.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It is not rare that financially responsible individuals also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let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their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wealth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grow,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so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they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use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any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wealth-building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strategy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to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become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financially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independent.</w:t>
      </w:r>
    </w:p>
    <w:p>
      <w:pPr>
        <w:autoSpaceDN w:val="0"/>
        <w:autoSpaceDE w:val="0"/>
        <w:widowControl/>
        <w:spacing w:line="252" w:lineRule="exact" w:before="0" w:after="0"/>
        <w:ind w:left="2622" w:right="0" w:firstLine="424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A critical component, which determines personal and household financial decisions, 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including investment in risky assets, is also risk tolerance (</w:t>
      </w:r>
      <w:r>
        <w:rPr>
          <w:w w:val="98.62470626831055"/>
          <w:rFonts w:ascii="URWPalladioL" w:hAnsi="URWPalladioL" w:eastAsia="URWPalladioL"/>
          <w:b w:val="0"/>
          <w:i w:val="0"/>
          <w:color w:val="0875B7"/>
          <w:sz w:val="20"/>
        </w:rPr>
        <w:t>Xiao et al. 2001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).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Risk tolerance is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 person’s attitude towards accepting risk (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Hallahan et al. 2004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).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It can be described as the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level of a person’s loss he/she is prepared to handle.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Factors such as gender, age, marital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status, occupation, income may influence a person’s level of risk-taking (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Fisher 2009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;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 xml:space="preserve"> Yao 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et al. 2011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;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 xml:space="preserve"> Jacobs-Lawson and Hershey 2005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;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 xml:space="preserve"> Grable 2000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).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Financial risk tolerance is also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 significant predictor of investment and saving strategies (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 xml:space="preserve">Jacobs-Lawson and Hershey 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2005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).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Wealthy individuals can easily afford the losses resulting from a risky investment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and their accumulated wealth can reflect their preferred level of risk.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However, wealthy 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people may be more conservative with their money than people with low levels of personal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wealth who may view risky investments as a form of a lottery ticket (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Hallahan et al. 2004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).</w:t>
      </w:r>
    </w:p>
    <w:p>
      <w:pPr>
        <w:autoSpaceDN w:val="0"/>
        <w:autoSpaceDE w:val="0"/>
        <w:widowControl/>
        <w:spacing w:line="250" w:lineRule="exact" w:before="2" w:after="0"/>
        <w:ind w:left="2632" w:right="34" w:firstLine="424"/>
        <w:jc w:val="both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For the purpose of our paper, we understand financial responsibility as one of the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components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of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financial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behaviour.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According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to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our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opinion,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financial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behaviour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is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related to financial decisions, which people make and are strongly connected with their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needs.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Good financial decisions go hand in hand with responsible behaviour.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Financial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behaviour is closely connected with financial capability (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Xiao et al. 2014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).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Taylor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 (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2011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) 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defines financial capability as people’s ability to manage their money and to take control of</w:t>
      </w:r>
    </w:p>
    <w:p>
      <w:pPr>
        <w:sectPr>
          <w:pgSz w:w="11906" w:h="16838"/>
          <w:pgMar w:top="538" w:right="666" w:bottom="698" w:left="7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5282"/>
        <w:gridCol w:w="5282"/>
      </w:tblGrid>
      <w:tr>
        <w:trPr>
          <w:trHeight w:hRule="exact" w:val="272"/>
        </w:trPr>
        <w:tc>
          <w:tcPr>
            <w:tcW w:type="dxa" w:w="558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0" w:after="0"/>
              <w:ind w:left="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/>
                <w:color w:val="000000"/>
                <w:sz w:val="16"/>
              </w:rPr>
              <w:t>Risks</w:t>
            </w:r>
            <w:r>
              <w:rPr>
                <w:rFonts w:ascii="URWPalladioL" w:hAnsi="URWPalladioL" w:eastAsia="URWPalladioL"/>
                <w:b/>
                <w:i w:val="0"/>
                <w:color w:val="000000"/>
                <w:sz w:val="16"/>
              </w:rPr>
              <w:t xml:space="preserve"> 2021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,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6"/>
              </w:rPr>
              <w:t xml:space="preserve"> 9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, 205</w:t>
            </w:r>
          </w:p>
        </w:tc>
        <w:tc>
          <w:tcPr>
            <w:tcW w:type="dxa" w:w="489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" w:after="0"/>
              <w:ind w:left="0" w:right="4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3 of 24</w:t>
            </w:r>
          </w:p>
        </w:tc>
      </w:tr>
    </w:tbl>
    <w:p>
      <w:pPr>
        <w:autoSpaceDN w:val="0"/>
        <w:autoSpaceDE w:val="0"/>
        <w:widowControl/>
        <w:spacing w:line="252" w:lineRule="exact" w:before="564" w:after="0"/>
        <w:ind w:left="2622" w:right="84" w:firstLine="0"/>
        <w:jc w:val="both"/>
      </w:pPr>
      <w:r>
        <w:rPr>
          <w:w w:val="98.9261531829834"/>
          <w:rFonts w:ascii="URWPalladioL" w:hAnsi="URWPalladioL" w:eastAsia="URWPalladioL"/>
          <w:b w:val="0"/>
          <w:i w:val="0"/>
          <w:color w:val="000000"/>
          <w:sz w:val="20"/>
        </w:rPr>
        <w:t>their finances.</w:t>
      </w:r>
      <w:r>
        <w:rPr>
          <w:w w:val="98.9261531829834"/>
          <w:rFonts w:ascii="URWPalladioL" w:hAnsi="URWPalladioL" w:eastAsia="URWPalladioL"/>
          <w:b w:val="0"/>
          <w:i w:val="0"/>
          <w:color w:val="000000"/>
          <w:sz w:val="20"/>
        </w:rPr>
        <w:t xml:space="preserve">We see connections between financial responsibility and financial capability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in the sense that financially responsible individuals are usually also financially capable </w:t>
      </w:r>
      <w:r>
        <w:rPr>
          <w:w w:val="98.67501258850098"/>
          <w:rFonts w:ascii="URWPalladioL" w:hAnsi="URWPalladioL" w:eastAsia="URWPalladioL"/>
          <w:b w:val="0"/>
          <w:i w:val="0"/>
          <w:color w:val="000000"/>
          <w:sz w:val="20"/>
        </w:rPr>
        <w:t>individuals.</w:t>
      </w:r>
      <w:r>
        <w:rPr>
          <w:w w:val="98.67501258850098"/>
          <w:rFonts w:ascii="URWPalladioL" w:hAnsi="URWPalladioL" w:eastAsia="URWPalladioL"/>
          <w:b w:val="0"/>
          <w:i w:val="0"/>
          <w:color w:val="000000"/>
          <w:sz w:val="20"/>
        </w:rPr>
        <w:t xml:space="preserve">Last but not least, responsible financial behaviour improves personal financial 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well-being (</w:t>
      </w:r>
      <w:r>
        <w:rPr>
          <w:w w:val="98.62470626831055"/>
          <w:rFonts w:ascii="URWPalladioL" w:hAnsi="URWPalladioL" w:eastAsia="URWPalladioL"/>
          <w:b w:val="0"/>
          <w:i w:val="0"/>
          <w:color w:val="0875B7"/>
          <w:sz w:val="20"/>
        </w:rPr>
        <w:t>van Raaij 2016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).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Money attitudes play a key role in financial risk tolerance, thus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in financial well-being (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Castro-Gonz</w:t>
      </w:r>
      <w:r>
        <w:rPr>
          <w:rFonts w:ascii="VnURWPalladioL" w:hAnsi="VnURWPalladioL" w:eastAsia="VnURWPalladioL"/>
          <w:b w:val="0"/>
          <w:i w:val="0"/>
          <w:color w:val="0875B7"/>
          <w:sz w:val="20"/>
        </w:rPr>
        <w:t>á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lez et al. 2020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).</w:t>
      </w:r>
    </w:p>
    <w:p>
      <w:pPr>
        <w:autoSpaceDN w:val="0"/>
        <w:autoSpaceDE w:val="0"/>
        <w:widowControl/>
        <w:spacing w:line="252" w:lineRule="exact" w:before="0" w:after="0"/>
        <w:ind w:left="2632" w:right="84" w:firstLine="424"/>
        <w:jc w:val="both"/>
      </w:pP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Understanding how to borrow, spend and save is one of the keys to individual, family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and community well-being (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Williams and Satchell 2011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).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To sustain life quality, perceived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by an individual as optimal, financial decision-making should be responsible, in order to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avoid financial risks, leading to the worsening of an individual’s living situation.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There is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an expanding offer of complex financial services and products people are challenged to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understand and use every day (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Lind et al. 2020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).</w:t>
      </w:r>
    </w:p>
    <w:p>
      <w:pPr>
        <w:autoSpaceDN w:val="0"/>
        <w:autoSpaceDE w:val="0"/>
        <w:widowControl/>
        <w:spacing w:line="250" w:lineRule="exact" w:before="0" w:after="0"/>
        <w:ind w:left="2632" w:right="0" w:firstLine="424"/>
        <w:jc w:val="left"/>
      </w:pP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Well-being is a complex phenomenon which can be understood and measured through 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its three pillars—material living conditions (or economic well-being), quality of life and the 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sustainability of the socio-economic and natural systems (</w:t>
      </w:r>
      <w:r>
        <w:rPr>
          <w:w w:val="98.62470626831055"/>
          <w:rFonts w:ascii="URWPalladioL" w:hAnsi="URWPalladioL" w:eastAsia="URWPalladioL"/>
          <w:b w:val="0"/>
          <w:i w:val="0"/>
          <w:color w:val="0875B7"/>
          <w:sz w:val="20"/>
        </w:rPr>
        <w:t>OECD 2013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).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Academics agree on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 importance of material or financial well-being to overall human well-being.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There are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three components always present in considering material or financial well-being—income,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consumption and wealth (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Sirgy 2018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).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Well-being of an individual can be changed in case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of any life crises, expected or unexpected.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To sustain desired well-being, an individual’s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financial decision-making will be mostly influenced by value preferences.</w:t>
      </w:r>
    </w:p>
    <w:p>
      <w:pPr>
        <w:autoSpaceDN w:val="0"/>
        <w:autoSpaceDE w:val="0"/>
        <w:widowControl/>
        <w:spacing w:line="250" w:lineRule="exact" w:before="2" w:after="0"/>
        <w:ind w:left="2632" w:right="0" w:firstLine="424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Financial well-being can be described as peoples’ own perspectives on their financial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situation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(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Strömbäck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et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al.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2017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).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It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relates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to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health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(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Kim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et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al.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2003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;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Arber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et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al.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2014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)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psychological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well-being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(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Netemeyer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et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al.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2018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).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Some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authors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(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Lind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et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al.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2020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; </w:t>
      </w:r>
      <w:r>
        <w:rPr>
          <w:w w:val="98.62470626831055"/>
          <w:rFonts w:ascii="URWPalladioL" w:hAnsi="URWPalladioL" w:eastAsia="URWPalladioL"/>
          <w:b w:val="0"/>
          <w:i w:val="0"/>
          <w:color w:val="0875B7"/>
          <w:sz w:val="20"/>
        </w:rPr>
        <w:t>Netemeyer et al. 2018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) divide financial well-being into two parts: 1.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financial anxiety, which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corresponds to the present financial situation and 2.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financial security, which corresponds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to the future financial situation.</w:t>
      </w:r>
    </w:p>
    <w:p>
      <w:pPr>
        <w:autoSpaceDN w:val="0"/>
        <w:autoSpaceDE w:val="0"/>
        <w:widowControl/>
        <w:spacing w:line="250" w:lineRule="exact" w:before="2" w:after="0"/>
        <w:ind w:left="2626" w:right="0" w:firstLine="424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>We assume that financial well-being is closely linked to financial responsibility (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 xml:space="preserve">van 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Raaij 2016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) and financial knowledge (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Taft et al. 2013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).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With sufficient financial knowledge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and financial responsibility, there is a bigger chance for individuals to be financially inde-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pendent, happier and satisfied.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Lack of financial knowledge and financial responsibility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can lead to risky behaviour and can have negative effects on an individual’s wealth.</w:t>
      </w:r>
    </w:p>
    <w:p>
      <w:pPr>
        <w:autoSpaceDN w:val="0"/>
        <w:autoSpaceDE w:val="0"/>
        <w:widowControl/>
        <w:spacing w:line="252" w:lineRule="exact" w:before="0" w:after="0"/>
        <w:ind w:left="2622" w:right="84" w:firstLine="424"/>
        <w:jc w:val="both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>Fundamental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financial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knowledge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defined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central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component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of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financial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literacy (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Hung et al. 2009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;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 xml:space="preserve"> Nejad and Javid 2018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).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interest of researchers in financial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literacy has recently grown—the concept crosses many diverse fields of the social sciences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(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Williams and Satchell 2011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).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Many studies try to explicate the concept of financial literacy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and how it can be measured and as a result, financial literacy is defined in many different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ways (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Hung et al. 2009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;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 xml:space="preserve"> Mudzingiri et al. 2018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;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 xml:space="preserve"> Ouachani et al. 2021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;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 xml:space="preserve"> Remund 2010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;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 xml:space="preserve"> Vural 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and Beichar 2020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).</w:t>
      </w:r>
    </w:p>
    <w:p>
      <w:pPr>
        <w:autoSpaceDN w:val="0"/>
        <w:autoSpaceDE w:val="0"/>
        <w:widowControl/>
        <w:spacing w:line="198" w:lineRule="exact" w:before="52" w:after="0"/>
        <w:ind w:left="0" w:right="686" w:firstLine="0"/>
        <w:jc w:val="right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>The conceptual definitions of financial literacy and its components vary from:</w:t>
      </w:r>
    </w:p>
    <w:p>
      <w:pPr>
        <w:autoSpaceDN w:val="0"/>
        <w:tabs>
          <w:tab w:pos="3022" w:val="left"/>
          <w:tab w:pos="3052" w:val="left"/>
        </w:tabs>
        <w:autoSpaceDE w:val="0"/>
        <w:widowControl/>
        <w:spacing w:line="254" w:lineRule="exact" w:before="44" w:after="0"/>
        <w:ind w:left="2634" w:right="0" w:firstLine="0"/>
        <w:jc w:val="left"/>
      </w:pPr>
      <w:r>
        <w:rPr>
          <w:w w:val="98.86761619931175"/>
          <w:rFonts w:ascii="CMSY10" w:hAnsi="CMSY10" w:eastAsia="CMSY10"/>
          <w:b w:val="0"/>
          <w:i/>
          <w:color w:val="000000"/>
          <w:sz w:val="21"/>
        </w:rPr>
        <w:t>•</w:t>
      </w:r>
      <w:r>
        <w:tab/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most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basic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understanding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of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“a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person’s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competency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for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managing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money”,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“financial knowledge, perceived knowledge, financial behaviour and financial skills”</w:t>
      </w:r>
      <w:r>
        <w:tab/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and “understanding market principles, instruments, organizations and regulations”;</w:t>
      </w:r>
      <w:r>
        <w:rPr>
          <w:w w:val="98.86761619931175"/>
          <w:rFonts w:ascii="CMSY10" w:hAnsi="CMSY10" w:eastAsia="CMSY10"/>
          <w:b w:val="0"/>
          <w:i/>
          <w:color w:val="000000"/>
          <w:sz w:val="21"/>
        </w:rPr>
        <w:t>•</w:t>
      </w:r>
      <w:r>
        <w:tab/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through “familiarity with basic economic principles, knowledge of national economy </w:t>
      </w:r>
      <w:r>
        <w:tab/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and understanding of key economic terms”;</w:t>
      </w:r>
      <w:r>
        <w:br/>
      </w:r>
      <w:r>
        <w:rPr>
          <w:w w:val="98.86761619931175"/>
          <w:rFonts w:ascii="CMSY10" w:hAnsi="CMSY10" w:eastAsia="CMSY10"/>
          <w:b w:val="0"/>
          <w:i/>
          <w:color w:val="000000"/>
          <w:sz w:val="21"/>
        </w:rPr>
        <w:t>•</w:t>
      </w:r>
      <w:r>
        <w:br/>
      </w:r>
      <w:r>
        <w:tab/>
      </w:r>
      <w:r>
        <w:tab/>
      </w:r>
      <w:r>
        <w:rPr>
          <w:w w:val="98.72529029846191"/>
          <w:rFonts w:ascii="URWPalladioL" w:hAnsi="URWPalladioL" w:eastAsia="URWPalladioL"/>
          <w:b w:val="0"/>
          <w:i w:val="0"/>
          <w:color w:val="000000"/>
          <w:sz w:val="20"/>
        </w:rPr>
        <w:t xml:space="preserve">to “familiarity with the most basic economic concepts needed to make sensible saving </w:t>
      </w:r>
      <w:r>
        <w:tab/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and investment decisions” (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Hung et al. 2009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;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 xml:space="preserve"> Remund 2010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).</w:t>
      </w:r>
    </w:p>
    <w:p>
      <w:pPr>
        <w:autoSpaceDN w:val="0"/>
        <w:tabs>
          <w:tab w:pos="3056" w:val="left"/>
        </w:tabs>
        <w:autoSpaceDE w:val="0"/>
        <w:widowControl/>
        <w:spacing w:line="252" w:lineRule="exact" w:before="58" w:after="0"/>
        <w:ind w:left="2632" w:right="0" w:firstLine="0"/>
        <w:jc w:val="left"/>
      </w:pP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Whatever definition is chosen, there are three essential factors interrelated—knowledge,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experience and attitude in each of them (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Hogarth and Hilgert 2002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).</w:t>
      </w:r>
    </w:p>
    <w:p>
      <w:pPr>
        <w:autoSpaceDN w:val="0"/>
        <w:autoSpaceDE w:val="0"/>
        <w:widowControl/>
        <w:spacing w:line="250" w:lineRule="exact" w:before="2" w:after="0"/>
        <w:ind w:left="2624" w:right="92" w:firstLine="424"/>
        <w:jc w:val="both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Individuals, trying to improve their welfare need to be financially literate, thus be </w:t>
      </w:r>
      <w:r>
        <w:rPr>
          <w:w w:val="98.82577896118164"/>
          <w:rFonts w:ascii="URWPalladioL" w:hAnsi="URWPalladioL" w:eastAsia="URWPalladioL"/>
          <w:b w:val="0"/>
          <w:i w:val="0"/>
          <w:color w:val="000000"/>
          <w:sz w:val="20"/>
        </w:rPr>
        <w:t>able to use their financial knowledge (</w:t>
      </w:r>
      <w:r>
        <w:rPr>
          <w:w w:val="98.82577896118164"/>
          <w:rFonts w:ascii="URWPalladioL" w:hAnsi="URWPalladioL" w:eastAsia="URWPalladioL"/>
          <w:b w:val="0"/>
          <w:i w:val="0"/>
          <w:color w:val="0875B7"/>
          <w:sz w:val="20"/>
        </w:rPr>
        <w:t>Mudzingiri et al. 2018</w:t>
      </w:r>
      <w:r>
        <w:rPr>
          <w:w w:val="98.82577896118164"/>
          <w:rFonts w:ascii="URWPalladioL" w:hAnsi="URWPalladioL" w:eastAsia="URWPalladioL"/>
          <w:b w:val="0"/>
          <w:i w:val="0"/>
          <w:color w:val="000000"/>
          <w:sz w:val="20"/>
        </w:rPr>
        <w:t>).</w:t>
      </w:r>
      <w:r>
        <w:rPr>
          <w:w w:val="98.82577896118164"/>
          <w:rFonts w:ascii="URWPalladioL" w:hAnsi="URWPalladioL" w:eastAsia="URWPalladioL"/>
          <w:b w:val="0"/>
          <w:i w:val="0"/>
          <w:color w:val="000000"/>
          <w:sz w:val="20"/>
        </w:rPr>
        <w:t xml:space="preserve">Based on our knowledge we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are able to make informed decisions.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With lower levels of knowledge, one may consider it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difficult to make the right choice due to the potential for a mistake or simply confusion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(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Ellen 1994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)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On the other hand, having financial knowledge and being able to apply it are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very different things (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Blue and Grootenboer 2019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).</w:t>
      </w:r>
    </w:p>
    <w:p>
      <w:pPr>
        <w:sectPr>
          <w:pgSz w:w="11906" w:h="16838"/>
          <w:pgMar w:top="538" w:right="628" w:bottom="748" w:left="7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5265"/>
        <w:gridCol w:w="5265"/>
      </w:tblGrid>
      <w:tr>
        <w:trPr>
          <w:trHeight w:hRule="exact" w:val="272"/>
        </w:trPr>
        <w:tc>
          <w:tcPr>
            <w:tcW w:type="dxa" w:w="558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0" w:after="0"/>
              <w:ind w:left="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/>
                <w:color w:val="000000"/>
                <w:sz w:val="16"/>
              </w:rPr>
              <w:t>Risks</w:t>
            </w:r>
            <w:r>
              <w:rPr>
                <w:rFonts w:ascii="URWPalladioL" w:hAnsi="URWPalladioL" w:eastAsia="URWPalladioL"/>
                <w:b/>
                <w:i w:val="0"/>
                <w:color w:val="000000"/>
                <w:sz w:val="16"/>
              </w:rPr>
              <w:t xml:space="preserve"> 2021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,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6"/>
              </w:rPr>
              <w:t xml:space="preserve"> 9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, 205</w:t>
            </w:r>
          </w:p>
        </w:tc>
        <w:tc>
          <w:tcPr>
            <w:tcW w:type="dxa" w:w="489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" w:after="0"/>
              <w:ind w:left="0" w:right="4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4 of 24</w:t>
            </w:r>
          </w:p>
        </w:tc>
      </w:tr>
    </w:tbl>
    <w:p>
      <w:pPr>
        <w:autoSpaceDN w:val="0"/>
        <w:autoSpaceDE w:val="0"/>
        <w:widowControl/>
        <w:spacing w:line="250" w:lineRule="exact" w:before="568" w:after="0"/>
        <w:ind w:left="2626" w:right="58" w:firstLine="424"/>
        <w:jc w:val="both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>With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reference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to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our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financial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risk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prediction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model,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we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were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working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with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concept of objective financial knowledge, which is being described as a competence, and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can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be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assessed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by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using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knowledge-based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questions—standard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financial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literacy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test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questions (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Lind et al. 2020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;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 xml:space="preserve"> Lusardi 2012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).</w:t>
      </w:r>
    </w:p>
    <w:p>
      <w:pPr>
        <w:autoSpaceDN w:val="0"/>
        <w:autoSpaceDE w:val="0"/>
        <w:widowControl/>
        <w:spacing w:line="250" w:lineRule="exact" w:before="0" w:after="0"/>
        <w:ind w:left="2624" w:right="0" w:firstLine="424"/>
        <w:jc w:val="left"/>
      </w:pP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There are many studies on measuring objective knowledge; the knowledge scales were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developed to assess either very broad levels of knowledge or a more specific knowledge.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Published research and studies show a positive correlation between financial knowledge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and proactive approaches around financial decisions—borrowing and paying behaviours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(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Lind et al. 2020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;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 xml:space="preserve"> Lusardi 2012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).</w:t>
      </w:r>
    </w:p>
    <w:p>
      <w:pPr>
        <w:autoSpaceDN w:val="0"/>
        <w:autoSpaceDE w:val="0"/>
        <w:widowControl/>
        <w:spacing w:line="250" w:lineRule="exact" w:before="0" w:after="0"/>
        <w:ind w:left="2622" w:right="0" w:firstLine="434"/>
        <w:jc w:val="left"/>
      </w:pP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We suppose that values play an important role in the financial decisions of individuals, </w:t>
      </w:r>
      <w:r>
        <w:rPr>
          <w:w w:val="98.9763069152832"/>
          <w:rFonts w:ascii="URWPalladioL" w:hAnsi="URWPalladioL" w:eastAsia="URWPalladioL"/>
          <w:b w:val="0"/>
          <w:i w:val="0"/>
          <w:color w:val="000000"/>
          <w:sz w:val="20"/>
        </w:rPr>
        <w:t>which have a resulting impact on their financial behaviour.</w:t>
      </w:r>
      <w:r>
        <w:rPr>
          <w:w w:val="98.9763069152832"/>
          <w:rFonts w:ascii="URWPalladioL" w:hAnsi="URWPalladioL" w:eastAsia="URWPalladioL"/>
          <w:b w:val="0"/>
          <w:i w:val="0"/>
          <w:color w:val="000000"/>
          <w:sz w:val="20"/>
        </w:rPr>
        <w:t xml:space="preserve">Values can help us understand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and predict the behaviour of people.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That is also why we included values in our research.</w:t>
      </w:r>
    </w:p>
    <w:p>
      <w:pPr>
        <w:autoSpaceDN w:val="0"/>
        <w:autoSpaceDE w:val="0"/>
        <w:widowControl/>
        <w:spacing w:line="252" w:lineRule="exact" w:before="0" w:after="0"/>
        <w:ind w:left="2626" w:right="0" w:firstLine="424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concept of ‘value’ has been discussed in philosophy, theology and social sciences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for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over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one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hundred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years.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We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consider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thesis,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formulated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for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first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time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by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philosopher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Lotze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(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1856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),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that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values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in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human’s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life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are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key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to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solving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ethical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decisions, as well as to building and understanding culture, which is still valid.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During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20th century there came into existence many tools for values research, and there were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many authors devoted to the research of values (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Allport et al. 1960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;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 xml:space="preserve"> Rokeach 1968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,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 xml:space="preserve"> 1973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; 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Schwartz and Bilsky 1987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,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 xml:space="preserve"> 1990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;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 xml:space="preserve"> Schwartz 1992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;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 xml:space="preserve"> Inglehart 2021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;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 xml:space="preserve"> ESS 2021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).</w:t>
      </w:r>
    </w:p>
    <w:p>
      <w:pPr>
        <w:autoSpaceDN w:val="0"/>
        <w:autoSpaceDE w:val="0"/>
        <w:widowControl/>
        <w:spacing w:line="250" w:lineRule="exact" w:before="2" w:after="0"/>
        <w:ind w:left="2624" w:right="50" w:firstLine="424"/>
        <w:jc w:val="both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>In literature,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financial behaviour is usually connected with material values,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which </w:t>
      </w:r>
      <w:r>
        <w:rPr>
          <w:w w:val="98.9763069152832"/>
          <w:rFonts w:ascii="URWPalladioL" w:hAnsi="URWPalladioL" w:eastAsia="URWPalladioL"/>
          <w:b w:val="0"/>
          <w:i w:val="0"/>
          <w:color w:val="000000"/>
          <w:sz w:val="20"/>
        </w:rPr>
        <w:t xml:space="preserve">can be defined as personal beliefs about the importance of material goods and possessions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(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Richins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1999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).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According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to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Richins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and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Dawson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(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1992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)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possessions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are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means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to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happiness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an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indicator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of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one’s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own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others’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success.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For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measuring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material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values, we can use the material value scale (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Richins 2004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).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Material values are linked with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concept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of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materialism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relate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to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financial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security,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but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they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are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not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necessarily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connected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with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actual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savings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behaviour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(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Hjalmarson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2005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),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which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in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most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cases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a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prerequisite for financial security.</w:t>
      </w:r>
    </w:p>
    <w:p>
      <w:pPr>
        <w:autoSpaceDN w:val="0"/>
        <w:autoSpaceDE w:val="0"/>
        <w:widowControl/>
        <w:spacing w:line="252" w:lineRule="exact" w:before="0" w:after="0"/>
        <w:ind w:left="2622" w:right="0" w:firstLine="424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Material values are different from personal values, yet there is a connection between 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them. The possessions people perceive as important in their lives often reflect their personal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values (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Richins 1994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).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We assume the influence of the values on risky behaviour is much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more complex and reaches farther than only the material world.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influence of values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is strong in the whole complexity of decision making in everyday situations and it is not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only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connected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primarily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to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material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things.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That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why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we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looked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for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much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wider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instrument to measure the values, which allowed us to cover most situations in everyday 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life.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For this purpose, the most suitable was to use a well-known value itinerary.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In our case,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we decided to use a slightly adjusted Rokeach’s itineraries of terminal and instrumental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values (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Rokeach 1973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).</w:t>
      </w:r>
    </w:p>
    <w:p>
      <w:pPr>
        <w:autoSpaceDN w:val="0"/>
        <w:autoSpaceDE w:val="0"/>
        <w:widowControl/>
        <w:spacing w:line="250" w:lineRule="exact" w:before="2" w:after="0"/>
        <w:ind w:left="2622" w:right="0" w:firstLine="424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original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Rokeach’s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Value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Survey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(RVS)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contains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18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terminal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values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18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in-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strumental values (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Rokeach 1973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,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 xml:space="preserve"> 1968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;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 xml:space="preserve"> Johnston 1995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).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basic usage of the itinerary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of values lies in the arrangement of the individual values according to the participants’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personal preferences.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Rokeach’s value study, due to its simple application, was often used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in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surveys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of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value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in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various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fields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from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social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psychology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(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Hogan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1980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;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Hogan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 xml:space="preserve">and 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Mookherjee 1981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), through management (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Chusmir et al. 1989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), senior education (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 xml:space="preserve">Sauve </w:t>
      </w:r>
      <w:r>
        <w:rPr>
          <w:w w:val="98.77554893493652"/>
          <w:rFonts w:ascii="URWPalladioL" w:hAnsi="URWPalladioL" w:eastAsia="URWPalladioL"/>
          <w:b w:val="0"/>
          <w:i w:val="0"/>
          <w:color w:val="0875B7"/>
          <w:sz w:val="20"/>
        </w:rPr>
        <w:t>1999</w:t>
      </w:r>
      <w:r>
        <w:rPr>
          <w:w w:val="98.77554893493652"/>
          <w:rFonts w:ascii="URWPalladioL" w:hAnsi="URWPalladioL" w:eastAsia="URWPalladioL"/>
          <w:b w:val="0"/>
          <w:i w:val="0"/>
          <w:color w:val="000000"/>
          <w:sz w:val="20"/>
        </w:rPr>
        <w:t>), nursing (</w:t>
      </w:r>
      <w:r>
        <w:rPr>
          <w:w w:val="98.77554893493652"/>
          <w:rFonts w:ascii="URWPalladioL" w:hAnsi="URWPalladioL" w:eastAsia="URWPalladioL"/>
          <w:b w:val="0"/>
          <w:i w:val="0"/>
          <w:color w:val="0875B7"/>
          <w:sz w:val="20"/>
        </w:rPr>
        <w:t>Blazeviciene and Jakusovaite 2007</w:t>
      </w:r>
      <w:r>
        <w:rPr>
          <w:w w:val="98.77554893493652"/>
          <w:rFonts w:ascii="URWPalladioL" w:hAnsi="URWPalladioL" w:eastAsia="URWPalladioL"/>
          <w:b w:val="0"/>
          <w:i w:val="0"/>
          <w:color w:val="000000"/>
          <w:sz w:val="20"/>
        </w:rPr>
        <w:t>;</w:t>
      </w:r>
      <w:r>
        <w:rPr>
          <w:w w:val="98.77554893493652"/>
          <w:rFonts w:ascii="URWPalladioL" w:hAnsi="URWPalladioL" w:eastAsia="URWPalladioL"/>
          <w:b w:val="0"/>
          <w:i w:val="0"/>
          <w:color w:val="0875B7"/>
          <w:sz w:val="20"/>
        </w:rPr>
        <w:t xml:space="preserve"> Minton et al. 1997</w:t>
      </w:r>
      <w:r>
        <w:rPr>
          <w:w w:val="98.77554893493652"/>
          <w:rFonts w:ascii="URWPalladioL" w:hAnsi="URWPalladioL" w:eastAsia="URWPalladioL"/>
          <w:b w:val="0"/>
          <w:i w:val="0"/>
          <w:color w:val="000000"/>
          <w:sz w:val="20"/>
        </w:rPr>
        <w:t>), and pedagogy (</w:t>
      </w:r>
      <w:r>
        <w:rPr>
          <w:w w:val="98.77554893493652"/>
          <w:rFonts w:ascii="URWPalladioL" w:hAnsi="URWPalladioL" w:eastAsia="URWPalladioL"/>
          <w:b w:val="0"/>
          <w:i w:val="0"/>
          <w:color w:val="0875B7"/>
          <w:sz w:val="20"/>
        </w:rPr>
        <w:t xml:space="preserve">Lau 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1988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;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 xml:space="preserve"> Musil et al. 2009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).</w:t>
      </w:r>
    </w:p>
    <w:p>
      <w:pPr>
        <w:autoSpaceDN w:val="0"/>
        <w:autoSpaceDE w:val="0"/>
        <w:widowControl/>
        <w:spacing w:line="198" w:lineRule="exact" w:before="248" w:after="0"/>
        <w:ind w:left="2632" w:right="0" w:firstLine="0"/>
        <w:jc w:val="left"/>
      </w:pPr>
      <w:r>
        <w:rPr>
          <w:rFonts w:ascii="URWPalladioL" w:hAnsi="URWPalladioL" w:eastAsia="URWPalladioL"/>
          <w:b/>
          <w:i w:val="0"/>
          <w:color w:val="000000"/>
          <w:sz w:val="20"/>
        </w:rPr>
        <w:t>3.</w:t>
      </w:r>
      <w:r>
        <w:rPr>
          <w:rFonts w:ascii="URWPalladioL" w:hAnsi="URWPalladioL" w:eastAsia="URWPalladioL"/>
          <w:b/>
          <w:i w:val="0"/>
          <w:color w:val="000000"/>
          <w:sz w:val="20"/>
        </w:rPr>
        <w:t>Research Methods</w:t>
      </w:r>
    </w:p>
    <w:p>
      <w:pPr>
        <w:autoSpaceDN w:val="0"/>
        <w:autoSpaceDE w:val="0"/>
        <w:widowControl/>
        <w:spacing w:line="250" w:lineRule="exact" w:before="64" w:after="0"/>
        <w:ind w:left="2632" w:right="58" w:firstLine="424"/>
        <w:jc w:val="both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theoretical concepts discussed above were used in the process of logical model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building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resulted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in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designing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an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innovative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value-based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financial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risk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prediction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model.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model introduced in this paper consists of specific numerical constructions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based on fundamental variables measured using the ordinal scales (measuring specific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economic indicators) or continuous scales (measuring of values‘ preferences).</w:t>
      </w:r>
    </w:p>
    <w:p>
      <w:pPr>
        <w:sectPr>
          <w:pgSz w:w="11906" w:h="16838"/>
          <w:pgMar w:top="538" w:right="662" w:bottom="930" w:left="7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5263"/>
        <w:gridCol w:w="5263"/>
      </w:tblGrid>
      <w:tr>
        <w:trPr>
          <w:trHeight w:hRule="exact" w:val="272"/>
        </w:trPr>
        <w:tc>
          <w:tcPr>
            <w:tcW w:type="dxa" w:w="558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0" w:after="0"/>
              <w:ind w:left="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/>
                <w:color w:val="000000"/>
                <w:sz w:val="16"/>
              </w:rPr>
              <w:t>Risks</w:t>
            </w:r>
            <w:r>
              <w:rPr>
                <w:rFonts w:ascii="URWPalladioL" w:hAnsi="URWPalladioL" w:eastAsia="URWPalladioL"/>
                <w:b/>
                <w:i w:val="0"/>
                <w:color w:val="000000"/>
                <w:sz w:val="16"/>
              </w:rPr>
              <w:t xml:space="preserve"> 2021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,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6"/>
              </w:rPr>
              <w:t xml:space="preserve"> 9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, 205</w:t>
            </w:r>
          </w:p>
        </w:tc>
        <w:tc>
          <w:tcPr>
            <w:tcW w:type="dxa" w:w="489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" w:after="0"/>
              <w:ind w:left="0" w:right="4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5 of 24</w:t>
            </w:r>
          </w:p>
        </w:tc>
      </w:tr>
    </w:tbl>
    <w:p>
      <w:pPr>
        <w:autoSpaceDN w:val="0"/>
        <w:autoSpaceDE w:val="0"/>
        <w:widowControl/>
        <w:spacing w:line="200" w:lineRule="exact" w:before="614" w:after="0"/>
        <w:ind w:left="0" w:right="4694" w:firstLine="0"/>
        <w:jc w:val="right"/>
      </w:pPr>
      <w:r>
        <w:rPr>
          <w:rFonts w:ascii="URWPalladioL" w:hAnsi="URWPalladioL" w:eastAsia="URWPalladioL"/>
          <w:b w:val="0"/>
          <w:i/>
          <w:color w:val="000000"/>
          <w:sz w:val="20"/>
        </w:rPr>
        <w:t>3.1.</w:t>
      </w:r>
      <w:r>
        <w:rPr>
          <w:rFonts w:ascii="URWPalladioL" w:hAnsi="URWPalladioL" w:eastAsia="URWPalladioL"/>
          <w:b w:val="0"/>
          <w:i/>
          <w:color w:val="000000"/>
          <w:sz w:val="20"/>
        </w:rPr>
        <w:t>Data Measurements and Collection</w:t>
      </w:r>
    </w:p>
    <w:p>
      <w:pPr>
        <w:autoSpaceDN w:val="0"/>
        <w:autoSpaceDE w:val="0"/>
        <w:widowControl/>
        <w:spacing w:line="252" w:lineRule="exact" w:before="64" w:after="0"/>
        <w:ind w:left="2632" w:right="20" w:firstLine="424"/>
        <w:jc w:val="both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data used for the construction and validation of the model was collected in 2018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and 2019 from 3768 respondents across the Czech Republic.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data were not affected by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 COVID-19 crisis and describe the pre-pandemic situation.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research is designed as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cross-sectional ex-post-facto.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constructed model is not locally dependent as elements </w:t>
      </w:r>
      <w:r>
        <w:rPr>
          <w:w w:val="98.82577896118164"/>
          <w:rFonts w:ascii="URWPalladioL" w:hAnsi="URWPalladioL" w:eastAsia="URWPalladioL"/>
          <w:b w:val="0"/>
          <w:i w:val="0"/>
          <w:color w:val="000000"/>
          <w:sz w:val="20"/>
        </w:rPr>
        <w:t>of the nationality/regional aspects are not included in the indexes, employed in the model.</w:t>
      </w:r>
    </w:p>
    <w:p>
      <w:pPr>
        <w:autoSpaceDN w:val="0"/>
        <w:autoSpaceDE w:val="0"/>
        <w:widowControl/>
        <w:spacing w:line="250" w:lineRule="exact" w:before="0" w:after="0"/>
        <w:ind w:left="2622" w:right="0" w:firstLine="424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sample consists of 1624 men (43.10%) and 2136 women (56.69%) aged over 24.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Only 8 people categorized themselves as the other gender.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data was collected using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an online questionnaire as a part of research of values, fundamental worldview, leisure,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economic situation, and proficiency in ICT. In specific situations (older people or people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with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disabilities)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paper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form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of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questionnaire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was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used.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According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to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age,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sample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was clustered into 10-year age brackets.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In the sample, there are 1140 people aged 25–34 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(30.25%), 968 people aged 35–44 (25.69%), 819 people aged 45–54 (21.74%), 446 people aged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55–64 (11.84%) and 395 people aged 65 or more.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While measuring we also recognized the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population of the village/town/city in which the respondent lives.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Aside from age and 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gender, this was the third stratification criterion supporting the sample to be representative.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In our sample there are respondents from small villages (&lt;2000 habitants, 802, 21.28%), </w:t>
      </w:r>
      <w:r>
        <w:rPr>
          <w:w w:val="98.82577896118164"/>
          <w:rFonts w:ascii="URWPalladioL" w:hAnsi="URWPalladioL" w:eastAsia="URWPalladioL"/>
          <w:b w:val="0"/>
          <w:i w:val="0"/>
          <w:color w:val="000000"/>
          <w:sz w:val="20"/>
        </w:rPr>
        <w:t xml:space="preserve">bigger villages (2001–5000 habitants, 492, 13.06%), small towns (5001–15,000 habitants, 615,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16.32%), towns (15,000–60,000 habitants, 877, 23.22%), cities (60,001–150,000 habitants, 486,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12.90%) and big cities (&gt;150,000 habitants, 496, 13.16%).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age and village/town/city 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distribution in the sample is close to the distribution in the population of the Czech Republic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and the research sample can be considered representative according to gender, age, and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village/town/city population.</w:t>
      </w:r>
    </w:p>
    <w:p>
      <w:pPr>
        <w:autoSpaceDN w:val="0"/>
        <w:autoSpaceDE w:val="0"/>
        <w:widowControl/>
        <w:spacing w:line="200" w:lineRule="exact" w:before="246" w:after="0"/>
        <w:ind w:left="0" w:right="3890" w:firstLine="0"/>
        <w:jc w:val="right"/>
      </w:pPr>
      <w:r>
        <w:rPr>
          <w:rFonts w:ascii="URWPalladioL" w:hAnsi="URWPalladioL" w:eastAsia="URWPalladioL"/>
          <w:b w:val="0"/>
          <w:i/>
          <w:color w:val="000000"/>
          <w:sz w:val="20"/>
        </w:rPr>
        <w:t>3.2.</w:t>
      </w:r>
      <w:r>
        <w:rPr>
          <w:rFonts w:ascii="URWPalladioL" w:hAnsi="URWPalladioL" w:eastAsia="URWPalladioL"/>
          <w:b w:val="0"/>
          <w:i/>
          <w:color w:val="000000"/>
          <w:sz w:val="20"/>
        </w:rPr>
        <w:t>Measurement Methods Statistical Procedures</w:t>
      </w:r>
    </w:p>
    <w:p>
      <w:pPr>
        <w:autoSpaceDN w:val="0"/>
        <w:autoSpaceDE w:val="0"/>
        <w:widowControl/>
        <w:spacing w:line="252" w:lineRule="exact" w:before="62" w:after="0"/>
        <w:ind w:left="2622" w:right="0" w:firstLine="424"/>
        <w:jc w:val="left"/>
      </w:pPr>
      <w:r>
        <w:rPr>
          <w:w w:val="98.77554893493652"/>
          <w:rFonts w:ascii="URWPalladioL" w:hAnsi="URWPalladioL" w:eastAsia="URWPalladioL"/>
          <w:b w:val="0"/>
          <w:i w:val="0"/>
          <w:color w:val="000000"/>
          <w:sz w:val="20"/>
        </w:rPr>
        <w:t>The first factor entering the model—the economic situation—is based on the measure-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ment of 28 ordinal variables which produce key indexes characterizing the respondent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(or respondent’s family) situation: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index of financial responsibility</w:t>
      </w:r>
      <w:r>
        <w:rPr>
          <w:rFonts w:ascii="URWPalladioL" w:hAnsi="URWPalladioL" w:eastAsia="URWPalladioL"/>
          <w:b w:val="0"/>
          <w:i/>
          <w:color w:val="000000"/>
          <w:sz w:val="20"/>
        </w:rPr>
        <w:t xml:space="preserve"> (I</w:t>
      </w:r>
      <w:r>
        <w:rPr>
          <w:rFonts w:ascii="URWPalladioL" w:hAnsi="URWPalladioL" w:eastAsia="URWPalladioL"/>
          <w:b w:val="0"/>
          <w:i/>
          <w:color w:val="000000"/>
          <w:sz w:val="15"/>
        </w:rPr>
        <w:t>fr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), index of financial 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well-being (</w:t>
      </w:r>
      <w:r>
        <w:rPr>
          <w:w w:val="98.62470626831055"/>
          <w:rFonts w:ascii="URWPalladioL" w:hAnsi="URWPalladioL" w:eastAsia="URWPalladioL"/>
          <w:b w:val="0"/>
          <w:i/>
          <w:color w:val="000000"/>
          <w:sz w:val="20"/>
        </w:rPr>
        <w:t>I</w:t>
      </w:r>
      <w:r>
        <w:rPr>
          <w:rFonts w:ascii="URWPalladioL" w:hAnsi="URWPalladioL" w:eastAsia="URWPalladioL"/>
          <w:b w:val="0"/>
          <w:i/>
          <w:color w:val="000000"/>
          <w:sz w:val="15"/>
        </w:rPr>
        <w:t>fwb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) and index of financial knowledge (</w:t>
      </w:r>
      <w:r>
        <w:rPr>
          <w:w w:val="98.62470626831055"/>
          <w:rFonts w:ascii="URWPalladioL" w:hAnsi="URWPalladioL" w:eastAsia="URWPalladioL"/>
          <w:b w:val="0"/>
          <w:i/>
          <w:color w:val="000000"/>
          <w:sz w:val="20"/>
        </w:rPr>
        <w:t>I</w:t>
      </w:r>
      <w:r>
        <w:rPr>
          <w:rFonts w:ascii="URWPalladioL" w:hAnsi="URWPalladioL" w:eastAsia="URWPalladioL"/>
          <w:b w:val="0"/>
          <w:i/>
          <w:color w:val="000000"/>
          <w:sz w:val="15"/>
        </w:rPr>
        <w:t>fk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).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Each of the 28 variables is measured 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on a scale from 0 to 2, where 0 means not answered and the value is no longer employed in 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the index calculation.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Valid answers are between limits 1 and 2 and in the index calculation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are decreased by 1.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Finally, the calculated value is doubled and decreased by 1.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Therefore,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calculated indexes are adjusted to limits</w:t>
      </w:r>
      <w:r>
        <w:rPr>
          <w:w w:val="98.86761619931175"/>
          <w:rFonts w:ascii="CMSY10" w:hAnsi="CMSY10" w:eastAsia="CMSY10"/>
          <w:b w:val="0"/>
          <w:i/>
          <w:color w:val="000000"/>
          <w:sz w:val="21"/>
        </w:rPr>
        <w:t xml:space="preserve"> −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1 (minimum) and 1 (maximum).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indexes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mentioned above are used to determine economic situation clusters and subsequently for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calculation of risk level for each of clusters.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As a complex variable used for the calculation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of risk level in the second factor of the developed model, the index of the economic situ-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ation (</w:t>
      </w:r>
      <w:r>
        <w:rPr>
          <w:rFonts w:ascii="URWPalladioL" w:hAnsi="URWPalladioL" w:eastAsia="URWPalladioL"/>
          <w:b w:val="0"/>
          <w:i/>
          <w:color w:val="000000"/>
          <w:sz w:val="20"/>
        </w:rPr>
        <w:t>I</w:t>
      </w:r>
      <w:r>
        <w:rPr>
          <w:rFonts w:ascii="URWPalladioL" w:hAnsi="URWPalladioL" w:eastAsia="URWPalladioL"/>
          <w:b w:val="0"/>
          <w:i/>
          <w:color w:val="000000"/>
          <w:sz w:val="15"/>
        </w:rPr>
        <w:t>ec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) is calculated.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 complex index of the economic situation (</w:t>
      </w:r>
      <w:r>
        <w:rPr>
          <w:rFonts w:ascii="URWPalladioL" w:hAnsi="URWPalladioL" w:eastAsia="URWPalladioL"/>
          <w:b w:val="0"/>
          <w:i/>
          <w:color w:val="000000"/>
          <w:sz w:val="20"/>
        </w:rPr>
        <w:t>I</w:t>
      </w:r>
      <w:r>
        <w:rPr>
          <w:rFonts w:ascii="URWPalladioL" w:hAnsi="URWPalladioL" w:eastAsia="URWPalladioL"/>
          <w:b w:val="0"/>
          <w:i/>
          <w:color w:val="000000"/>
          <w:sz w:val="15"/>
        </w:rPr>
        <w:t>ec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) is categorized </w:t>
      </w:r>
      <w:r>
        <w:rPr>
          <w:w w:val="98.9763069152832"/>
          <w:rFonts w:ascii="URWPalladioL" w:hAnsi="URWPalladioL" w:eastAsia="URWPalladioL"/>
          <w:b w:val="0"/>
          <w:i w:val="0"/>
          <w:color w:val="000000"/>
          <w:sz w:val="20"/>
        </w:rPr>
        <w:t>using mean (</w:t>
      </w:r>
      <w:r>
        <w:rPr>
          <w:rFonts w:ascii="EURM10" w:hAnsi="EURM10" w:eastAsia="EURM10"/>
          <w:b w:val="0"/>
          <w:i w:val="0"/>
          <w:color w:val="000000"/>
          <w:sz w:val="20"/>
        </w:rPr>
        <w:t>µ</w:t>
      </w:r>
      <w:r>
        <w:rPr>
          <w:w w:val="98.9763069152832"/>
          <w:rFonts w:ascii="URWPalladioL" w:hAnsi="URWPalladioL" w:eastAsia="URWPalladioL"/>
          <w:b w:val="0"/>
          <w:i w:val="0"/>
          <w:color w:val="000000"/>
          <w:sz w:val="20"/>
        </w:rPr>
        <w:t>) and standard deviation of the index (</w:t>
      </w:r>
      <w:r>
        <w:rPr>
          <w:rFonts w:ascii="EURM10" w:hAnsi="EURM10" w:eastAsia="EURM10"/>
          <w:b w:val="0"/>
          <w:i w:val="0"/>
          <w:color w:val="000000"/>
          <w:sz w:val="20"/>
        </w:rPr>
        <w:t>σ</w:t>
      </w:r>
      <w:r>
        <w:rPr>
          <w:w w:val="98.9763069152832"/>
          <w:rFonts w:ascii="URWPalladioL" w:hAnsi="URWPalladioL" w:eastAsia="URWPalladioL"/>
          <w:b w:val="0"/>
          <w:i w:val="0"/>
          <w:color w:val="000000"/>
          <w:sz w:val="20"/>
        </w:rPr>
        <w:t>) into four categories.</w:t>
      </w:r>
      <w:r>
        <w:rPr>
          <w:w w:val="98.9763069152832"/>
          <w:rFonts w:ascii="URWPalladioL" w:hAnsi="URWPalladioL" w:eastAsia="URWPalladioL"/>
          <w:b w:val="0"/>
          <w:i w:val="0"/>
          <w:color w:val="000000"/>
          <w:sz w:val="20"/>
        </w:rPr>
        <w:t xml:space="preserve">Therefore, the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categorized variable</w:t>
      </w:r>
      <w:r>
        <w:rPr>
          <w:rFonts w:ascii="URWPalladioL" w:hAnsi="URWPalladioL" w:eastAsia="URWPalladioL"/>
          <w:b w:val="0"/>
          <w:i/>
          <w:color w:val="000000"/>
          <w:sz w:val="20"/>
        </w:rPr>
        <w:t xml:space="preserve"> I</w:t>
      </w:r>
      <w:r>
        <w:rPr>
          <w:rFonts w:ascii="URWPalladioL" w:hAnsi="URWPalladioL" w:eastAsia="URWPalladioL"/>
          <w:b w:val="0"/>
          <w:i/>
          <w:color w:val="000000"/>
          <w:sz w:val="15"/>
        </w:rPr>
        <w:t>eccat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is set.</w:t>
      </w:r>
    </w:p>
    <w:p>
      <w:pPr>
        <w:autoSpaceDN w:val="0"/>
        <w:autoSpaceDE w:val="0"/>
        <w:widowControl/>
        <w:spacing w:line="248" w:lineRule="exact" w:before="0" w:after="0"/>
        <w:ind w:left="2622" w:right="0" w:firstLine="43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second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factor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entering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model—the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value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types—is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based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on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population 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preferences of the 36 values mostly drawn from Rokeach’s value itineraries of terminal and </w:t>
      </w:r>
      <w:r>
        <w:rPr>
          <w:w w:val="98.9763069152832"/>
          <w:rFonts w:ascii="URWPalladioL" w:hAnsi="URWPalladioL" w:eastAsia="URWPalladioL"/>
          <w:b w:val="0"/>
          <w:i w:val="0"/>
          <w:color w:val="000000"/>
          <w:sz w:val="20"/>
        </w:rPr>
        <w:t>instrumental values.</w:t>
      </w:r>
      <w:r>
        <w:rPr>
          <w:w w:val="98.9763069152832"/>
          <w:rFonts w:ascii="URWPalladioL" w:hAnsi="URWPalladioL" w:eastAsia="URWPalladioL"/>
          <w:b w:val="0"/>
          <w:i w:val="0"/>
          <w:color w:val="000000"/>
          <w:sz w:val="20"/>
        </w:rPr>
        <w:t xml:space="preserve">All the value’s preferences were measured on continuous scales from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1 to 10 (0 means the value preference was not measured properly or was not answered).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These continuous scales were used as the base for factor analysis.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From this analysis, 6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value types (VT) were determined and used in the model.</w:t>
      </w:r>
    </w:p>
    <w:p>
      <w:pPr>
        <w:autoSpaceDN w:val="0"/>
        <w:autoSpaceDE w:val="0"/>
        <w:widowControl/>
        <w:spacing w:line="252" w:lineRule="exact" w:before="0" w:after="0"/>
        <w:ind w:left="2626" w:right="46" w:firstLine="430"/>
        <w:jc w:val="both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Finally, we would like to prove the irregular distribution of economic situations and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value types among the population and the dependence among determined value types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and categorized economic situation index (</w:t>
      </w:r>
      <w:r>
        <w:rPr>
          <w:rFonts w:ascii="URWPalladioL" w:hAnsi="URWPalladioL" w:eastAsia="URWPalladioL"/>
          <w:b w:val="0"/>
          <w:i/>
          <w:color w:val="000000"/>
          <w:sz w:val="20"/>
        </w:rPr>
        <w:t>I</w:t>
      </w:r>
      <w:r>
        <w:rPr>
          <w:rFonts w:ascii="URWPalladioL" w:hAnsi="URWPalladioL" w:eastAsia="URWPalladioL"/>
          <w:b w:val="0"/>
          <w:i/>
          <w:color w:val="000000"/>
          <w:sz w:val="15"/>
        </w:rPr>
        <w:t>eccat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).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To test these hypotheses we used the</w:t>
      </w:r>
      <w:r>
        <w:rPr>
          <w:rFonts w:ascii="PazoMath" w:hAnsi="PazoMath" w:eastAsia="PazoMath"/>
          <w:b w:val="0"/>
          <w:i/>
          <w:color w:val="000000"/>
          <w:sz w:val="20"/>
        </w:rPr>
        <w:t>χ</w:t>
      </w:r>
      <w:r>
        <w:rPr>
          <w:rFonts w:ascii="URWPalladioL" w:hAnsi="URWPalladioL" w:eastAsia="URWPalladioL"/>
          <w:b w:val="0"/>
          <w:i w:val="0"/>
          <w:color w:val="000000"/>
          <w:sz w:val="15"/>
        </w:rPr>
        <w:t>2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test of independence (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Sheskin 2011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) and for all cells of R</w:t>
      </w:r>
      <w:r>
        <w:rPr>
          <w:w w:val="98.86761619931175"/>
          <w:rFonts w:ascii="CMSY10" w:hAnsi="CMSY10" w:eastAsia="CMSY10"/>
          <w:b w:val="0"/>
          <w:i/>
          <w:color w:val="000000"/>
          <w:sz w:val="21"/>
        </w:rPr>
        <w:t xml:space="preserve"> ×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 C tables, we calculated the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standardized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(adjusted)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residuals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(z-score)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(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Agresti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2007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;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Azen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and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Walker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2011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).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statistical procedures also reveal specific groups in the population, which are highly risky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because of their level of risk.</w:t>
      </w:r>
    </w:p>
    <w:p>
      <w:pPr>
        <w:autoSpaceDN w:val="0"/>
        <w:autoSpaceDE w:val="0"/>
        <w:widowControl/>
        <w:spacing w:line="260" w:lineRule="exact" w:before="0" w:after="0"/>
        <w:ind w:left="2624" w:right="0" w:firstLine="432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>For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data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collection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statistical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analysis,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we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used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Social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Survey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Project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(SSP)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software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(</w:t>
      </w:r>
      <w:r>
        <w:rPr>
          <w:rFonts w:ascii="URWPalladioL" w:hAnsi="URWPalladioL" w:eastAsia="URWPalladioL"/>
          <w:b w:val="0"/>
          <w:i/>
          <w:color w:val="0875B7"/>
          <w:sz w:val="20"/>
        </w:rPr>
        <w:t>Social</w:t>
      </w:r>
      <w:r>
        <w:rPr>
          <w:rFonts w:ascii="URWPalladioL" w:hAnsi="URWPalladioL" w:eastAsia="URWPalladioL"/>
          <w:b w:val="0"/>
          <w:i/>
          <w:color w:val="0875B7"/>
          <w:sz w:val="20"/>
        </w:rPr>
        <w:t>Survey</w:t>
      </w:r>
      <w:r>
        <w:rPr>
          <w:rFonts w:ascii="URWPalladioL" w:hAnsi="URWPalladioL" w:eastAsia="URWPalladioL"/>
          <w:b w:val="0"/>
          <w:i/>
          <w:color w:val="0875B7"/>
          <w:sz w:val="20"/>
        </w:rPr>
        <w:t>Project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2018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).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For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analysis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of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dependence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(</w:t>
      </w:r>
      <w:r>
        <w:rPr>
          <w:rFonts w:ascii="PazoMath" w:hAnsi="PazoMath" w:eastAsia="PazoMath"/>
          <w:b w:val="0"/>
          <w:i/>
          <w:color w:val="000000"/>
          <w:sz w:val="20"/>
        </w:rPr>
        <w:t>χ</w:t>
      </w:r>
      <w:r>
        <w:rPr>
          <w:rFonts w:ascii="URWPalladioL" w:hAnsi="URWPalladioL" w:eastAsia="URWPalladioL"/>
          <w:b w:val="0"/>
          <w:i w:val="0"/>
          <w:color w:val="000000"/>
          <w:sz w:val="15"/>
        </w:rPr>
        <w:t>2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test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of</w:t>
      </w:r>
    </w:p>
    <w:p>
      <w:pPr>
        <w:sectPr>
          <w:pgSz w:w="11906" w:h="16838"/>
          <w:pgMar w:top="538" w:right="666" w:bottom="642" w:left="7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5258"/>
        <w:gridCol w:w="5258"/>
      </w:tblGrid>
      <w:tr>
        <w:trPr>
          <w:trHeight w:hRule="exact" w:val="272"/>
        </w:trPr>
        <w:tc>
          <w:tcPr>
            <w:tcW w:type="dxa" w:w="558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0" w:after="0"/>
              <w:ind w:left="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/>
                <w:color w:val="000000"/>
                <w:sz w:val="16"/>
              </w:rPr>
              <w:t>Risks</w:t>
            </w:r>
            <w:r>
              <w:rPr>
                <w:rFonts w:ascii="URWPalladioL" w:hAnsi="URWPalladioL" w:eastAsia="URWPalladioL"/>
                <w:b/>
                <w:i w:val="0"/>
                <w:color w:val="000000"/>
                <w:sz w:val="16"/>
              </w:rPr>
              <w:t xml:space="preserve"> 2021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,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6"/>
              </w:rPr>
              <w:t xml:space="preserve"> 9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, 205</w:t>
            </w:r>
          </w:p>
        </w:tc>
        <w:tc>
          <w:tcPr>
            <w:tcW w:type="dxa" w:w="489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" w:after="0"/>
              <w:ind w:left="0" w:right="4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6 of 24</w:t>
            </w:r>
          </w:p>
        </w:tc>
      </w:tr>
    </w:tbl>
    <w:p>
      <w:pPr>
        <w:autoSpaceDN w:val="0"/>
        <w:autoSpaceDE w:val="0"/>
        <w:widowControl/>
        <w:spacing w:line="222" w:lineRule="exact" w:before="596" w:after="0"/>
        <w:ind w:left="0" w:right="44" w:firstLine="0"/>
        <w:jc w:val="right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>in-dependence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for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R</w:t>
      </w:r>
      <w:r>
        <w:rPr>
          <w:w w:val="98.86761619931175"/>
          <w:rFonts w:ascii="CMSY10" w:hAnsi="CMSY10" w:eastAsia="CMSY10"/>
          <w:b w:val="0"/>
          <w:i/>
          <w:color w:val="000000"/>
          <w:sz w:val="21"/>
        </w:rPr>
        <w:t>×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C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contingency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tables,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adjusted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residuals),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we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used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internal</w:t>
      </w:r>
    </w:p>
    <w:p>
      <w:pPr>
        <w:autoSpaceDN w:val="0"/>
        <w:autoSpaceDE w:val="0"/>
        <w:widowControl/>
        <w:spacing w:line="198" w:lineRule="exact" w:before="52" w:after="0"/>
        <w:ind w:left="0" w:right="5044" w:firstLine="0"/>
        <w:jc w:val="right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>statistical analytic engine of SSP.</w:t>
      </w:r>
    </w:p>
    <w:p>
      <w:pPr>
        <w:autoSpaceDN w:val="0"/>
        <w:autoSpaceDE w:val="0"/>
        <w:widowControl/>
        <w:spacing w:line="200" w:lineRule="exact" w:before="246" w:after="0"/>
        <w:ind w:left="0" w:right="4528" w:firstLine="0"/>
        <w:jc w:val="right"/>
      </w:pPr>
      <w:r>
        <w:rPr>
          <w:rFonts w:ascii="URWPalladioL" w:hAnsi="URWPalladioL" w:eastAsia="URWPalladioL"/>
          <w:b w:val="0"/>
          <w:i/>
          <w:color w:val="000000"/>
          <w:sz w:val="20"/>
        </w:rPr>
        <w:t>3.3.</w:t>
      </w:r>
      <w:r>
        <w:rPr>
          <w:rFonts w:ascii="URWPalladioL" w:hAnsi="URWPalladioL" w:eastAsia="URWPalladioL"/>
          <w:b w:val="0"/>
          <w:i/>
          <w:color w:val="000000"/>
          <w:sz w:val="20"/>
        </w:rPr>
        <w:t>The Index of Financial Responsibility</w:t>
      </w:r>
    </w:p>
    <w:p>
      <w:pPr>
        <w:autoSpaceDN w:val="0"/>
        <w:tabs>
          <w:tab w:pos="3056" w:val="left"/>
        </w:tabs>
        <w:autoSpaceDE w:val="0"/>
        <w:widowControl/>
        <w:spacing w:line="226" w:lineRule="exact" w:before="112" w:after="166"/>
        <w:ind w:left="2632" w:right="0" w:firstLine="0"/>
        <w:jc w:val="left"/>
      </w:pPr>
      <w:r>
        <w:rPr>
          <w:w w:val="98.82577896118164"/>
          <w:rFonts w:ascii="URWPalladioL" w:hAnsi="URWPalladioL" w:eastAsia="URWPalladioL"/>
          <w:b w:val="0"/>
          <w:i w:val="0"/>
          <w:color w:val="000000"/>
          <w:sz w:val="20"/>
        </w:rPr>
        <w:t>The index of financial responsibility (</w:t>
      </w:r>
      <w:r>
        <w:rPr>
          <w:w w:val="98.82577896118164"/>
          <w:rFonts w:ascii="URWPalladioL" w:hAnsi="URWPalladioL" w:eastAsia="URWPalladioL"/>
          <w:b w:val="0"/>
          <w:i/>
          <w:color w:val="000000"/>
          <w:sz w:val="20"/>
        </w:rPr>
        <w:t>I</w:t>
      </w:r>
      <w:r>
        <w:rPr>
          <w:rFonts w:ascii="URWPalladioL" w:hAnsi="URWPalladioL" w:eastAsia="URWPalladioL"/>
          <w:b w:val="0"/>
          <w:i/>
          <w:color w:val="000000"/>
          <w:sz w:val="15"/>
        </w:rPr>
        <w:t>fr</w:t>
      </w:r>
      <w:r>
        <w:rPr>
          <w:w w:val="98.82577896118164"/>
          <w:rFonts w:ascii="URWPalladioL" w:hAnsi="URWPalladioL" w:eastAsia="URWPalladioL"/>
          <w:b w:val="0"/>
          <w:i w:val="0"/>
          <w:color w:val="000000"/>
          <w:sz w:val="20"/>
        </w:rPr>
        <w:t xml:space="preserve">) is based on 11 questions concerning financial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behaviour and calculated for every respondent using Equation (1).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86.0" w:type="dxa"/>
      </w:tblPr>
      <w:tblGrid>
        <w:gridCol w:w="1753"/>
        <w:gridCol w:w="1753"/>
        <w:gridCol w:w="1753"/>
        <w:gridCol w:w="1753"/>
        <w:gridCol w:w="1753"/>
        <w:gridCol w:w="1753"/>
      </w:tblGrid>
      <w:tr>
        <w:trPr>
          <w:trHeight w:hRule="exact" w:val="388"/>
        </w:trPr>
        <w:tc>
          <w:tcPr>
            <w:tcW w:type="dxa" w:w="3208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448" w:after="0"/>
              <w:ind w:left="0" w:right="178" w:firstLine="0"/>
              <w:jc w:val="right"/>
            </w:pPr>
            <w:r>
              <w:rPr>
                <w:w w:val="98.86761619931175"/>
                <w:rFonts w:ascii="CMR10" w:hAnsi="CMR10" w:eastAsia="CMR10"/>
                <w:b w:val="0"/>
                <w:i w:val="0"/>
                <w:color w:val="000000"/>
                <w:sz w:val="21"/>
              </w:rPr>
              <w:t>=</w:t>
            </w:r>
          </w:p>
        </w:tc>
        <w:tc>
          <w:tcPr>
            <w:tcW w:type="dxa" w:w="7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02" w:val="left"/>
              </w:tabs>
              <w:autoSpaceDE w:val="0"/>
              <w:widowControl/>
              <w:spacing w:line="94" w:lineRule="exact" w:before="200" w:after="0"/>
              <w:ind w:left="6" w:right="0" w:firstLine="0"/>
              <w:jc w:val="left"/>
            </w:pPr>
            <w:r>
              <w:rPr>
                <w:rFonts w:ascii="PazoMath" w:hAnsi="PazoMath" w:eastAsia="PazoMath"/>
                <w:b w:val="0"/>
                <w:i w:val="0"/>
                <w:color w:val="000000"/>
                <w:sz w:val="20"/>
              </w:rPr>
              <w:t>∑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5"/>
              </w:rPr>
              <w:t xml:space="preserve">11 </w:t>
            </w:r>
            <w:r>
              <w:br/>
            </w:r>
            <w:r>
              <w:tab/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7"/>
              </w:rPr>
              <w:t>j</w:t>
            </w:r>
            <w:r>
              <w:rPr>
                <w:w w:val="98.04371727837456"/>
                <w:rFonts w:ascii="CMR10" w:hAnsi="CMR10" w:eastAsia="CMR10"/>
                <w:b w:val="0"/>
                <w:i w:val="0"/>
                <w:color w:val="000000"/>
                <w:sz w:val="18"/>
              </w:rPr>
              <w:t xml:space="preserve"> =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7"/>
              </w:rPr>
              <w:t xml:space="preserve"> 1</w:t>
            </w:r>
          </w:p>
        </w:tc>
        <w:tc>
          <w:tcPr>
            <w:tcW w:type="dxa" w:w="101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86" w:after="0"/>
              <w:ind w:left="126" w:right="0" w:firstLine="0"/>
              <w:jc w:val="left"/>
            </w:pPr>
            <w:r>
              <w:rPr>
                <w:w w:val="98.86761619931175"/>
                <w:rFonts w:ascii="CMR10" w:hAnsi="CMR10" w:eastAsia="CMR10"/>
                <w:b w:val="0"/>
                <w:i w:val="0"/>
                <w:color w:val="000000"/>
                <w:sz w:val="21"/>
              </w:rPr>
              <w:t>(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20"/>
              </w:rPr>
              <w:t>Q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5"/>
              </w:rPr>
              <w:t xml:space="preserve"> f r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2"/>
              </w:rPr>
              <w:t>j</w:t>
            </w:r>
            <w:r>
              <w:rPr>
                <w:w w:val="98.86761619931175"/>
                <w:rFonts w:ascii="CMSY10" w:hAnsi="CMSY10" w:eastAsia="CMSY10"/>
                <w:b w:val="0"/>
                <w:i/>
                <w:color w:val="000000"/>
                <w:sz w:val="21"/>
              </w:rPr>
              <w:t>−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>1</w:t>
            </w:r>
            <w:r>
              <w:rPr>
                <w:w w:val="98.86761619931175"/>
                <w:rFonts w:ascii="CMR10" w:hAnsi="CMR10" w:eastAsia="CMR10"/>
                <w:b w:val="0"/>
                <w:i w:val="0"/>
                <w:color w:val="000000"/>
                <w:sz w:val="21"/>
              </w:rPr>
              <w:t>)</w:t>
            </w:r>
          </w:p>
        </w:tc>
        <w:tc>
          <w:tcPr>
            <w:tcW w:type="dxa" w:w="1508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450" w:after="0"/>
              <w:ind w:left="60" w:right="0" w:firstLine="0"/>
              <w:jc w:val="left"/>
            </w:pPr>
            <w:r>
              <w:rPr>
                <w:w w:val="98.86761619931175"/>
                <w:rFonts w:ascii="CMSY10" w:hAnsi="CMSY10" w:eastAsia="CMSY10"/>
                <w:b w:val="0"/>
                <w:i/>
                <w:color w:val="000000"/>
                <w:sz w:val="21"/>
              </w:rPr>
              <w:t>−</w:t>
            </w:r>
          </w:p>
        </w:tc>
        <w:tc>
          <w:tcPr>
            <w:tcW w:type="dxa" w:w="140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72"/>
        </w:trPr>
        <w:tc>
          <w:tcPr>
            <w:tcW w:type="dxa" w:w="1753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784"/>
            <w:gridSpan w:val="3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14" w:after="0"/>
              <w:ind w:left="17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/>
                <w:color w:val="000000"/>
                <w:sz w:val="17"/>
              </w:rPr>
              <w:t>Q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3"/>
              </w:rPr>
              <w:t xml:space="preserve"> f r</w:t>
            </w:r>
            <w:r>
              <w:rPr>
                <w:w w:val="101.61920547485353"/>
                <w:rFonts w:ascii="URWPalladioL" w:hAnsi="URWPalladioL" w:eastAsia="URWPalladioL"/>
                <w:b w:val="0"/>
                <w:i/>
                <w:color w:val="000000"/>
                <w:sz w:val="10"/>
              </w:rPr>
              <w:t>j</w:t>
            </w:r>
            <w:r>
              <w:rPr>
                <w:w w:val="98.04371727837456"/>
                <w:rFonts w:ascii="CMMI10" w:hAnsi="CMMI10" w:eastAsia="CMMI10"/>
                <w:b w:val="0"/>
                <w:i/>
                <w:color w:val="000000"/>
                <w:sz w:val="18"/>
              </w:rPr>
              <w:t>&gt;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7"/>
              </w:rPr>
              <w:t xml:space="preserve"> 0</w:t>
            </w:r>
          </w:p>
        </w:tc>
        <w:tc>
          <w:tcPr>
            <w:tcW w:type="dxa" w:w="1753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753"/>
            <w:vMerge/>
            <w:tcBorders>
              <w:bottom w:sz="3.184000015258789" w:val="single" w:color="#000000"/>
            </w:tcBorders>
          </w:tcPr>
          <w:p/>
        </w:tc>
      </w:tr>
      <w:tr>
        <w:trPr>
          <w:trHeight w:hRule="exact" w:val="366"/>
        </w:trPr>
        <w:tc>
          <w:tcPr>
            <w:tcW w:type="dxa" w:w="3208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0" w:after="0"/>
              <w:ind w:left="0" w:right="20" w:firstLine="0"/>
              <w:jc w:val="right"/>
            </w:pPr>
            <w:r>
              <w:rPr>
                <w:rFonts w:ascii="URWPalladioL" w:hAnsi="URWPalladioL" w:eastAsia="URWPalladioL"/>
                <w:b w:val="0"/>
                <w:i/>
                <w:color w:val="000000"/>
                <w:sz w:val="20"/>
              </w:rPr>
              <w:t>I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5"/>
              </w:rPr>
              <w:t>f r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 xml:space="preserve"> 2</w:t>
            </w:r>
          </w:p>
        </w:tc>
        <w:tc>
          <w:tcPr>
            <w:tcW w:type="dxa" w:w="1172"/>
            <w:gridSpan w:val="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78" w:val="left"/>
              </w:tabs>
              <w:autoSpaceDE w:val="0"/>
              <w:widowControl/>
              <w:spacing w:line="94" w:lineRule="exact" w:before="172" w:after="0"/>
              <w:ind w:left="382" w:right="0" w:firstLine="0"/>
              <w:jc w:val="left"/>
            </w:pPr>
            <w:r>
              <w:rPr>
                <w:rFonts w:ascii="PazoMath" w:hAnsi="PazoMath" w:eastAsia="PazoMath"/>
                <w:b w:val="0"/>
                <w:i w:val="0"/>
                <w:color w:val="000000"/>
                <w:sz w:val="20"/>
              </w:rPr>
              <w:t>∑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5"/>
              </w:rPr>
              <w:t xml:space="preserve">11 </w:t>
            </w:r>
            <w:r>
              <w:br/>
            </w:r>
            <w:r>
              <w:tab/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7"/>
              </w:rPr>
              <w:t>j</w:t>
            </w:r>
            <w:r>
              <w:rPr>
                <w:w w:val="98.04371727837456"/>
                <w:rFonts w:ascii="CMR10" w:hAnsi="CMR10" w:eastAsia="CMR10"/>
                <w:b w:val="0"/>
                <w:i w:val="0"/>
                <w:color w:val="000000"/>
                <w:sz w:val="18"/>
              </w:rPr>
              <w:t xml:space="preserve"> =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7"/>
              </w:rPr>
              <w:t xml:space="preserve"> 1</w:t>
            </w:r>
          </w:p>
        </w:tc>
        <w:tc>
          <w:tcPr>
            <w:tcW w:type="dxa" w:w="61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132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1508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264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140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14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>(1)</w:t>
            </w:r>
          </w:p>
        </w:tc>
      </w:tr>
    </w:tbl>
    <w:p>
      <w:pPr>
        <w:autoSpaceDN w:val="0"/>
        <w:autoSpaceDE w:val="0"/>
        <w:widowControl/>
        <w:spacing w:line="228" w:lineRule="exact" w:before="2" w:after="0"/>
        <w:ind w:left="0" w:right="3546" w:firstLine="0"/>
        <w:jc w:val="right"/>
      </w:pPr>
      <w:r>
        <w:rPr>
          <w:rFonts w:ascii="URWPalladioL" w:hAnsi="URWPalladioL" w:eastAsia="URWPalladioL"/>
          <w:b w:val="0"/>
          <w:i/>
          <w:color w:val="000000"/>
          <w:sz w:val="17"/>
        </w:rPr>
        <w:t>Q</w:t>
      </w:r>
      <w:r>
        <w:rPr>
          <w:rFonts w:ascii="URWPalladioL" w:hAnsi="URWPalladioL" w:eastAsia="URWPalladioL"/>
          <w:b w:val="0"/>
          <w:i/>
          <w:color w:val="000000"/>
          <w:sz w:val="13"/>
        </w:rPr>
        <w:t xml:space="preserve"> f r</w:t>
      </w:r>
      <w:r>
        <w:rPr>
          <w:w w:val="101.61920547485353"/>
          <w:rFonts w:ascii="URWPalladioL" w:hAnsi="URWPalladioL" w:eastAsia="URWPalladioL"/>
          <w:b w:val="0"/>
          <w:i/>
          <w:color w:val="000000"/>
          <w:sz w:val="10"/>
        </w:rPr>
        <w:t>j</w:t>
      </w:r>
      <w:r>
        <w:rPr>
          <w:w w:val="98.04371727837456"/>
          <w:rFonts w:ascii="CMMI10" w:hAnsi="CMMI10" w:eastAsia="CMMI10"/>
          <w:b w:val="0"/>
          <w:i/>
          <w:color w:val="000000"/>
          <w:sz w:val="18"/>
        </w:rPr>
        <w:t>&gt;</w:t>
      </w:r>
      <w:r>
        <w:rPr>
          <w:rFonts w:ascii="URWPalladioL" w:hAnsi="URWPalladioL" w:eastAsia="URWPalladioL"/>
          <w:b w:val="0"/>
          <w:i w:val="0"/>
          <w:color w:val="000000"/>
          <w:sz w:val="17"/>
        </w:rPr>
        <w:t xml:space="preserve"> 0</w:t>
      </w:r>
    </w:p>
    <w:p>
      <w:pPr>
        <w:autoSpaceDN w:val="0"/>
        <w:tabs>
          <w:tab w:pos="3056" w:val="left"/>
        </w:tabs>
        <w:autoSpaceDE w:val="0"/>
        <w:widowControl/>
        <w:spacing w:line="222" w:lineRule="exact" w:before="258" w:after="0"/>
        <w:ind w:left="2632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>If</w:t>
      </w:r>
      <w:r>
        <w:rPr>
          <w:rFonts w:ascii="URWPalladioL" w:hAnsi="URWPalladioL" w:eastAsia="URWPalladioL"/>
          <w:b w:val="0"/>
          <w:i/>
          <w:color w:val="000000"/>
          <w:sz w:val="20"/>
        </w:rPr>
        <w:t>Q</w:t>
      </w:r>
      <w:r>
        <w:rPr>
          <w:rFonts w:ascii="URWPalladioL" w:hAnsi="URWPalladioL" w:eastAsia="URWPalladioL"/>
          <w:b w:val="0"/>
          <w:i/>
          <w:color w:val="000000"/>
          <w:sz w:val="15"/>
        </w:rPr>
        <w:t xml:space="preserve"> f r</w:t>
      </w:r>
      <w:r>
        <w:rPr>
          <w:rFonts w:ascii="URWPalladioL" w:hAnsi="URWPalladioL" w:eastAsia="URWPalladioL"/>
          <w:b w:val="0"/>
          <w:i/>
          <w:color w:val="000000"/>
          <w:sz w:val="12"/>
        </w:rPr>
        <w:t>j</w:t>
      </w:r>
      <w:r>
        <w:rPr>
          <w:w w:val="98.86761619931175"/>
          <w:rFonts w:ascii="CMR10" w:hAnsi="CMR10" w:eastAsia="CMR10"/>
          <w:b w:val="0"/>
          <w:i w:val="0"/>
          <w:color w:val="000000"/>
          <w:sz w:val="21"/>
        </w:rPr>
        <w:t>=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0 the question</w:t>
      </w:r>
      <w:r>
        <w:rPr>
          <w:rFonts w:ascii="URWPalladioL" w:hAnsi="URWPalladioL" w:eastAsia="URWPalladioL"/>
          <w:b w:val="0"/>
          <w:i/>
          <w:color w:val="000000"/>
          <w:sz w:val="20"/>
        </w:rPr>
        <w:t xml:space="preserve"> j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 was not answered properly by the respondent and is not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added in the respondents’ index.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 questions employed in index calculation are:</w:t>
      </w:r>
    </w:p>
    <w:p>
      <w:pPr>
        <w:autoSpaceDN w:val="0"/>
        <w:autoSpaceDE w:val="0"/>
        <w:widowControl/>
        <w:spacing w:line="226" w:lineRule="exact" w:before="110" w:after="0"/>
        <w:ind w:left="2632" w:right="0" w:firstLine="0"/>
        <w:jc w:val="left"/>
      </w:pPr>
      <w:r>
        <w:rPr>
          <w:rFonts w:ascii="URWPalladioL" w:hAnsi="URWPalladioL" w:eastAsia="URWPalladioL"/>
          <w:b w:val="0"/>
          <w:i/>
          <w:color w:val="000000"/>
          <w:sz w:val="20"/>
        </w:rPr>
        <w:t>Q</w:t>
      </w:r>
      <w:r>
        <w:rPr>
          <w:rFonts w:ascii="URWPalladioL" w:hAnsi="URWPalladioL" w:eastAsia="URWPalladioL"/>
          <w:b w:val="0"/>
          <w:i/>
          <w:color w:val="000000"/>
          <w:sz w:val="15"/>
        </w:rPr>
        <w:t>fr</w:t>
      </w:r>
      <w:r>
        <w:rPr>
          <w:rFonts w:ascii="URWPalladioL" w:hAnsi="URWPalladioL" w:eastAsia="URWPalladioL"/>
          <w:b w:val="0"/>
          <w:i w:val="0"/>
          <w:color w:val="000000"/>
          <w:sz w:val="15"/>
        </w:rPr>
        <w:t>1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—Do you have an overview of your monthly income (salary, trade income, pension,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social benefits)?</w:t>
      </w:r>
    </w:p>
    <w:p>
      <w:pPr>
        <w:autoSpaceDN w:val="0"/>
        <w:autoSpaceDE w:val="0"/>
        <w:widowControl/>
        <w:spacing w:line="226" w:lineRule="exact" w:before="50" w:after="0"/>
        <w:ind w:left="2626" w:right="0" w:firstLine="6"/>
        <w:jc w:val="left"/>
      </w:pPr>
      <w:r>
        <w:rPr>
          <w:rFonts w:ascii="URWPalladioL" w:hAnsi="URWPalladioL" w:eastAsia="URWPalladioL"/>
          <w:b w:val="0"/>
          <w:i/>
          <w:color w:val="000000"/>
          <w:sz w:val="20"/>
        </w:rPr>
        <w:t>Q</w:t>
      </w:r>
      <w:r>
        <w:rPr>
          <w:rFonts w:ascii="URWPalladioL" w:hAnsi="URWPalladioL" w:eastAsia="URWPalladioL"/>
          <w:b w:val="0"/>
          <w:i/>
          <w:color w:val="000000"/>
          <w:sz w:val="15"/>
        </w:rPr>
        <w:t>fr</w:t>
      </w:r>
      <w:r>
        <w:rPr>
          <w:rFonts w:ascii="URWPalladioL" w:hAnsi="URWPalladioL" w:eastAsia="URWPalladioL"/>
          <w:b w:val="0"/>
          <w:i w:val="0"/>
          <w:color w:val="000000"/>
          <w:sz w:val="15"/>
        </w:rPr>
        <w:t>2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—Do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you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have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an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overview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of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monthly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income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(payment,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income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from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trade,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pension, social benefits) of other household members?</w:t>
      </w:r>
    </w:p>
    <w:p>
      <w:pPr>
        <w:autoSpaceDN w:val="0"/>
        <w:autoSpaceDE w:val="0"/>
        <w:widowControl/>
        <w:spacing w:line="226" w:lineRule="exact" w:before="50" w:after="0"/>
        <w:ind w:left="2632" w:right="0" w:firstLine="0"/>
        <w:jc w:val="left"/>
      </w:pPr>
      <w:r>
        <w:rPr>
          <w:rFonts w:ascii="URWPalladioL" w:hAnsi="URWPalladioL" w:eastAsia="URWPalladioL"/>
          <w:b w:val="0"/>
          <w:i/>
          <w:color w:val="000000"/>
          <w:sz w:val="20"/>
        </w:rPr>
        <w:t>Q</w:t>
      </w:r>
      <w:r>
        <w:rPr>
          <w:rFonts w:ascii="URWPalladioL" w:hAnsi="URWPalladioL" w:eastAsia="URWPalladioL"/>
          <w:b w:val="0"/>
          <w:i/>
          <w:color w:val="000000"/>
          <w:sz w:val="15"/>
        </w:rPr>
        <w:t>fr</w:t>
      </w:r>
      <w:r>
        <w:rPr>
          <w:rFonts w:ascii="URWPalladioL" w:hAnsi="URWPalladioL" w:eastAsia="URWPalladioL"/>
          <w:b w:val="0"/>
          <w:i w:val="0"/>
          <w:color w:val="000000"/>
          <w:sz w:val="15"/>
        </w:rPr>
        <w:t>3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—Do you create a budget and financial plan for your household for a longer period in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 future?</w:t>
      </w:r>
    </w:p>
    <w:p>
      <w:pPr>
        <w:autoSpaceDN w:val="0"/>
        <w:autoSpaceDE w:val="0"/>
        <w:widowControl/>
        <w:spacing w:line="226" w:lineRule="exact" w:before="50" w:after="0"/>
        <w:ind w:left="2626" w:right="0" w:firstLine="6"/>
        <w:jc w:val="left"/>
      </w:pPr>
      <w:r>
        <w:rPr>
          <w:rFonts w:ascii="URWPalladioL" w:hAnsi="URWPalladioL" w:eastAsia="URWPalladioL"/>
          <w:b w:val="0"/>
          <w:i/>
          <w:color w:val="000000"/>
          <w:sz w:val="20"/>
        </w:rPr>
        <w:t>Q</w:t>
      </w:r>
      <w:r>
        <w:rPr>
          <w:rFonts w:ascii="URWPalladioL" w:hAnsi="URWPalladioL" w:eastAsia="URWPalladioL"/>
          <w:b w:val="0"/>
          <w:i/>
          <w:color w:val="000000"/>
          <w:sz w:val="15"/>
        </w:rPr>
        <w:t>fr</w:t>
      </w:r>
      <w:r>
        <w:rPr>
          <w:rFonts w:ascii="URWPalladioL" w:hAnsi="URWPalladioL" w:eastAsia="URWPalladioL"/>
          <w:b w:val="0"/>
          <w:i w:val="0"/>
          <w:color w:val="000000"/>
          <w:sz w:val="15"/>
        </w:rPr>
        <w:t>4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—Does your household adhere to the created budget and financial plan for a longer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period in the future?</w:t>
      </w:r>
    </w:p>
    <w:p>
      <w:pPr>
        <w:autoSpaceDN w:val="0"/>
        <w:autoSpaceDE w:val="0"/>
        <w:widowControl/>
        <w:spacing w:line="226" w:lineRule="exact" w:before="50" w:after="0"/>
        <w:ind w:left="2632" w:right="0" w:firstLine="0"/>
        <w:jc w:val="left"/>
      </w:pPr>
      <w:r>
        <w:rPr>
          <w:rFonts w:ascii="URWPalladioL" w:hAnsi="URWPalladioL" w:eastAsia="URWPalladioL"/>
          <w:b w:val="0"/>
          <w:i/>
          <w:color w:val="000000"/>
          <w:sz w:val="20"/>
        </w:rPr>
        <w:t>Q</w:t>
      </w:r>
      <w:r>
        <w:rPr>
          <w:rFonts w:ascii="URWPalladioL" w:hAnsi="URWPalladioL" w:eastAsia="URWPalladioL"/>
          <w:b w:val="0"/>
          <w:i/>
          <w:color w:val="000000"/>
          <w:sz w:val="15"/>
        </w:rPr>
        <w:t>fr</w:t>
      </w:r>
      <w:r>
        <w:rPr>
          <w:rFonts w:ascii="URWPalladioL" w:hAnsi="URWPalladioL" w:eastAsia="URWPalladioL"/>
          <w:b w:val="0"/>
          <w:i w:val="0"/>
          <w:color w:val="000000"/>
          <w:sz w:val="15"/>
        </w:rPr>
        <w:t>5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—Do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you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save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any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amount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per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month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in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household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in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case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of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extraordinary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expenses?</w:t>
      </w:r>
    </w:p>
    <w:p>
      <w:pPr>
        <w:autoSpaceDN w:val="0"/>
        <w:autoSpaceDE w:val="0"/>
        <w:widowControl/>
        <w:spacing w:line="226" w:lineRule="exact" w:before="50" w:after="0"/>
        <w:ind w:left="0" w:right="2964" w:firstLine="0"/>
        <w:jc w:val="right"/>
      </w:pPr>
      <w:r>
        <w:rPr>
          <w:rFonts w:ascii="URWPalladioL" w:hAnsi="URWPalladioL" w:eastAsia="URWPalladioL"/>
          <w:b w:val="0"/>
          <w:i/>
          <w:color w:val="000000"/>
          <w:sz w:val="20"/>
        </w:rPr>
        <w:t>Q</w:t>
      </w:r>
      <w:r>
        <w:rPr>
          <w:rFonts w:ascii="URWPalladioL" w:hAnsi="URWPalladioL" w:eastAsia="URWPalladioL"/>
          <w:b w:val="0"/>
          <w:i/>
          <w:color w:val="000000"/>
          <w:sz w:val="15"/>
        </w:rPr>
        <w:t>fr</w:t>
      </w:r>
      <w:r>
        <w:rPr>
          <w:rFonts w:ascii="URWPalladioL" w:hAnsi="URWPalladioL" w:eastAsia="URWPalladioL"/>
          <w:b w:val="0"/>
          <w:i w:val="0"/>
          <w:color w:val="000000"/>
          <w:sz w:val="15"/>
        </w:rPr>
        <w:t>6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—How will you behave in the case of lack of funds?</w:t>
      </w:r>
    </w:p>
    <w:p>
      <w:pPr>
        <w:autoSpaceDN w:val="0"/>
        <w:autoSpaceDE w:val="0"/>
        <w:widowControl/>
        <w:spacing w:line="252" w:lineRule="exact" w:before="26" w:after="0"/>
        <w:ind w:left="2632" w:right="0" w:firstLine="0"/>
        <w:jc w:val="left"/>
      </w:pPr>
      <w:r>
        <w:rPr>
          <w:w w:val="98.67501258850098"/>
          <w:rFonts w:ascii="URWPalladioL" w:hAnsi="URWPalladioL" w:eastAsia="URWPalladioL"/>
          <w:b w:val="0"/>
          <w:i/>
          <w:color w:val="000000"/>
          <w:sz w:val="20"/>
        </w:rPr>
        <w:t>Q</w:t>
      </w:r>
      <w:r>
        <w:rPr>
          <w:rFonts w:ascii="URWPalladioL" w:hAnsi="URWPalladioL" w:eastAsia="URWPalladioL"/>
          <w:b w:val="0"/>
          <w:i/>
          <w:color w:val="000000"/>
          <w:sz w:val="15"/>
        </w:rPr>
        <w:t>fr</w:t>
      </w:r>
      <w:r>
        <w:rPr>
          <w:rFonts w:ascii="URWPalladioL" w:hAnsi="URWPalladioL" w:eastAsia="URWPalladioL"/>
          <w:b w:val="0"/>
          <w:i w:val="0"/>
          <w:color w:val="000000"/>
          <w:sz w:val="15"/>
        </w:rPr>
        <w:t>7</w:t>
      </w:r>
      <w:r>
        <w:rPr>
          <w:w w:val="98.67501258850098"/>
          <w:rFonts w:ascii="URWPalladioL" w:hAnsi="URWPalladioL" w:eastAsia="URWPalladioL"/>
          <w:b w:val="0"/>
          <w:i w:val="0"/>
          <w:color w:val="000000"/>
          <w:sz w:val="20"/>
        </w:rPr>
        <w:t>—If you are saving, please indicate how?</w:t>
      </w:r>
      <w:r>
        <w:rPr>
          <w:w w:val="98.67501258850098"/>
          <w:rFonts w:ascii="URWPalladioL" w:hAnsi="URWPalladioL" w:eastAsia="URWPalladioL"/>
          <w:b w:val="0"/>
          <w:i w:val="0"/>
          <w:color w:val="000000"/>
          <w:sz w:val="20"/>
        </w:rPr>
        <w:t xml:space="preserve">(the most progressive ways are valuated as 2,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less progressive as 1.5 and no saving as 1) </w:t>
      </w:r>
      <w:r>
        <w:br/>
      </w:r>
      <w:r>
        <w:rPr>
          <w:rFonts w:ascii="URWPalladioL" w:hAnsi="URWPalladioL" w:eastAsia="URWPalladioL"/>
          <w:b w:val="0"/>
          <w:i/>
          <w:color w:val="000000"/>
          <w:sz w:val="20"/>
        </w:rPr>
        <w:t>Q</w:t>
      </w:r>
      <w:r>
        <w:rPr>
          <w:rFonts w:ascii="URWPalladioL" w:hAnsi="URWPalladioL" w:eastAsia="URWPalladioL"/>
          <w:b w:val="0"/>
          <w:i/>
          <w:color w:val="000000"/>
          <w:sz w:val="15"/>
        </w:rPr>
        <w:t>fr</w:t>
      </w:r>
      <w:r>
        <w:rPr>
          <w:rFonts w:ascii="URWPalladioL" w:hAnsi="URWPalladioL" w:eastAsia="URWPalladioL"/>
          <w:b w:val="0"/>
          <w:i w:val="0"/>
          <w:color w:val="000000"/>
          <w:sz w:val="15"/>
        </w:rPr>
        <w:t>8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—Do you have life insurance?</w:t>
      </w:r>
    </w:p>
    <w:p>
      <w:pPr>
        <w:autoSpaceDN w:val="0"/>
        <w:autoSpaceDE w:val="0"/>
        <w:widowControl/>
        <w:spacing w:line="226" w:lineRule="exact" w:before="54" w:after="0"/>
        <w:ind w:left="2626" w:right="0" w:firstLine="6"/>
        <w:jc w:val="left"/>
      </w:pPr>
      <w:r>
        <w:rPr>
          <w:rFonts w:ascii="URWPalladioL" w:hAnsi="URWPalladioL" w:eastAsia="URWPalladioL"/>
          <w:b w:val="0"/>
          <w:i/>
          <w:color w:val="000000"/>
          <w:sz w:val="20"/>
        </w:rPr>
        <w:t>Q</w:t>
      </w:r>
      <w:r>
        <w:rPr>
          <w:rFonts w:ascii="URWPalladioL" w:hAnsi="URWPalladioL" w:eastAsia="URWPalladioL"/>
          <w:b w:val="0"/>
          <w:i/>
          <w:color w:val="000000"/>
          <w:sz w:val="15"/>
        </w:rPr>
        <w:t>fr</w:t>
      </w:r>
      <w:r>
        <w:rPr>
          <w:rFonts w:ascii="URWPalladioL" w:hAnsi="URWPalladioL" w:eastAsia="URWPalladioL"/>
          <w:b w:val="0"/>
          <w:i w:val="0"/>
          <w:color w:val="000000"/>
          <w:sz w:val="15"/>
        </w:rPr>
        <w:t>9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—What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would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you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do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if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you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lose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your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credit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card?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(the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most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secure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solutions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are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valuated as 2, less secure as 1.5 and dangerous as 1)</w:t>
      </w:r>
    </w:p>
    <w:p>
      <w:pPr>
        <w:autoSpaceDN w:val="0"/>
        <w:autoSpaceDE w:val="0"/>
        <w:widowControl/>
        <w:spacing w:line="242" w:lineRule="exact" w:before="34" w:after="0"/>
        <w:ind w:left="2632" w:right="0" w:firstLine="0"/>
        <w:jc w:val="left"/>
      </w:pPr>
      <w:r>
        <w:rPr>
          <w:w w:val="98.62470626831055"/>
          <w:rFonts w:ascii="URWPalladioL" w:hAnsi="URWPalladioL" w:eastAsia="URWPalladioL"/>
          <w:b w:val="0"/>
          <w:i/>
          <w:color w:val="000000"/>
          <w:sz w:val="20"/>
        </w:rPr>
        <w:t>Q</w:t>
      </w:r>
      <w:r>
        <w:rPr>
          <w:rFonts w:ascii="URWPalladioL" w:hAnsi="URWPalladioL" w:eastAsia="URWPalladioL"/>
          <w:b w:val="0"/>
          <w:i/>
          <w:color w:val="000000"/>
          <w:sz w:val="15"/>
        </w:rPr>
        <w:t>fr</w:t>
      </w:r>
      <w:r>
        <w:rPr>
          <w:rFonts w:ascii="URWPalladioL" w:hAnsi="URWPalladioL" w:eastAsia="URWPalladioL"/>
          <w:b w:val="0"/>
          <w:i w:val="0"/>
          <w:color w:val="000000"/>
          <w:sz w:val="15"/>
        </w:rPr>
        <w:t>10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—How do you store the PIN for the card?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(the most secure solutions are valuated as 2,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less secure as 1.5 and dangerous as 1) </w:t>
      </w:r>
      <w:r>
        <w:br/>
      </w:r>
      <w:r>
        <w:rPr>
          <w:rFonts w:ascii="URWPalladioL" w:hAnsi="URWPalladioL" w:eastAsia="URWPalladioL"/>
          <w:b w:val="0"/>
          <w:i/>
          <w:color w:val="000000"/>
          <w:sz w:val="20"/>
        </w:rPr>
        <w:t>Q</w:t>
      </w:r>
      <w:r>
        <w:rPr>
          <w:rFonts w:ascii="URWPalladioL" w:hAnsi="URWPalladioL" w:eastAsia="URWPalladioL"/>
          <w:b w:val="0"/>
          <w:i/>
          <w:color w:val="000000"/>
          <w:sz w:val="15"/>
        </w:rPr>
        <w:t>fr</w:t>
      </w:r>
      <w:r>
        <w:rPr>
          <w:rFonts w:ascii="URWPalladioL" w:hAnsi="URWPalladioL" w:eastAsia="URWPalladioL"/>
          <w:b w:val="0"/>
          <w:i w:val="0"/>
          <w:color w:val="000000"/>
          <w:sz w:val="15"/>
        </w:rPr>
        <w:t>11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—Do you read contracts carefully?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Do you understand everything before you sign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them?</w:t>
      </w:r>
    </w:p>
    <w:p>
      <w:pPr>
        <w:autoSpaceDN w:val="0"/>
        <w:autoSpaceDE w:val="0"/>
        <w:widowControl/>
        <w:spacing w:line="198" w:lineRule="exact" w:before="246" w:after="0"/>
        <w:ind w:left="0" w:right="4768" w:firstLine="0"/>
        <w:jc w:val="right"/>
      </w:pPr>
      <w:r>
        <w:rPr>
          <w:rFonts w:ascii="URWPalladioL" w:hAnsi="URWPalladioL" w:eastAsia="URWPalladioL"/>
          <w:b w:val="0"/>
          <w:i/>
          <w:color w:val="000000"/>
          <w:sz w:val="20"/>
        </w:rPr>
        <w:t>3.4.</w:t>
      </w:r>
      <w:r>
        <w:rPr>
          <w:rFonts w:ascii="URWPalladioL" w:hAnsi="URWPalladioL" w:eastAsia="URWPalladioL"/>
          <w:b w:val="0"/>
          <w:i/>
          <w:color w:val="000000"/>
          <w:sz w:val="20"/>
        </w:rPr>
        <w:t>The Index of Financial Well-Being</w:t>
      </w:r>
    </w:p>
    <w:p>
      <w:pPr>
        <w:autoSpaceDN w:val="0"/>
        <w:autoSpaceDE w:val="0"/>
        <w:widowControl/>
        <w:spacing w:line="226" w:lineRule="exact" w:before="114" w:after="0"/>
        <w:ind w:left="2632" w:right="0" w:firstLine="424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index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of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financial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well-being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(</w:t>
      </w:r>
      <w:r>
        <w:rPr>
          <w:rFonts w:ascii="URWPalladioL" w:hAnsi="URWPalladioL" w:eastAsia="URWPalladioL"/>
          <w:b w:val="0"/>
          <w:i/>
          <w:color w:val="000000"/>
          <w:sz w:val="20"/>
        </w:rPr>
        <w:t>I</w:t>
      </w:r>
      <w:r>
        <w:rPr>
          <w:rFonts w:ascii="URWPalladioL" w:hAnsi="URWPalladioL" w:eastAsia="URWPalladioL"/>
          <w:b w:val="0"/>
          <w:i/>
          <w:color w:val="000000"/>
          <w:sz w:val="15"/>
        </w:rPr>
        <w:t>fwb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)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based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on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9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+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1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questions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concerning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financial (economic) situation and well-being of the respondent and his/her household</w:t>
      </w:r>
    </w:p>
    <w:p>
      <w:pPr>
        <w:autoSpaceDN w:val="0"/>
        <w:autoSpaceDE w:val="0"/>
        <w:widowControl/>
        <w:spacing w:line="226" w:lineRule="exact" w:before="50" w:after="166"/>
        <w:ind w:left="2632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>and is calculated for every respondent using Equation (2).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Plus 1 means</w:t>
      </w:r>
      <w:r>
        <w:rPr>
          <w:rFonts w:ascii="URWPalladioL" w:hAnsi="URWPalladioL" w:eastAsia="URWPalladioL"/>
          <w:b w:val="0"/>
          <w:i/>
          <w:color w:val="000000"/>
          <w:sz w:val="20"/>
        </w:rPr>
        <w:t xml:space="preserve"> Q</w:t>
      </w:r>
      <w:r>
        <w:rPr>
          <w:rFonts w:ascii="URWPalladioL" w:hAnsi="URWPalladioL" w:eastAsia="URWPalladioL"/>
          <w:b w:val="0"/>
          <w:i/>
          <w:color w:val="000000"/>
          <w:sz w:val="15"/>
        </w:rPr>
        <w:t>fr</w:t>
      </w:r>
      <w:r>
        <w:rPr>
          <w:rFonts w:ascii="URWPalladioL" w:hAnsi="URWPalladioL" w:eastAsia="URWPalladioL"/>
          <w:b w:val="0"/>
          <w:i w:val="0"/>
          <w:color w:val="000000"/>
          <w:sz w:val="15"/>
        </w:rPr>
        <w:t>9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is doubled in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 index to emphasize the importance of it.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86.0" w:type="dxa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rPr>
          <w:trHeight w:hRule="exact" w:val="396"/>
        </w:trPr>
        <w:tc>
          <w:tcPr>
            <w:tcW w:type="dxa" w:w="3256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450" w:after="0"/>
              <w:ind w:left="0" w:right="178" w:firstLine="0"/>
              <w:jc w:val="right"/>
            </w:pPr>
            <w:r>
              <w:rPr>
                <w:w w:val="98.86761619931175"/>
                <w:rFonts w:ascii="CMR10" w:hAnsi="CMR10" w:eastAsia="CMR10"/>
                <w:b w:val="0"/>
                <w:i w:val="0"/>
                <w:color w:val="000000"/>
                <w:sz w:val="21"/>
              </w:rPr>
              <w:t>=</w:t>
            </w:r>
          </w:p>
        </w:tc>
        <w:tc>
          <w:tcPr>
            <w:tcW w:type="dxa" w:w="3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0" w:after="0"/>
              <w:ind w:left="0" w:right="0" w:firstLine="0"/>
              <w:jc w:val="center"/>
            </w:pPr>
            <w:r>
              <w:rPr>
                <w:rFonts w:ascii="PazoMath" w:hAnsi="PazoMath" w:eastAsia="PazoMath"/>
                <w:b w:val="0"/>
                <w:i w:val="0"/>
                <w:color w:val="000000"/>
                <w:sz w:val="20"/>
              </w:rPr>
              <w:t>∑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5"/>
              </w:rPr>
              <w:t>10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21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/>
                <w:color w:val="000000"/>
                <w:sz w:val="17"/>
              </w:rPr>
              <w:t>j</w:t>
            </w:r>
            <w:r>
              <w:rPr>
                <w:w w:val="98.04371727837456"/>
                <w:rFonts w:ascii="CMR10" w:hAnsi="CMR10" w:eastAsia="CMR10"/>
                <w:b w:val="0"/>
                <w:i w:val="0"/>
                <w:color w:val="000000"/>
                <w:sz w:val="18"/>
              </w:rPr>
              <w:t xml:space="preserve"> =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7"/>
              </w:rPr>
              <w:t xml:space="preserve"> 1</w:t>
            </w:r>
          </w:p>
        </w:tc>
        <w:tc>
          <w:tcPr>
            <w:tcW w:type="dxa" w:w="128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84" w:after="0"/>
              <w:ind w:left="278" w:right="0" w:firstLine="0"/>
              <w:jc w:val="left"/>
            </w:pPr>
            <w:r>
              <w:rPr>
                <w:w w:val="98.86761619931175"/>
                <w:rFonts w:ascii="CMR10" w:hAnsi="CMR10" w:eastAsia="CMR10"/>
                <w:b w:val="0"/>
                <w:i w:val="0"/>
                <w:color w:val="000000"/>
                <w:sz w:val="21"/>
              </w:rPr>
              <w:t>(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20"/>
              </w:rPr>
              <w:t>Q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5"/>
              </w:rPr>
              <w:t xml:space="preserve"> f wb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2"/>
              </w:rPr>
              <w:t>j</w:t>
            </w:r>
            <w:r>
              <w:rPr>
                <w:w w:val="98.86761619931175"/>
                <w:rFonts w:ascii="CMSY10" w:hAnsi="CMSY10" w:eastAsia="CMSY10"/>
                <w:b w:val="0"/>
                <w:i/>
                <w:color w:val="000000"/>
                <w:sz w:val="21"/>
              </w:rPr>
              <w:t>−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>1</w:t>
            </w:r>
            <w:r>
              <w:rPr>
                <w:w w:val="98.86761619931175"/>
                <w:rFonts w:ascii="CMR10" w:hAnsi="CMR10" w:eastAsia="CMR10"/>
                <w:b w:val="0"/>
                <w:i w:val="0"/>
                <w:color w:val="000000"/>
                <w:sz w:val="21"/>
              </w:rPr>
              <w:t>)</w:t>
            </w:r>
          </w:p>
        </w:tc>
        <w:tc>
          <w:tcPr>
            <w:tcW w:type="dxa" w:w="1412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450" w:after="0"/>
              <w:ind w:left="60" w:right="0" w:firstLine="0"/>
              <w:jc w:val="left"/>
            </w:pPr>
            <w:r>
              <w:rPr>
                <w:w w:val="98.86761619931175"/>
                <w:rFonts w:ascii="CMSY10" w:hAnsi="CMSY10" w:eastAsia="CMSY10"/>
                <w:b w:val="0"/>
                <w:i/>
                <w:color w:val="000000"/>
                <w:sz w:val="21"/>
              </w:rPr>
              <w:t>−</w:t>
            </w:r>
          </w:p>
        </w:tc>
        <w:tc>
          <w:tcPr>
            <w:tcW w:type="dxa" w:w="132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6"/>
        </w:trPr>
        <w:tc>
          <w:tcPr>
            <w:tcW w:type="dxa" w:w="1314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2012"/>
            <w:gridSpan w:val="5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8" w:after="0"/>
              <w:ind w:left="17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/>
                <w:color w:val="000000"/>
                <w:sz w:val="17"/>
              </w:rPr>
              <w:t>Q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3"/>
              </w:rPr>
              <w:t xml:space="preserve"> f wb</w:t>
            </w:r>
            <w:r>
              <w:rPr>
                <w:w w:val="101.61920547485353"/>
                <w:rFonts w:ascii="URWPalladioL" w:hAnsi="URWPalladioL" w:eastAsia="URWPalladioL"/>
                <w:b w:val="0"/>
                <w:i/>
                <w:color w:val="000000"/>
                <w:sz w:val="10"/>
              </w:rPr>
              <w:t>j</w:t>
            </w:r>
            <w:r>
              <w:rPr>
                <w:w w:val="98.04371727837456"/>
                <w:rFonts w:ascii="CMMI10" w:hAnsi="CMMI10" w:eastAsia="CMMI10"/>
                <w:b w:val="0"/>
                <w:i/>
                <w:color w:val="000000"/>
                <w:sz w:val="18"/>
              </w:rPr>
              <w:t>&gt;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7"/>
              </w:rPr>
              <w:t xml:space="preserve"> 0</w:t>
            </w:r>
          </w:p>
        </w:tc>
        <w:tc>
          <w:tcPr>
            <w:tcW w:type="dxa" w:w="1314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314"/>
            <w:vMerge/>
            <w:tcBorders>
              <w:bottom w:sz="3.184000015258789" w:val="single" w:color="#000000"/>
            </w:tcBorders>
          </w:tcPr>
          <w:p/>
        </w:tc>
      </w:tr>
      <w:tr>
        <w:trPr>
          <w:trHeight w:hRule="exact" w:val="366"/>
        </w:trPr>
        <w:tc>
          <w:tcPr>
            <w:tcW w:type="dxa" w:w="325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0" w:right="20" w:firstLine="0"/>
              <w:jc w:val="right"/>
            </w:pPr>
            <w:r>
              <w:rPr>
                <w:rFonts w:ascii="URWPalladioL" w:hAnsi="URWPalladioL" w:eastAsia="URWPalladioL"/>
                <w:b w:val="0"/>
                <w:i/>
                <w:color w:val="000000"/>
                <w:sz w:val="20"/>
              </w:rPr>
              <w:t>I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5"/>
              </w:rPr>
              <w:t>f wb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 xml:space="preserve"> 2</w:t>
            </w:r>
          </w:p>
        </w:tc>
        <w:tc>
          <w:tcPr>
            <w:tcW w:type="dxa" w:w="772"/>
            <w:gridSpan w:val="3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0" w:after="0"/>
              <w:ind w:left="0" w:right="22" w:firstLine="0"/>
              <w:jc w:val="right"/>
            </w:pPr>
            <w:r>
              <w:rPr>
                <w:rFonts w:ascii="PazoMath" w:hAnsi="PazoMath" w:eastAsia="PazoMath"/>
                <w:b w:val="0"/>
                <w:i w:val="0"/>
                <w:color w:val="000000"/>
                <w:sz w:val="20"/>
              </w:rPr>
              <w:t>∑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5"/>
              </w:rPr>
              <w:t>10</w:t>
            </w:r>
          </w:p>
        </w:tc>
        <w:tc>
          <w:tcPr>
            <w:tcW w:type="dxa" w:w="53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74" w:after="0"/>
              <w:ind w:left="2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/>
                <w:color w:val="000000"/>
                <w:sz w:val="17"/>
              </w:rPr>
              <w:t>j</w:t>
            </w:r>
            <w:r>
              <w:rPr>
                <w:w w:val="98.04371727837456"/>
                <w:rFonts w:ascii="CMR10" w:hAnsi="CMR10" w:eastAsia="CMR10"/>
                <w:b w:val="0"/>
                <w:i w:val="0"/>
                <w:color w:val="000000"/>
                <w:sz w:val="18"/>
              </w:rPr>
              <w:t xml:space="preserve"> =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7"/>
              </w:rPr>
              <w:t xml:space="preserve"> 1</w:t>
            </w:r>
          </w:p>
        </w:tc>
        <w:tc>
          <w:tcPr>
            <w:tcW w:type="dxa" w:w="708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8" w:after="0"/>
              <w:ind w:left="166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141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264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132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14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>(2)</w:t>
            </w:r>
          </w:p>
        </w:tc>
      </w:tr>
    </w:tbl>
    <w:p>
      <w:pPr>
        <w:autoSpaceDN w:val="0"/>
        <w:autoSpaceDE w:val="0"/>
        <w:widowControl/>
        <w:spacing w:line="228" w:lineRule="exact" w:before="2" w:after="0"/>
        <w:ind w:left="0" w:right="3432" w:firstLine="0"/>
        <w:jc w:val="right"/>
      </w:pPr>
      <w:r>
        <w:rPr>
          <w:rFonts w:ascii="URWPalladioL" w:hAnsi="URWPalladioL" w:eastAsia="URWPalladioL"/>
          <w:b w:val="0"/>
          <w:i/>
          <w:color w:val="000000"/>
          <w:sz w:val="17"/>
        </w:rPr>
        <w:t>Q</w:t>
      </w:r>
      <w:r>
        <w:rPr>
          <w:rFonts w:ascii="URWPalladioL" w:hAnsi="URWPalladioL" w:eastAsia="URWPalladioL"/>
          <w:b w:val="0"/>
          <w:i/>
          <w:color w:val="000000"/>
          <w:sz w:val="13"/>
        </w:rPr>
        <w:t xml:space="preserve"> f wb</w:t>
      </w:r>
      <w:r>
        <w:rPr>
          <w:w w:val="101.61920547485353"/>
          <w:rFonts w:ascii="URWPalladioL" w:hAnsi="URWPalladioL" w:eastAsia="URWPalladioL"/>
          <w:b w:val="0"/>
          <w:i/>
          <w:color w:val="000000"/>
          <w:sz w:val="10"/>
        </w:rPr>
        <w:t>j</w:t>
      </w:r>
      <w:r>
        <w:rPr>
          <w:w w:val="98.04371727837456"/>
          <w:rFonts w:ascii="CMMI10" w:hAnsi="CMMI10" w:eastAsia="CMMI10"/>
          <w:b w:val="0"/>
          <w:i/>
          <w:color w:val="000000"/>
          <w:sz w:val="18"/>
        </w:rPr>
        <w:t>&gt;</w:t>
      </w:r>
      <w:r>
        <w:rPr>
          <w:rFonts w:ascii="URWPalladioL" w:hAnsi="URWPalladioL" w:eastAsia="URWPalladioL"/>
          <w:b w:val="0"/>
          <w:i w:val="0"/>
          <w:color w:val="000000"/>
          <w:sz w:val="17"/>
        </w:rPr>
        <w:t xml:space="preserve"> 0</w:t>
      </w:r>
    </w:p>
    <w:p>
      <w:pPr>
        <w:autoSpaceDN w:val="0"/>
        <w:tabs>
          <w:tab w:pos="3056" w:val="left"/>
        </w:tabs>
        <w:autoSpaceDE w:val="0"/>
        <w:widowControl/>
        <w:spacing w:line="220" w:lineRule="exact" w:before="262" w:after="0"/>
        <w:ind w:left="2632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>If</w:t>
      </w:r>
      <w:r>
        <w:rPr>
          <w:rFonts w:ascii="URWPalladioL" w:hAnsi="URWPalladioL" w:eastAsia="URWPalladioL"/>
          <w:b w:val="0"/>
          <w:i/>
          <w:color w:val="000000"/>
          <w:sz w:val="20"/>
        </w:rPr>
        <w:t xml:space="preserve"> Q</w:t>
      </w:r>
      <w:r>
        <w:rPr>
          <w:rFonts w:ascii="URWPalladioL" w:hAnsi="URWPalladioL" w:eastAsia="URWPalladioL"/>
          <w:b w:val="0"/>
          <w:i/>
          <w:color w:val="000000"/>
          <w:sz w:val="15"/>
        </w:rPr>
        <w:t xml:space="preserve"> f wb</w:t>
      </w:r>
      <w:r>
        <w:rPr>
          <w:rFonts w:ascii="URWPalladioL" w:hAnsi="URWPalladioL" w:eastAsia="URWPalladioL"/>
          <w:b w:val="0"/>
          <w:i/>
          <w:color w:val="000000"/>
          <w:sz w:val="12"/>
        </w:rPr>
        <w:t>j</w:t>
      </w:r>
      <w:r>
        <w:rPr>
          <w:w w:val="98.86761619931175"/>
          <w:rFonts w:ascii="CMR10" w:hAnsi="CMR10" w:eastAsia="CMR10"/>
          <w:b w:val="0"/>
          <w:i w:val="0"/>
          <w:color w:val="000000"/>
          <w:sz w:val="21"/>
        </w:rPr>
        <w:t>=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 0 the question</w:t>
      </w:r>
      <w:r>
        <w:rPr>
          <w:rFonts w:ascii="URWPalladioL" w:hAnsi="URWPalladioL" w:eastAsia="URWPalladioL"/>
          <w:b w:val="0"/>
          <w:i/>
          <w:color w:val="000000"/>
          <w:sz w:val="20"/>
        </w:rPr>
        <w:t xml:space="preserve"> j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 was not answered properly by the respondent and is not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added in the respondent’s index.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 questions employed in index calculation are:</w:t>
      </w:r>
    </w:p>
    <w:p>
      <w:pPr>
        <w:autoSpaceDN w:val="0"/>
        <w:autoSpaceDE w:val="0"/>
        <w:widowControl/>
        <w:spacing w:line="226" w:lineRule="exact" w:before="110" w:after="0"/>
        <w:ind w:left="2632" w:right="0" w:firstLine="0"/>
        <w:jc w:val="left"/>
      </w:pPr>
      <w:r>
        <w:rPr>
          <w:rFonts w:ascii="URWPalladioL" w:hAnsi="URWPalladioL" w:eastAsia="URWPalladioL"/>
          <w:b w:val="0"/>
          <w:i/>
          <w:color w:val="000000"/>
          <w:sz w:val="20"/>
        </w:rPr>
        <w:t>Q</w:t>
      </w:r>
      <w:r>
        <w:rPr>
          <w:rFonts w:ascii="URWPalladioL" w:hAnsi="URWPalladioL" w:eastAsia="URWPalladioL"/>
          <w:b w:val="0"/>
          <w:i/>
          <w:color w:val="000000"/>
          <w:sz w:val="15"/>
        </w:rPr>
        <w:t>fwb</w:t>
      </w:r>
      <w:r>
        <w:rPr>
          <w:rFonts w:ascii="URWPalladioL" w:hAnsi="URWPalladioL" w:eastAsia="URWPalladioL"/>
          <w:b w:val="0"/>
          <w:i w:val="0"/>
          <w:color w:val="000000"/>
          <w:sz w:val="15"/>
        </w:rPr>
        <w:t>1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—Do you draw social benefits?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(the most valuable answer is ‘no, we are not entitled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to them’)</w:t>
      </w:r>
    </w:p>
    <w:p>
      <w:pPr>
        <w:autoSpaceDN w:val="0"/>
        <w:autoSpaceDE w:val="0"/>
        <w:widowControl/>
        <w:spacing w:line="226" w:lineRule="exact" w:before="50" w:after="0"/>
        <w:ind w:left="2632" w:right="0" w:firstLine="0"/>
        <w:jc w:val="left"/>
      </w:pPr>
      <w:r>
        <w:rPr>
          <w:w w:val="98.67501258850098"/>
          <w:rFonts w:ascii="URWPalladioL" w:hAnsi="URWPalladioL" w:eastAsia="URWPalladioL"/>
          <w:b w:val="0"/>
          <w:i/>
          <w:color w:val="000000"/>
          <w:sz w:val="20"/>
        </w:rPr>
        <w:t>Q</w:t>
      </w:r>
      <w:r>
        <w:rPr>
          <w:rFonts w:ascii="URWPalladioL" w:hAnsi="URWPalladioL" w:eastAsia="URWPalladioL"/>
          <w:b w:val="0"/>
          <w:i/>
          <w:color w:val="000000"/>
          <w:sz w:val="15"/>
        </w:rPr>
        <w:t>fwb</w:t>
      </w:r>
      <w:r>
        <w:rPr>
          <w:rFonts w:ascii="URWPalladioL" w:hAnsi="URWPalladioL" w:eastAsia="URWPalladioL"/>
          <w:b w:val="0"/>
          <w:i w:val="0"/>
          <w:color w:val="000000"/>
          <w:sz w:val="15"/>
        </w:rPr>
        <w:t>2</w:t>
      </w:r>
      <w:r>
        <w:rPr>
          <w:w w:val="98.67501258850098"/>
          <w:rFonts w:ascii="URWPalladioL" w:hAnsi="URWPalladioL" w:eastAsia="URWPalladioL"/>
          <w:b w:val="0"/>
          <w:i w:val="0"/>
          <w:color w:val="000000"/>
          <w:sz w:val="20"/>
        </w:rPr>
        <w:t xml:space="preserve">—Would it be a problem for you if an important appliance (e.g., refrigerator, washing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machine) unexpectedly broke down?</w:t>
      </w:r>
    </w:p>
    <w:p>
      <w:pPr>
        <w:autoSpaceDN w:val="0"/>
        <w:autoSpaceDE w:val="0"/>
        <w:widowControl/>
        <w:spacing w:line="226" w:lineRule="exact" w:before="50" w:after="0"/>
        <w:ind w:left="0" w:right="30" w:firstLine="0"/>
        <w:jc w:val="right"/>
      </w:pPr>
      <w:r>
        <w:rPr>
          <w:w w:val="98.87598037719727"/>
          <w:rFonts w:ascii="URWPalladioL" w:hAnsi="URWPalladioL" w:eastAsia="URWPalladioL"/>
          <w:b w:val="0"/>
          <w:i/>
          <w:color w:val="000000"/>
          <w:sz w:val="20"/>
        </w:rPr>
        <w:t>Q</w:t>
      </w:r>
      <w:r>
        <w:rPr>
          <w:rFonts w:ascii="URWPalladioL" w:hAnsi="URWPalladioL" w:eastAsia="URWPalladioL"/>
          <w:b w:val="0"/>
          <w:i/>
          <w:color w:val="000000"/>
          <w:sz w:val="15"/>
        </w:rPr>
        <w:t>fwb</w:t>
      </w:r>
      <w:r>
        <w:rPr>
          <w:rFonts w:ascii="URWPalladioL" w:hAnsi="URWPalladioL" w:eastAsia="URWPalladioL"/>
          <w:b w:val="0"/>
          <w:i w:val="0"/>
          <w:color w:val="000000"/>
          <w:sz w:val="15"/>
        </w:rPr>
        <w:t>3</w:t>
      </w:r>
      <w:r>
        <w:rPr>
          <w:w w:val="98.87598037719727"/>
          <w:rFonts w:ascii="URWPalladioL" w:hAnsi="URWPalladioL" w:eastAsia="URWPalladioL"/>
          <w:b w:val="0"/>
          <w:i w:val="0"/>
          <w:color w:val="000000"/>
          <w:sz w:val="20"/>
        </w:rPr>
        <w:t>—Do you have a mortgage?</w:t>
      </w:r>
      <w:r>
        <w:rPr>
          <w:w w:val="98.87598037719727"/>
          <w:rFonts w:ascii="URWPalladioL" w:hAnsi="URWPalladioL" w:eastAsia="URWPalladioL"/>
          <w:b w:val="0"/>
          <w:i w:val="0"/>
          <w:color w:val="000000"/>
          <w:sz w:val="20"/>
        </w:rPr>
        <w:t>To what extent does it burden your household’s budget?</w:t>
      </w:r>
    </w:p>
    <w:p>
      <w:pPr>
        <w:sectPr>
          <w:pgSz w:w="11906" w:h="16838"/>
          <w:pgMar w:top="538" w:right="676" w:bottom="586" w:left="7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5263"/>
        <w:gridCol w:w="5263"/>
      </w:tblGrid>
      <w:tr>
        <w:trPr>
          <w:trHeight w:hRule="exact" w:val="272"/>
        </w:trPr>
        <w:tc>
          <w:tcPr>
            <w:tcW w:type="dxa" w:w="558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0" w:after="0"/>
              <w:ind w:left="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/>
                <w:color w:val="000000"/>
                <w:sz w:val="16"/>
              </w:rPr>
              <w:t>Risks</w:t>
            </w:r>
            <w:r>
              <w:rPr>
                <w:rFonts w:ascii="URWPalladioL" w:hAnsi="URWPalladioL" w:eastAsia="URWPalladioL"/>
                <w:b/>
                <w:i w:val="0"/>
                <w:color w:val="000000"/>
                <w:sz w:val="16"/>
              </w:rPr>
              <w:t xml:space="preserve"> 2021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,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6"/>
              </w:rPr>
              <w:t xml:space="preserve"> 9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, 205</w:t>
            </w:r>
          </w:p>
        </w:tc>
        <w:tc>
          <w:tcPr>
            <w:tcW w:type="dxa" w:w="489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" w:after="0"/>
              <w:ind w:left="0" w:right="4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7 of 24</w:t>
            </w:r>
          </w:p>
        </w:tc>
      </w:tr>
    </w:tbl>
    <w:p>
      <w:pPr>
        <w:autoSpaceDN w:val="0"/>
        <w:autoSpaceDE w:val="0"/>
        <w:widowControl/>
        <w:spacing w:line="252" w:lineRule="exact" w:before="590" w:after="0"/>
        <w:ind w:left="2632" w:right="36" w:firstLine="0"/>
        <w:jc w:val="both"/>
      </w:pPr>
      <w:r>
        <w:rPr>
          <w:w w:val="98.62470626831055"/>
          <w:rFonts w:ascii="URWPalladioL" w:hAnsi="URWPalladioL" w:eastAsia="URWPalladioL"/>
          <w:b w:val="0"/>
          <w:i/>
          <w:color w:val="000000"/>
          <w:sz w:val="20"/>
        </w:rPr>
        <w:t>Q</w:t>
      </w:r>
      <w:r>
        <w:rPr>
          <w:rFonts w:ascii="URWPalladioL" w:hAnsi="URWPalladioL" w:eastAsia="URWPalladioL"/>
          <w:b w:val="0"/>
          <w:i/>
          <w:color w:val="000000"/>
          <w:sz w:val="15"/>
        </w:rPr>
        <w:t>fwb</w:t>
      </w:r>
      <w:r>
        <w:rPr>
          <w:rFonts w:ascii="URWPalladioL" w:hAnsi="URWPalladioL" w:eastAsia="URWPalladioL"/>
          <w:b w:val="0"/>
          <w:i w:val="0"/>
          <w:color w:val="000000"/>
          <w:sz w:val="15"/>
        </w:rPr>
        <w:t>4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—Do you have another loan?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To what extent does it burden your household’s budget? </w:t>
      </w:r>
      <w:r>
        <w:rPr>
          <w:w w:val="98.62470626831055"/>
          <w:rFonts w:ascii="URWPalladioL" w:hAnsi="URWPalladioL" w:eastAsia="URWPalladioL"/>
          <w:b w:val="0"/>
          <w:i/>
          <w:color w:val="000000"/>
          <w:sz w:val="20"/>
        </w:rPr>
        <w:t>Q</w:t>
      </w:r>
      <w:r>
        <w:rPr>
          <w:rFonts w:ascii="URWPalladioL" w:hAnsi="URWPalladioL" w:eastAsia="URWPalladioL"/>
          <w:b w:val="0"/>
          <w:i/>
          <w:color w:val="000000"/>
          <w:sz w:val="15"/>
        </w:rPr>
        <w:t>fwb</w:t>
      </w:r>
      <w:r>
        <w:rPr>
          <w:rFonts w:ascii="URWPalladioL" w:hAnsi="URWPalladioL" w:eastAsia="URWPalladioL"/>
          <w:b w:val="0"/>
          <w:i w:val="0"/>
          <w:color w:val="000000"/>
          <w:sz w:val="15"/>
        </w:rPr>
        <w:t>5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—How often can you go on a family holiday of at least a week in conditions acceptable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to you?</w:t>
      </w:r>
    </w:p>
    <w:p>
      <w:pPr>
        <w:autoSpaceDN w:val="0"/>
        <w:autoSpaceDE w:val="0"/>
        <w:widowControl/>
        <w:spacing w:line="226" w:lineRule="exact" w:before="50" w:after="0"/>
        <w:ind w:left="2632" w:right="0" w:firstLine="0"/>
        <w:jc w:val="left"/>
      </w:pPr>
      <w:r>
        <w:rPr>
          <w:rFonts w:ascii="URWPalladioL" w:hAnsi="URWPalladioL" w:eastAsia="URWPalladioL"/>
          <w:b w:val="0"/>
          <w:i/>
          <w:color w:val="000000"/>
          <w:sz w:val="20"/>
        </w:rPr>
        <w:t>Q</w:t>
      </w:r>
      <w:r>
        <w:rPr>
          <w:rFonts w:ascii="URWPalladioL" w:hAnsi="URWPalladioL" w:eastAsia="URWPalladioL"/>
          <w:b w:val="0"/>
          <w:i/>
          <w:color w:val="000000"/>
          <w:sz w:val="15"/>
        </w:rPr>
        <w:t>fwb</w:t>
      </w:r>
      <w:r>
        <w:rPr>
          <w:rFonts w:ascii="URWPalladioL" w:hAnsi="URWPalladioL" w:eastAsia="URWPalladioL"/>
          <w:b w:val="0"/>
          <w:i w:val="0"/>
          <w:color w:val="000000"/>
          <w:sz w:val="15"/>
        </w:rPr>
        <w:t>6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—To what extent will a visit to a cinema or theater of your whole family affect your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family budget?</w:t>
      </w:r>
    </w:p>
    <w:p>
      <w:pPr>
        <w:autoSpaceDN w:val="0"/>
        <w:autoSpaceDE w:val="0"/>
        <w:widowControl/>
        <w:spacing w:line="254" w:lineRule="exact" w:before="22" w:after="0"/>
        <w:ind w:left="2632" w:right="38" w:firstLine="0"/>
        <w:jc w:val="both"/>
      </w:pPr>
      <w:r>
        <w:rPr>
          <w:w w:val="98.87598037719727"/>
          <w:rFonts w:ascii="URWPalladioL" w:hAnsi="URWPalladioL" w:eastAsia="URWPalladioL"/>
          <w:b w:val="0"/>
          <w:i/>
          <w:color w:val="000000"/>
          <w:sz w:val="20"/>
        </w:rPr>
        <w:t>Q</w:t>
      </w:r>
      <w:r>
        <w:rPr>
          <w:rFonts w:ascii="URWPalladioL" w:hAnsi="URWPalladioL" w:eastAsia="URWPalladioL"/>
          <w:b w:val="0"/>
          <w:i/>
          <w:color w:val="000000"/>
          <w:sz w:val="15"/>
        </w:rPr>
        <w:t>fwb</w:t>
      </w:r>
      <w:r>
        <w:rPr>
          <w:rFonts w:ascii="URWPalladioL" w:hAnsi="URWPalladioL" w:eastAsia="URWPalladioL"/>
          <w:b w:val="0"/>
          <w:i w:val="0"/>
          <w:color w:val="000000"/>
          <w:sz w:val="15"/>
        </w:rPr>
        <w:t>7</w:t>
      </w:r>
      <w:r>
        <w:rPr>
          <w:w w:val="98.87598037719727"/>
          <w:rFonts w:ascii="URWPalladioL" w:hAnsi="URWPalladioL" w:eastAsia="URWPalladioL"/>
          <w:b w:val="0"/>
          <w:i w:val="0"/>
          <w:color w:val="000000"/>
          <w:sz w:val="20"/>
        </w:rPr>
        <w:t xml:space="preserve">—How long could your household cover the cost of living if it lost half of its income? </w:t>
      </w:r>
      <w:r>
        <w:rPr>
          <w:w w:val="98.77554893493652"/>
          <w:rFonts w:ascii="URWPalladioL" w:hAnsi="URWPalladioL" w:eastAsia="URWPalladioL"/>
          <w:b w:val="0"/>
          <w:i/>
          <w:color w:val="000000"/>
          <w:sz w:val="20"/>
        </w:rPr>
        <w:t>Q</w:t>
      </w:r>
      <w:r>
        <w:rPr>
          <w:rFonts w:ascii="URWPalladioL" w:hAnsi="URWPalladioL" w:eastAsia="URWPalladioL"/>
          <w:b w:val="0"/>
          <w:i/>
          <w:color w:val="000000"/>
          <w:sz w:val="15"/>
        </w:rPr>
        <w:t>fwb</w:t>
      </w:r>
      <w:r>
        <w:rPr>
          <w:rFonts w:ascii="URWPalladioL" w:hAnsi="URWPalladioL" w:eastAsia="URWPalladioL"/>
          <w:b w:val="0"/>
          <w:i w:val="0"/>
          <w:color w:val="000000"/>
          <w:sz w:val="15"/>
        </w:rPr>
        <w:t>8</w:t>
      </w:r>
      <w:r>
        <w:rPr>
          <w:w w:val="98.77554893493652"/>
          <w:rFonts w:ascii="URWPalladioL" w:hAnsi="URWPalladioL" w:eastAsia="URWPalladioL"/>
          <w:b w:val="0"/>
          <w:i w:val="0"/>
          <w:color w:val="000000"/>
          <w:sz w:val="20"/>
        </w:rPr>
        <w:t xml:space="preserve">—How long would your household be able to cover the cost of living with the loss of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all income?</w:t>
      </w:r>
    </w:p>
    <w:p>
      <w:pPr>
        <w:autoSpaceDN w:val="0"/>
        <w:autoSpaceDE w:val="0"/>
        <w:widowControl/>
        <w:spacing w:line="228" w:lineRule="exact" w:before="48" w:after="0"/>
        <w:ind w:left="0" w:right="1068" w:firstLine="0"/>
        <w:jc w:val="right"/>
      </w:pPr>
      <w:r>
        <w:rPr>
          <w:rFonts w:ascii="URWPalladioL" w:hAnsi="URWPalladioL" w:eastAsia="URWPalladioL"/>
          <w:b w:val="0"/>
          <w:i/>
          <w:color w:val="000000"/>
          <w:sz w:val="20"/>
        </w:rPr>
        <w:t>Q</w:t>
      </w:r>
      <w:r>
        <w:rPr>
          <w:rFonts w:ascii="URWPalladioL" w:hAnsi="URWPalladioL" w:eastAsia="URWPalladioL"/>
          <w:b w:val="0"/>
          <w:i/>
          <w:color w:val="000000"/>
          <w:sz w:val="15"/>
        </w:rPr>
        <w:t>fwb</w:t>
      </w:r>
      <w:r>
        <w:rPr>
          <w:rFonts w:ascii="URWPalladioL" w:hAnsi="URWPalladioL" w:eastAsia="URWPalladioL"/>
          <w:b w:val="0"/>
          <w:i w:val="0"/>
          <w:color w:val="000000"/>
          <w:sz w:val="15"/>
        </w:rPr>
        <w:t>9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—How do you assess the overall economic situation of your household?</w:t>
      </w:r>
    </w:p>
    <w:p>
      <w:pPr>
        <w:autoSpaceDN w:val="0"/>
        <w:autoSpaceDE w:val="0"/>
        <w:widowControl/>
        <w:spacing w:line="228" w:lineRule="exact" w:before="50" w:after="0"/>
        <w:ind w:left="0" w:right="5866" w:firstLine="0"/>
        <w:jc w:val="right"/>
      </w:pPr>
      <w:r>
        <w:rPr>
          <w:rFonts w:ascii="URWPalladioL" w:hAnsi="URWPalladioL" w:eastAsia="URWPalladioL"/>
          <w:b w:val="0"/>
          <w:i/>
          <w:color w:val="000000"/>
          <w:sz w:val="20"/>
        </w:rPr>
        <w:t>Q</w:t>
      </w:r>
      <w:r>
        <w:rPr>
          <w:rFonts w:ascii="URWPalladioL" w:hAnsi="URWPalladioL" w:eastAsia="URWPalladioL"/>
          <w:b w:val="0"/>
          <w:i/>
          <w:color w:val="000000"/>
          <w:sz w:val="15"/>
        </w:rPr>
        <w:t>fwb</w:t>
      </w:r>
      <w:r>
        <w:rPr>
          <w:rFonts w:ascii="URWPalladioL" w:hAnsi="URWPalladioL" w:eastAsia="URWPalladioL"/>
          <w:b w:val="0"/>
          <w:i w:val="0"/>
          <w:color w:val="000000"/>
          <w:sz w:val="15"/>
        </w:rPr>
        <w:t>10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—Doubled</w:t>
      </w:r>
      <w:r>
        <w:rPr>
          <w:rFonts w:ascii="URWPalladioL" w:hAnsi="URWPalladioL" w:eastAsia="URWPalladioL"/>
          <w:b w:val="0"/>
          <w:i/>
          <w:color w:val="000000"/>
          <w:sz w:val="20"/>
        </w:rPr>
        <w:t xml:space="preserve"> Q</w:t>
      </w:r>
      <w:r>
        <w:rPr>
          <w:rFonts w:ascii="URWPalladioL" w:hAnsi="URWPalladioL" w:eastAsia="URWPalladioL"/>
          <w:b w:val="0"/>
          <w:i/>
          <w:color w:val="000000"/>
          <w:sz w:val="15"/>
        </w:rPr>
        <w:t>fwb</w:t>
      </w:r>
      <w:r>
        <w:rPr>
          <w:rFonts w:ascii="URWPalladioL" w:hAnsi="URWPalladioL" w:eastAsia="URWPalladioL"/>
          <w:b w:val="0"/>
          <w:i w:val="0"/>
          <w:color w:val="000000"/>
          <w:sz w:val="15"/>
        </w:rPr>
        <w:t>9</w:t>
      </w:r>
    </w:p>
    <w:p>
      <w:pPr>
        <w:autoSpaceDN w:val="0"/>
        <w:autoSpaceDE w:val="0"/>
        <w:widowControl/>
        <w:spacing w:line="242" w:lineRule="exact" w:before="80" w:after="0"/>
        <w:ind w:left="2632" w:right="46" w:firstLine="424"/>
        <w:jc w:val="both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>The question</w:t>
      </w:r>
      <w:r>
        <w:rPr>
          <w:rFonts w:ascii="URWPalladioL" w:hAnsi="URWPalladioL" w:eastAsia="URWPalladioL"/>
          <w:b w:val="0"/>
          <w:i/>
          <w:color w:val="000000"/>
          <w:sz w:val="20"/>
        </w:rPr>
        <w:t xml:space="preserve"> Q</w:t>
      </w:r>
      <w:r>
        <w:rPr>
          <w:rFonts w:ascii="URWPalladioL" w:hAnsi="URWPalladioL" w:eastAsia="URWPalladioL"/>
          <w:b w:val="0"/>
          <w:i/>
          <w:color w:val="000000"/>
          <w:sz w:val="15"/>
        </w:rPr>
        <w:t>fwb</w:t>
      </w:r>
      <w:r>
        <w:rPr>
          <w:rFonts w:ascii="URWPalladioL" w:hAnsi="URWPalladioL" w:eastAsia="URWPalladioL"/>
          <w:b w:val="0"/>
          <w:i w:val="0"/>
          <w:color w:val="000000"/>
          <w:sz w:val="15"/>
        </w:rPr>
        <w:t>9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 is measured specifically as the household surplus and the ability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to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create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sufficient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reserves.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most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valued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are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those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responses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which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state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that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household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can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fully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satisfy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all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needs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of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its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members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(including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those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which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could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be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labelled as ‘extraordinary’) and simultaneously can save a significant amount of money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in reserves.</w:t>
      </w:r>
    </w:p>
    <w:p>
      <w:pPr>
        <w:autoSpaceDN w:val="0"/>
        <w:autoSpaceDE w:val="0"/>
        <w:widowControl/>
        <w:spacing w:line="198" w:lineRule="exact" w:before="246" w:after="0"/>
        <w:ind w:left="0" w:right="4796" w:firstLine="0"/>
        <w:jc w:val="right"/>
      </w:pPr>
      <w:r>
        <w:rPr>
          <w:rFonts w:ascii="URWPalladioL" w:hAnsi="URWPalladioL" w:eastAsia="URWPalladioL"/>
          <w:b w:val="0"/>
          <w:i/>
          <w:color w:val="000000"/>
          <w:sz w:val="20"/>
        </w:rPr>
        <w:t>3.5.</w:t>
      </w:r>
      <w:r>
        <w:rPr>
          <w:rFonts w:ascii="URWPalladioL" w:hAnsi="URWPalladioL" w:eastAsia="URWPalladioL"/>
          <w:b w:val="0"/>
          <w:i/>
          <w:color w:val="000000"/>
          <w:sz w:val="20"/>
        </w:rPr>
        <w:t>The Index of Financial Knowledge</w:t>
      </w:r>
    </w:p>
    <w:p>
      <w:pPr>
        <w:autoSpaceDN w:val="0"/>
        <w:autoSpaceDE w:val="0"/>
        <w:widowControl/>
        <w:spacing w:line="238" w:lineRule="exact" w:before="102" w:after="6"/>
        <w:ind w:left="2632" w:right="0" w:firstLine="424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>The index of financial knowledge (</w:t>
      </w:r>
      <w:r>
        <w:rPr>
          <w:rFonts w:ascii="URWPalladioL" w:hAnsi="URWPalladioL" w:eastAsia="URWPalladioL"/>
          <w:b w:val="0"/>
          <w:i/>
          <w:color w:val="000000"/>
          <w:sz w:val="20"/>
        </w:rPr>
        <w:t>I</w:t>
      </w:r>
      <w:r>
        <w:rPr>
          <w:rFonts w:ascii="URWPalladioL" w:hAnsi="URWPalladioL" w:eastAsia="URWPalladioL"/>
          <w:b w:val="0"/>
          <w:i/>
          <w:color w:val="000000"/>
          <w:sz w:val="15"/>
        </w:rPr>
        <w:t>fk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) is based on 8 questions concerning the funda-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mental financial knowledge of the respondent and is calculated for every respondent using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Equation (3).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66.0" w:type="dxa"/>
      </w:tblPr>
      <w:tblGrid>
        <w:gridCol w:w="1504"/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350"/>
        </w:trPr>
        <w:tc>
          <w:tcPr>
            <w:tcW w:type="dxa" w:w="3238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96" w:after="0"/>
              <w:ind w:left="0" w:right="78" w:firstLine="0"/>
              <w:jc w:val="right"/>
            </w:pPr>
            <w:r>
              <w:rPr>
                <w:w w:val="98.86761619931175"/>
                <w:rFonts w:ascii="CMR10" w:hAnsi="CMR10" w:eastAsia="CMR10"/>
                <w:b w:val="0"/>
                <w:i w:val="0"/>
                <w:color w:val="000000"/>
                <w:sz w:val="21"/>
              </w:rPr>
              <w:t>=</w:t>
            </w:r>
          </w:p>
        </w:tc>
        <w:tc>
          <w:tcPr>
            <w:tcW w:type="dxa" w:w="2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" w:after="0"/>
              <w:ind w:left="0" w:right="0" w:firstLine="0"/>
              <w:jc w:val="center"/>
            </w:pPr>
            <w:r>
              <w:rPr>
                <w:rFonts w:ascii="PazoMath" w:hAnsi="PazoMath" w:eastAsia="PazoMath"/>
                <w:b w:val="0"/>
                <w:i w:val="0"/>
                <w:color w:val="000000"/>
                <w:sz w:val="20"/>
              </w:rPr>
              <w:t>∑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5"/>
              </w:rPr>
              <w:t>8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6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/>
                <w:color w:val="000000"/>
                <w:sz w:val="17"/>
              </w:rPr>
              <w:t>j</w:t>
            </w:r>
            <w:r>
              <w:rPr>
                <w:w w:val="98.04371727837456"/>
                <w:rFonts w:ascii="CMR10" w:hAnsi="CMR10" w:eastAsia="CMR10"/>
                <w:b w:val="0"/>
                <w:i w:val="0"/>
                <w:color w:val="000000"/>
                <w:sz w:val="18"/>
              </w:rPr>
              <w:t xml:space="preserve"> =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7"/>
              </w:rPr>
              <w:t xml:space="preserve"> 1</w:t>
            </w:r>
          </w:p>
        </w:tc>
        <w:tc>
          <w:tcPr>
            <w:tcW w:type="dxa" w:w="11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32" w:after="0"/>
              <w:ind w:left="226" w:right="0" w:firstLine="0"/>
              <w:jc w:val="left"/>
            </w:pPr>
            <w:r>
              <w:rPr>
                <w:w w:val="98.86761619931175"/>
                <w:rFonts w:ascii="CMR10" w:hAnsi="CMR10" w:eastAsia="CMR10"/>
                <w:b w:val="0"/>
                <w:i w:val="0"/>
                <w:color w:val="000000"/>
                <w:sz w:val="21"/>
              </w:rPr>
              <w:t>(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20"/>
              </w:rPr>
              <w:t>Q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5"/>
              </w:rPr>
              <w:t xml:space="preserve"> f k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2"/>
              </w:rPr>
              <w:t>j</w:t>
            </w:r>
            <w:r>
              <w:rPr>
                <w:w w:val="98.86761619931175"/>
                <w:rFonts w:ascii="CMSY10" w:hAnsi="CMSY10" w:eastAsia="CMSY10"/>
                <w:b w:val="0"/>
                <w:i/>
                <w:color w:val="000000"/>
                <w:sz w:val="21"/>
              </w:rPr>
              <w:t>−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>1</w:t>
            </w:r>
            <w:r>
              <w:rPr>
                <w:w w:val="98.86761619931175"/>
                <w:rFonts w:ascii="CMR10" w:hAnsi="CMR10" w:eastAsia="CMR10"/>
                <w:b w:val="0"/>
                <w:i w:val="0"/>
                <w:color w:val="000000"/>
                <w:sz w:val="21"/>
              </w:rPr>
              <w:t>)</w:t>
            </w:r>
          </w:p>
        </w:tc>
        <w:tc>
          <w:tcPr>
            <w:tcW w:type="dxa" w:w="1496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96" w:after="0"/>
              <w:ind w:left="60" w:right="0" w:firstLine="0"/>
              <w:jc w:val="left"/>
            </w:pPr>
            <w:r>
              <w:rPr>
                <w:w w:val="98.86761619931175"/>
                <w:rFonts w:ascii="CMSY10" w:hAnsi="CMSY10" w:eastAsia="CMSY10"/>
                <w:b w:val="0"/>
                <w:i/>
                <w:color w:val="000000"/>
                <w:sz w:val="21"/>
              </w:rPr>
              <w:t>−</w:t>
            </w:r>
          </w:p>
        </w:tc>
        <w:tc>
          <w:tcPr>
            <w:tcW w:type="dxa" w:w="138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58"/>
        </w:trPr>
        <w:tc>
          <w:tcPr>
            <w:tcW w:type="dxa" w:w="1504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806"/>
            <w:gridSpan w:val="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2" w:after="0"/>
              <w:ind w:left="17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/>
                <w:color w:val="000000"/>
                <w:sz w:val="17"/>
              </w:rPr>
              <w:t>Q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3"/>
              </w:rPr>
              <w:t xml:space="preserve"> f k</w:t>
            </w:r>
            <w:r>
              <w:rPr>
                <w:w w:val="101.61920547485353"/>
                <w:rFonts w:ascii="URWPalladioL" w:hAnsi="URWPalladioL" w:eastAsia="URWPalladioL"/>
                <w:b w:val="0"/>
                <w:i/>
                <w:color w:val="000000"/>
                <w:sz w:val="10"/>
              </w:rPr>
              <w:t>j</w:t>
            </w:r>
            <w:r>
              <w:rPr>
                <w:w w:val="98.04371727837456"/>
                <w:rFonts w:ascii="CMMI10" w:hAnsi="CMMI10" w:eastAsia="CMMI10"/>
                <w:b w:val="0"/>
                <w:i/>
                <w:color w:val="000000"/>
                <w:sz w:val="18"/>
              </w:rPr>
              <w:t>&gt;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7"/>
              </w:rPr>
              <w:t xml:space="preserve"> 0</w:t>
            </w:r>
          </w:p>
        </w:tc>
        <w:tc>
          <w:tcPr>
            <w:tcW w:type="dxa" w:w="1504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504"/>
            <w:vMerge/>
            <w:tcBorders>
              <w:bottom w:sz="3.184000015258789" w:val="single" w:color="#000000"/>
            </w:tcBorders>
          </w:tcPr>
          <w:p/>
        </w:tc>
      </w:tr>
      <w:tr>
        <w:trPr>
          <w:trHeight w:hRule="exact" w:val="366"/>
        </w:trPr>
        <w:tc>
          <w:tcPr>
            <w:tcW w:type="dxa" w:w="3238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0" w:right="318" w:firstLine="0"/>
              <w:jc w:val="right"/>
            </w:pPr>
            <w:r>
              <w:rPr>
                <w:rFonts w:ascii="URWPalladioL" w:hAnsi="URWPalladioL" w:eastAsia="URWPalladioL"/>
                <w:b w:val="0"/>
                <w:i/>
                <w:color w:val="000000"/>
                <w:sz w:val="20"/>
              </w:rPr>
              <w:t>I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5"/>
              </w:rPr>
              <w:t>f k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2"/>
              </w:rPr>
              <w:t>nc</w:t>
            </w:r>
          </w:p>
        </w:tc>
        <w:tc>
          <w:tcPr>
            <w:tcW w:type="dxa" w:w="682"/>
            <w:gridSpan w:val="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0" w:right="64" w:firstLine="0"/>
              <w:jc w:val="right"/>
            </w:pPr>
            <w:r>
              <w:rPr>
                <w:rFonts w:ascii="PazoMath" w:hAnsi="PazoMath" w:eastAsia="PazoMath"/>
                <w:b w:val="0"/>
                <w:i w:val="0"/>
                <w:color w:val="000000"/>
                <w:sz w:val="20"/>
              </w:rPr>
              <w:t>∑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5"/>
              </w:rPr>
              <w:t>8</w:t>
            </w:r>
          </w:p>
        </w:tc>
        <w:tc>
          <w:tcPr>
            <w:tcW w:type="dxa" w:w="50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74" w:after="0"/>
              <w:ind w:left="8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/>
                <w:color w:val="000000"/>
                <w:sz w:val="17"/>
              </w:rPr>
              <w:t>j</w:t>
            </w:r>
            <w:r>
              <w:rPr>
                <w:w w:val="98.04371727837456"/>
                <w:rFonts w:ascii="CMR10" w:hAnsi="CMR10" w:eastAsia="CMR10"/>
                <w:b w:val="0"/>
                <w:i w:val="0"/>
                <w:color w:val="000000"/>
                <w:sz w:val="18"/>
              </w:rPr>
              <w:t xml:space="preserve"> =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7"/>
              </w:rPr>
              <w:t xml:space="preserve"> 1</w:t>
            </w:r>
          </w:p>
        </w:tc>
        <w:tc>
          <w:tcPr>
            <w:tcW w:type="dxa" w:w="62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138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149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264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138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14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>(3)</w:t>
            </w:r>
          </w:p>
        </w:tc>
      </w:tr>
    </w:tbl>
    <w:p>
      <w:pPr>
        <w:autoSpaceDN w:val="0"/>
        <w:autoSpaceDE w:val="0"/>
        <w:widowControl/>
        <w:spacing w:line="228" w:lineRule="exact" w:before="2" w:after="0"/>
        <w:ind w:left="0" w:right="3530" w:firstLine="0"/>
        <w:jc w:val="right"/>
      </w:pPr>
      <w:r>
        <w:rPr>
          <w:rFonts w:ascii="URWPalladioL" w:hAnsi="URWPalladioL" w:eastAsia="URWPalladioL"/>
          <w:b w:val="0"/>
          <w:i/>
          <w:color w:val="000000"/>
          <w:sz w:val="17"/>
        </w:rPr>
        <w:t>Q</w:t>
      </w:r>
      <w:r>
        <w:rPr>
          <w:rFonts w:ascii="URWPalladioL" w:hAnsi="URWPalladioL" w:eastAsia="URWPalladioL"/>
          <w:b w:val="0"/>
          <w:i/>
          <w:color w:val="000000"/>
          <w:sz w:val="13"/>
        </w:rPr>
        <w:t xml:space="preserve"> f k</w:t>
      </w:r>
      <w:r>
        <w:rPr>
          <w:w w:val="101.61920547485353"/>
          <w:rFonts w:ascii="URWPalladioL" w:hAnsi="URWPalladioL" w:eastAsia="URWPalladioL"/>
          <w:b w:val="0"/>
          <w:i/>
          <w:color w:val="000000"/>
          <w:sz w:val="10"/>
        </w:rPr>
        <w:t>j</w:t>
      </w:r>
      <w:r>
        <w:rPr>
          <w:w w:val="98.04371727837456"/>
          <w:rFonts w:ascii="CMMI10" w:hAnsi="CMMI10" w:eastAsia="CMMI10"/>
          <w:b w:val="0"/>
          <w:i/>
          <w:color w:val="000000"/>
          <w:sz w:val="18"/>
        </w:rPr>
        <w:t>&gt;</w:t>
      </w:r>
      <w:r>
        <w:rPr>
          <w:rFonts w:ascii="URWPalladioL" w:hAnsi="URWPalladioL" w:eastAsia="URWPalladioL"/>
          <w:b w:val="0"/>
          <w:i w:val="0"/>
          <w:color w:val="000000"/>
          <w:sz w:val="17"/>
        </w:rPr>
        <w:t xml:space="preserve"> 0</w:t>
      </w:r>
    </w:p>
    <w:p>
      <w:pPr>
        <w:autoSpaceDN w:val="0"/>
        <w:tabs>
          <w:tab w:pos="3056" w:val="left"/>
        </w:tabs>
        <w:autoSpaceDE w:val="0"/>
        <w:widowControl/>
        <w:spacing w:line="222" w:lineRule="exact" w:before="174" w:after="0"/>
        <w:ind w:left="2632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>If</w:t>
      </w:r>
      <w:r>
        <w:rPr>
          <w:rFonts w:ascii="URWPalladioL" w:hAnsi="URWPalladioL" w:eastAsia="URWPalladioL"/>
          <w:b w:val="0"/>
          <w:i/>
          <w:color w:val="000000"/>
          <w:sz w:val="20"/>
        </w:rPr>
        <w:t xml:space="preserve"> Q</w:t>
      </w:r>
      <w:r>
        <w:rPr>
          <w:rFonts w:ascii="URWPalladioL" w:hAnsi="URWPalladioL" w:eastAsia="URWPalladioL"/>
          <w:b w:val="0"/>
          <w:i/>
          <w:color w:val="000000"/>
          <w:sz w:val="15"/>
        </w:rPr>
        <w:t xml:space="preserve"> f wb</w:t>
      </w:r>
      <w:r>
        <w:rPr>
          <w:rFonts w:ascii="URWPalladioL" w:hAnsi="URWPalladioL" w:eastAsia="URWPalladioL"/>
          <w:b w:val="0"/>
          <w:i/>
          <w:color w:val="000000"/>
          <w:sz w:val="12"/>
        </w:rPr>
        <w:t>j</w:t>
      </w:r>
      <w:r>
        <w:rPr>
          <w:w w:val="98.86761619931175"/>
          <w:rFonts w:ascii="CMR10" w:hAnsi="CMR10" w:eastAsia="CMR10"/>
          <w:b w:val="0"/>
          <w:i w:val="0"/>
          <w:color w:val="000000"/>
          <w:sz w:val="21"/>
        </w:rPr>
        <w:t>=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 0 the question</w:t>
      </w:r>
      <w:r>
        <w:rPr>
          <w:rFonts w:ascii="URWPalladioL" w:hAnsi="URWPalladioL" w:eastAsia="URWPalladioL"/>
          <w:b w:val="0"/>
          <w:i/>
          <w:color w:val="000000"/>
          <w:sz w:val="20"/>
        </w:rPr>
        <w:t xml:space="preserve"> j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 was not answered properly by the respondent and is not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added in the respondent’s index.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 questions employed in index calculation are:</w:t>
      </w:r>
    </w:p>
    <w:p>
      <w:pPr>
        <w:autoSpaceDN w:val="0"/>
        <w:autoSpaceDE w:val="0"/>
        <w:widowControl/>
        <w:spacing w:line="226" w:lineRule="exact" w:before="110" w:after="0"/>
        <w:ind w:left="2632" w:right="0" w:firstLine="0"/>
        <w:jc w:val="left"/>
      </w:pPr>
      <w:r>
        <w:rPr>
          <w:rFonts w:ascii="URWPalladioL" w:hAnsi="URWPalladioL" w:eastAsia="URWPalladioL"/>
          <w:b w:val="0"/>
          <w:i/>
          <w:color w:val="000000"/>
          <w:sz w:val="20"/>
        </w:rPr>
        <w:t>Q</w:t>
      </w:r>
      <w:r>
        <w:rPr>
          <w:rFonts w:ascii="URWPalladioL" w:hAnsi="URWPalladioL" w:eastAsia="URWPalladioL"/>
          <w:b w:val="0"/>
          <w:i/>
          <w:color w:val="000000"/>
          <w:sz w:val="15"/>
        </w:rPr>
        <w:t>fk</w:t>
      </w:r>
      <w:r>
        <w:rPr>
          <w:rFonts w:ascii="URWPalladioL" w:hAnsi="URWPalladioL" w:eastAsia="URWPalladioL"/>
          <w:b w:val="0"/>
          <w:i w:val="0"/>
          <w:color w:val="000000"/>
          <w:sz w:val="15"/>
        </w:rPr>
        <w:t>1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—A new washing machine costs CZK 10,000.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 seller offers a 10% discount.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How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much is the discount?</w:t>
      </w:r>
    </w:p>
    <w:p>
      <w:pPr>
        <w:autoSpaceDN w:val="0"/>
        <w:autoSpaceDE w:val="0"/>
        <w:widowControl/>
        <w:spacing w:line="228" w:lineRule="exact" w:before="48" w:after="0"/>
        <w:ind w:left="0" w:right="3422" w:firstLine="0"/>
        <w:jc w:val="right"/>
      </w:pPr>
      <w:r>
        <w:rPr>
          <w:rFonts w:ascii="URWPalladioL" w:hAnsi="URWPalladioL" w:eastAsia="URWPalladioL"/>
          <w:b w:val="0"/>
          <w:i/>
          <w:color w:val="000000"/>
          <w:sz w:val="20"/>
        </w:rPr>
        <w:t>Q</w:t>
      </w:r>
      <w:r>
        <w:rPr>
          <w:rFonts w:ascii="URWPalladioL" w:hAnsi="URWPalladioL" w:eastAsia="URWPalladioL"/>
          <w:b w:val="0"/>
          <w:i/>
          <w:color w:val="000000"/>
          <w:sz w:val="15"/>
        </w:rPr>
        <w:t>fk</w:t>
      </w:r>
      <w:r>
        <w:rPr>
          <w:rFonts w:ascii="URWPalladioL" w:hAnsi="URWPalladioL" w:eastAsia="URWPalladioL"/>
          <w:b w:val="0"/>
          <w:i w:val="0"/>
          <w:color w:val="000000"/>
          <w:sz w:val="15"/>
        </w:rPr>
        <w:t>2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—What does the term available balance mean?</w:t>
      </w:r>
    </w:p>
    <w:p>
      <w:pPr>
        <w:autoSpaceDN w:val="0"/>
        <w:autoSpaceDE w:val="0"/>
        <w:widowControl/>
        <w:spacing w:line="228" w:lineRule="exact" w:before="50" w:after="0"/>
        <w:ind w:left="0" w:right="0" w:firstLine="0"/>
        <w:jc w:val="center"/>
      </w:pPr>
      <w:r>
        <w:rPr>
          <w:rFonts w:ascii="URWPalladioL" w:hAnsi="URWPalladioL" w:eastAsia="URWPalladioL"/>
          <w:b w:val="0"/>
          <w:i/>
          <w:color w:val="000000"/>
          <w:sz w:val="20"/>
        </w:rPr>
        <w:t>Q</w:t>
      </w:r>
      <w:r>
        <w:rPr>
          <w:rFonts w:ascii="URWPalladioL" w:hAnsi="URWPalladioL" w:eastAsia="URWPalladioL"/>
          <w:b w:val="0"/>
          <w:i/>
          <w:color w:val="000000"/>
          <w:sz w:val="15"/>
        </w:rPr>
        <w:t>fk</w:t>
      </w:r>
      <w:r>
        <w:rPr>
          <w:rFonts w:ascii="URWPalladioL" w:hAnsi="URWPalladioL" w:eastAsia="URWPalladioL"/>
          <w:b w:val="0"/>
          <w:i w:val="0"/>
          <w:color w:val="000000"/>
          <w:sz w:val="15"/>
        </w:rPr>
        <w:t>3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—What is the difference between credit and debit card?</w:t>
      </w:r>
    </w:p>
    <w:p>
      <w:pPr>
        <w:autoSpaceDN w:val="0"/>
        <w:autoSpaceDE w:val="0"/>
        <w:widowControl/>
        <w:spacing w:line="226" w:lineRule="exact" w:before="52" w:after="0"/>
        <w:ind w:left="0" w:right="2886" w:firstLine="0"/>
        <w:jc w:val="right"/>
      </w:pPr>
      <w:r>
        <w:rPr>
          <w:rFonts w:ascii="URWPalladioL" w:hAnsi="URWPalladioL" w:eastAsia="URWPalladioL"/>
          <w:b w:val="0"/>
          <w:i/>
          <w:color w:val="000000"/>
          <w:sz w:val="20"/>
        </w:rPr>
        <w:t>Q</w:t>
      </w:r>
      <w:r>
        <w:rPr>
          <w:rFonts w:ascii="URWPalladioL" w:hAnsi="URWPalladioL" w:eastAsia="URWPalladioL"/>
          <w:b w:val="0"/>
          <w:i/>
          <w:color w:val="000000"/>
          <w:sz w:val="15"/>
        </w:rPr>
        <w:t>fk</w:t>
      </w:r>
      <w:r>
        <w:rPr>
          <w:rFonts w:ascii="URWPalladioL" w:hAnsi="URWPalladioL" w:eastAsia="URWPalladioL"/>
          <w:b w:val="0"/>
          <w:i w:val="0"/>
          <w:color w:val="000000"/>
          <w:sz w:val="15"/>
        </w:rPr>
        <w:t>4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—What is the difference between interest and credit?</w:t>
      </w:r>
    </w:p>
    <w:p>
      <w:pPr>
        <w:autoSpaceDN w:val="0"/>
        <w:autoSpaceDE w:val="0"/>
        <w:widowControl/>
        <w:spacing w:line="278" w:lineRule="exact" w:before="2" w:after="0"/>
        <w:ind w:left="2632" w:right="720" w:firstLine="0"/>
        <w:jc w:val="left"/>
      </w:pPr>
      <w:r>
        <w:rPr>
          <w:rFonts w:ascii="URWPalladioL" w:hAnsi="URWPalladioL" w:eastAsia="URWPalladioL"/>
          <w:b w:val="0"/>
          <w:i/>
          <w:color w:val="000000"/>
          <w:sz w:val="20"/>
        </w:rPr>
        <w:t>Q</w:t>
      </w:r>
      <w:r>
        <w:rPr>
          <w:rFonts w:ascii="URWPalladioL" w:hAnsi="URWPalladioL" w:eastAsia="URWPalladioL"/>
          <w:b w:val="0"/>
          <w:i/>
          <w:color w:val="000000"/>
          <w:sz w:val="15"/>
        </w:rPr>
        <w:t>fk</w:t>
      </w:r>
      <w:r>
        <w:rPr>
          <w:rFonts w:ascii="URWPalladioL" w:hAnsi="URWPalladioL" w:eastAsia="URWPalladioL"/>
          <w:b w:val="0"/>
          <w:i w:val="0"/>
          <w:color w:val="000000"/>
          <w:sz w:val="15"/>
        </w:rPr>
        <w:t>5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—What does inflation mean?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(only a very basic understanding was required) </w:t>
      </w:r>
      <w:r>
        <w:rPr>
          <w:rFonts w:ascii="URWPalladioL" w:hAnsi="URWPalladioL" w:eastAsia="URWPalladioL"/>
          <w:b w:val="0"/>
          <w:i/>
          <w:color w:val="000000"/>
          <w:sz w:val="20"/>
        </w:rPr>
        <w:t>Q</w:t>
      </w:r>
      <w:r>
        <w:rPr>
          <w:rFonts w:ascii="URWPalladioL" w:hAnsi="URWPalladioL" w:eastAsia="URWPalladioL"/>
          <w:b w:val="0"/>
          <w:i/>
          <w:color w:val="000000"/>
          <w:sz w:val="15"/>
        </w:rPr>
        <w:t>fk</w:t>
      </w:r>
      <w:r>
        <w:rPr>
          <w:rFonts w:ascii="URWPalladioL" w:hAnsi="URWPalladioL" w:eastAsia="URWPalladioL"/>
          <w:b w:val="0"/>
          <w:i w:val="0"/>
          <w:color w:val="000000"/>
          <w:sz w:val="15"/>
        </w:rPr>
        <w:t>6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—What does an overdraft mean?</w:t>
      </w:r>
    </w:p>
    <w:p>
      <w:pPr>
        <w:autoSpaceDN w:val="0"/>
        <w:autoSpaceDE w:val="0"/>
        <w:widowControl/>
        <w:spacing w:line="278" w:lineRule="exact" w:before="0" w:after="0"/>
        <w:ind w:left="2632" w:right="576" w:firstLine="0"/>
        <w:jc w:val="left"/>
      </w:pPr>
      <w:r>
        <w:rPr>
          <w:rFonts w:ascii="URWPalladioL" w:hAnsi="URWPalladioL" w:eastAsia="URWPalladioL"/>
          <w:b w:val="0"/>
          <w:i/>
          <w:color w:val="000000"/>
          <w:sz w:val="20"/>
        </w:rPr>
        <w:t>Q</w:t>
      </w:r>
      <w:r>
        <w:rPr>
          <w:rFonts w:ascii="URWPalladioL" w:hAnsi="URWPalladioL" w:eastAsia="URWPalladioL"/>
          <w:b w:val="0"/>
          <w:i/>
          <w:color w:val="000000"/>
          <w:sz w:val="15"/>
        </w:rPr>
        <w:t>fk</w:t>
      </w:r>
      <w:r>
        <w:rPr>
          <w:rFonts w:ascii="URWPalladioL" w:hAnsi="URWPalladioL" w:eastAsia="URWPalladioL"/>
          <w:b w:val="0"/>
          <w:i w:val="0"/>
          <w:color w:val="000000"/>
          <w:sz w:val="15"/>
        </w:rPr>
        <w:t>7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—When do you use an overdraft?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(only very basic understanding is required) </w:t>
      </w:r>
      <w:r>
        <w:rPr>
          <w:rFonts w:ascii="URWPalladioL" w:hAnsi="URWPalladioL" w:eastAsia="URWPalladioL"/>
          <w:b w:val="0"/>
          <w:i/>
          <w:color w:val="000000"/>
          <w:sz w:val="20"/>
        </w:rPr>
        <w:t>Q</w:t>
      </w:r>
      <w:r>
        <w:rPr>
          <w:rFonts w:ascii="URWPalladioL" w:hAnsi="URWPalladioL" w:eastAsia="URWPalladioL"/>
          <w:b w:val="0"/>
          <w:i/>
          <w:color w:val="000000"/>
          <w:sz w:val="15"/>
        </w:rPr>
        <w:t>fk</w:t>
      </w:r>
      <w:r>
        <w:rPr>
          <w:rFonts w:ascii="URWPalladioL" w:hAnsi="URWPalladioL" w:eastAsia="URWPalladioL"/>
          <w:b w:val="0"/>
          <w:i w:val="0"/>
          <w:color w:val="000000"/>
          <w:sz w:val="15"/>
        </w:rPr>
        <w:t>8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—What does the abbreviation APR mean?</w:t>
      </w:r>
    </w:p>
    <w:p>
      <w:pPr>
        <w:autoSpaceDN w:val="0"/>
        <w:autoSpaceDE w:val="0"/>
        <w:widowControl/>
        <w:spacing w:line="252" w:lineRule="exact" w:before="34" w:after="148"/>
        <w:ind w:left="2624" w:right="54" w:firstLine="432"/>
        <w:jc w:val="both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In the case of the index of financial knowledge, we detected high negative skewness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(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Sheskin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2011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)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so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we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calculated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original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index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on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scale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from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0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to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1.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Then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we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used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special corrections to achieve the properly distributed index from</w:t>
      </w:r>
      <w:r>
        <w:rPr>
          <w:w w:val="98.86761619931175"/>
          <w:rFonts w:ascii="CMSY10" w:hAnsi="CMSY10" w:eastAsia="CMSY10"/>
          <w:b w:val="0"/>
          <w:i/>
          <w:color w:val="000000"/>
          <w:sz w:val="21"/>
        </w:rPr>
        <w:t xml:space="preserve"> −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1 to 1.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That is why the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original index is marked as</w:t>
      </w:r>
      <w:r>
        <w:rPr>
          <w:rFonts w:ascii="URWPalladioL" w:hAnsi="URWPalladioL" w:eastAsia="URWPalladioL"/>
          <w:b w:val="0"/>
          <w:i/>
          <w:color w:val="000000"/>
          <w:sz w:val="20"/>
        </w:rPr>
        <w:t xml:space="preserve"> nc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 (not corrected or uncorrected).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For the correction we used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received median value (0.9125) as the new zero and employed the following balancing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transformation (Equation (4)):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46.0" w:type="dxa"/>
      </w:tblPr>
      <w:tblGrid>
        <w:gridCol w:w="2105"/>
        <w:gridCol w:w="2105"/>
        <w:gridCol w:w="2105"/>
        <w:gridCol w:w="2105"/>
        <w:gridCol w:w="2105"/>
      </w:tblGrid>
      <w:tr>
        <w:trPr>
          <w:trHeight w:hRule="exact" w:val="270"/>
        </w:trPr>
        <w:tc>
          <w:tcPr>
            <w:tcW w:type="dxa" w:w="2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86" w:after="0"/>
              <w:ind w:left="0" w:right="14" w:firstLine="0"/>
              <w:jc w:val="right"/>
            </w:pPr>
            <w:r>
              <w:rPr>
                <w:rFonts w:ascii="URWPalladioL" w:hAnsi="URWPalladioL" w:eastAsia="URWPalladioL"/>
                <w:b w:val="0"/>
                <w:i/>
                <w:color w:val="000000"/>
                <w:sz w:val="20"/>
              </w:rPr>
              <w:t>I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5"/>
              </w:rPr>
              <w:t>f k</w:t>
            </w:r>
            <w:r>
              <w:rPr>
                <w:w w:val="98.86761619931175"/>
                <w:rFonts w:ascii="CMR10" w:hAnsi="CMR10" w:eastAsia="CMR10"/>
                <w:b w:val="0"/>
                <w:i w:val="0"/>
                <w:color w:val="000000"/>
                <w:sz w:val="21"/>
              </w:rPr>
              <w:t>=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6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(</w:t>
            </w:r>
          </w:p>
        </w:tc>
        <w:tc>
          <w:tcPr>
            <w:tcW w:type="dxa" w:w="1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15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/>
                <w:color w:val="000000"/>
                <w:sz w:val="20"/>
              </w:rPr>
              <w:t>I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5"/>
              </w:rPr>
              <w:t>f k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2"/>
              </w:rPr>
              <w:t>nc</w:t>
            </w:r>
            <w:r>
              <w:rPr>
                <w:w w:val="98.86761619931175"/>
                <w:rFonts w:ascii="CMMI10" w:hAnsi="CMMI10" w:eastAsia="CMMI10"/>
                <w:b w:val="0"/>
                <w:i/>
                <w:color w:val="000000"/>
                <w:sz w:val="21"/>
              </w:rPr>
              <w:t>&gt;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 xml:space="preserve"> 0.9125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60" w:after="0"/>
              <w:ind w:left="84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/>
                <w:color w:val="000000"/>
                <w:sz w:val="15"/>
              </w:rPr>
              <w:t>I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2"/>
              </w:rPr>
              <w:t>f k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2"/>
                <w:u w:val="single"/>
              </w:rPr>
              <w:t>nc</w:t>
            </w:r>
            <w:r>
              <w:rPr>
                <w:w w:val="98.61999750137329"/>
                <w:rFonts w:ascii="CMSY10" w:hAnsi="CMSY10" w:eastAsia="CMSY10"/>
                <w:b w:val="0"/>
                <w:i/>
                <w:color w:val="000000"/>
                <w:sz w:val="16"/>
              </w:rPr>
              <w:t>−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5"/>
              </w:rPr>
              <w:t>0.9125</w:t>
            </w:r>
          </w:p>
        </w:tc>
        <w:tc>
          <w:tcPr>
            <w:tcW w:type="dxa" w:w="1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6" w:after="0"/>
              <w:ind w:left="0" w:right="14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>(4)</w:t>
            </w:r>
          </w:p>
        </w:tc>
      </w:tr>
      <w:tr>
        <w:trPr>
          <w:trHeight w:hRule="exact" w:val="160"/>
        </w:trPr>
        <w:tc>
          <w:tcPr>
            <w:tcW w:type="dxa" w:w="2105"/>
            <w:vMerge/>
            <w:tcBorders/>
          </w:tcPr>
          <w:p/>
        </w:tc>
        <w:tc>
          <w:tcPr>
            <w:tcW w:type="dxa" w:w="2105"/>
            <w:vMerge/>
            <w:tcBorders/>
          </w:tcPr>
          <w:p/>
        </w:tc>
        <w:tc>
          <w:tcPr>
            <w:tcW w:type="dxa" w:w="2105"/>
            <w:vMerge/>
            <w:tcBorders/>
          </w:tcPr>
          <w:p/>
        </w:tc>
        <w:tc>
          <w:tcPr>
            <w:tcW w:type="dxa" w:w="2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1008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5"/>
              </w:rPr>
              <w:t xml:space="preserve">0.0875 </w:t>
            </w:r>
            <w:r>
              <w:br/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5"/>
              </w:rPr>
              <w:t>I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2"/>
              </w:rPr>
              <w:t>f k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2"/>
                <w:u w:val="single"/>
              </w:rPr>
              <w:t>nc</w:t>
            </w:r>
            <w:r>
              <w:rPr>
                <w:w w:val="98.61999750137329"/>
                <w:rFonts w:ascii="CMSY10" w:hAnsi="CMSY10" w:eastAsia="CMSY10"/>
                <w:b w:val="0"/>
                <w:i/>
                <w:color w:val="000000"/>
                <w:sz w:val="16"/>
              </w:rPr>
              <w:t>−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5"/>
              </w:rPr>
              <w:t>0.9125</w:t>
            </w:r>
          </w:p>
        </w:tc>
        <w:tc>
          <w:tcPr>
            <w:tcW w:type="dxa" w:w="2105"/>
            <w:vMerge/>
            <w:tcBorders/>
          </w:tcPr>
          <w:p/>
        </w:tc>
      </w:tr>
      <w:tr>
        <w:trPr>
          <w:trHeight w:hRule="exact" w:val="160"/>
        </w:trPr>
        <w:tc>
          <w:tcPr>
            <w:tcW w:type="dxa" w:w="2105"/>
            <w:vMerge/>
            <w:tcBorders/>
          </w:tcPr>
          <w:p/>
        </w:tc>
        <w:tc>
          <w:tcPr>
            <w:tcW w:type="dxa" w:w="2105"/>
            <w:vMerge/>
            <w:tcBorders/>
          </w:tcPr>
          <w:p/>
        </w:tc>
        <w:tc>
          <w:tcPr>
            <w:tcW w:type="dxa" w:w="1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4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/>
                <w:color w:val="000000"/>
                <w:sz w:val="20"/>
              </w:rPr>
              <w:t>I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5"/>
              </w:rPr>
              <w:t>f k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2"/>
              </w:rPr>
              <w:t>nc</w:t>
            </w:r>
            <w:r>
              <w:rPr>
                <w:w w:val="98.86761619931175"/>
                <w:rFonts w:ascii="CMMI10" w:hAnsi="CMMI10" w:eastAsia="CMMI10"/>
                <w:b w:val="0"/>
                <w:i/>
                <w:color w:val="000000"/>
                <w:sz w:val="21"/>
              </w:rPr>
              <w:t>&lt;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 xml:space="preserve"> 0.9125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2105"/>
            <w:vMerge/>
            <w:tcBorders/>
          </w:tcPr>
          <w:p/>
        </w:tc>
        <w:tc>
          <w:tcPr>
            <w:tcW w:type="dxa" w:w="2105"/>
            <w:vMerge/>
            <w:tcBorders/>
          </w:tcPr>
          <w:p/>
        </w:tc>
      </w:tr>
      <w:tr>
        <w:trPr>
          <w:trHeight w:hRule="exact" w:val="216"/>
        </w:trPr>
        <w:tc>
          <w:tcPr>
            <w:tcW w:type="dxa" w:w="2105"/>
            <w:vMerge/>
            <w:tcBorders/>
          </w:tcPr>
          <w:p/>
        </w:tc>
        <w:tc>
          <w:tcPr>
            <w:tcW w:type="dxa" w:w="2105"/>
            <w:vMerge/>
            <w:tcBorders/>
          </w:tcPr>
          <w:p/>
        </w:tc>
        <w:tc>
          <w:tcPr>
            <w:tcW w:type="dxa" w:w="2105"/>
            <w:vMerge/>
            <w:tcBorders/>
          </w:tcPr>
          <w:p/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4" w:after="0"/>
              <w:ind w:left="30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5"/>
              </w:rPr>
              <w:t>0.9125</w:t>
            </w:r>
          </w:p>
        </w:tc>
        <w:tc>
          <w:tcPr>
            <w:tcW w:type="dxa" w:w="2105"/>
            <w:vMerge/>
            <w:tcBorders/>
          </w:tcPr>
          <w:p/>
        </w:tc>
      </w:tr>
    </w:tbl>
    <w:p>
      <w:pPr>
        <w:autoSpaceDN w:val="0"/>
        <w:tabs>
          <w:tab w:pos="3056" w:val="left"/>
        </w:tabs>
        <w:autoSpaceDE w:val="0"/>
        <w:widowControl/>
        <w:spacing w:line="250" w:lineRule="exact" w:before="92" w:after="0"/>
        <w:ind w:left="2632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transformation in Equation (4) puts all values of the uncorrected index on the 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scale from</w:t>
      </w:r>
      <w:r>
        <w:rPr>
          <w:w w:val="98.86761619931175"/>
          <w:rFonts w:ascii="CMSY10" w:hAnsi="CMSY10" w:eastAsia="CMSY10"/>
          <w:b w:val="0"/>
          <w:i/>
          <w:color w:val="000000"/>
          <w:sz w:val="21"/>
        </w:rPr>
        <w:t xml:space="preserve"> −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1 to 1 and makes the distribution in the intervals</w:t>
      </w:r>
      <w:r>
        <w:rPr>
          <w:w w:val="98.86761619931175"/>
          <w:rFonts w:ascii="CMSY10" w:hAnsi="CMSY10" w:eastAsia="CMSY10"/>
          <w:b w:val="0"/>
          <w:i/>
          <w:color w:val="000000"/>
          <w:sz w:val="21"/>
        </w:rPr>
        <w:t xml:space="preserve"> −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1 to 0 and 0 to 1 continuous.</w:t>
      </w:r>
    </w:p>
    <w:p>
      <w:pPr>
        <w:autoSpaceDN w:val="0"/>
        <w:autoSpaceDE w:val="0"/>
        <w:widowControl/>
        <w:spacing w:line="200" w:lineRule="exact" w:before="246" w:after="0"/>
        <w:ind w:left="0" w:right="4476" w:firstLine="0"/>
        <w:jc w:val="right"/>
      </w:pPr>
      <w:r>
        <w:rPr>
          <w:rFonts w:ascii="URWPalladioL" w:hAnsi="URWPalladioL" w:eastAsia="URWPalladioL"/>
          <w:b w:val="0"/>
          <w:i/>
          <w:color w:val="000000"/>
          <w:sz w:val="20"/>
        </w:rPr>
        <w:t>3.6.</w:t>
      </w:r>
      <w:r>
        <w:rPr>
          <w:rFonts w:ascii="URWPalladioL" w:hAnsi="URWPalladioL" w:eastAsia="URWPalladioL"/>
          <w:b w:val="0"/>
          <w:i/>
          <w:color w:val="000000"/>
          <w:sz w:val="20"/>
        </w:rPr>
        <w:t>Coherent Index of Economic Situation</w:t>
      </w:r>
    </w:p>
    <w:p>
      <w:pPr>
        <w:autoSpaceDN w:val="0"/>
        <w:tabs>
          <w:tab w:pos="3056" w:val="left"/>
        </w:tabs>
        <w:autoSpaceDE w:val="0"/>
        <w:widowControl/>
        <w:spacing w:line="252" w:lineRule="exact" w:before="62" w:after="0"/>
        <w:ind w:left="2632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>Three indexes defined above describe three key aspects of the actual economic situ-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ation of the respondent and allow us to offer a three-dimensional view.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For the case of</w:t>
      </w:r>
    </w:p>
    <w:p>
      <w:pPr>
        <w:sectPr>
          <w:pgSz w:w="11906" w:h="16838"/>
          <w:pgMar w:top="538" w:right="666" w:bottom="658" w:left="7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5263"/>
        <w:gridCol w:w="5263"/>
      </w:tblGrid>
      <w:tr>
        <w:trPr>
          <w:trHeight w:hRule="exact" w:val="272"/>
        </w:trPr>
        <w:tc>
          <w:tcPr>
            <w:tcW w:type="dxa" w:w="558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0" w:after="0"/>
              <w:ind w:left="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/>
                <w:color w:val="000000"/>
                <w:sz w:val="16"/>
              </w:rPr>
              <w:t>Risks</w:t>
            </w:r>
            <w:r>
              <w:rPr>
                <w:rFonts w:ascii="URWPalladioL" w:hAnsi="URWPalladioL" w:eastAsia="URWPalladioL"/>
                <w:b/>
                <w:i w:val="0"/>
                <w:color w:val="000000"/>
                <w:sz w:val="16"/>
              </w:rPr>
              <w:t xml:space="preserve"> 2021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,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6"/>
              </w:rPr>
              <w:t xml:space="preserve"> 9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, 205</w:t>
            </w:r>
          </w:p>
        </w:tc>
        <w:tc>
          <w:tcPr>
            <w:tcW w:type="dxa" w:w="489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" w:after="0"/>
              <w:ind w:left="0" w:right="4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8 of 24</w:t>
            </w:r>
          </w:p>
        </w:tc>
      </w:tr>
    </w:tbl>
    <w:p>
      <w:pPr>
        <w:autoSpaceDN w:val="0"/>
        <w:autoSpaceDE w:val="0"/>
        <w:widowControl/>
        <w:spacing w:line="260" w:lineRule="exact" w:before="558" w:after="146"/>
        <w:ind w:left="2632" w:right="34" w:firstLine="0"/>
        <w:jc w:val="both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calculating the risk level of personal value types, we need to define a unified (average) </w:t>
      </w:r>
      <w:r>
        <w:rPr>
          <w:w w:val="98.72529029846191"/>
          <w:rFonts w:ascii="URWPalladioL" w:hAnsi="URWPalladioL" w:eastAsia="URWPalladioL"/>
          <w:b w:val="0"/>
          <w:i w:val="0"/>
          <w:color w:val="000000"/>
          <w:sz w:val="20"/>
        </w:rPr>
        <w:t>index of the economic situation (</w:t>
      </w:r>
      <w:r>
        <w:rPr>
          <w:w w:val="98.72529029846191"/>
          <w:rFonts w:ascii="URWPalladioL" w:hAnsi="URWPalladioL" w:eastAsia="URWPalladioL"/>
          <w:b w:val="0"/>
          <w:i/>
          <w:color w:val="000000"/>
          <w:sz w:val="20"/>
        </w:rPr>
        <w:t>I</w:t>
      </w:r>
      <w:r>
        <w:rPr>
          <w:rFonts w:ascii="URWPalladioL" w:hAnsi="URWPalladioL" w:eastAsia="URWPalladioL"/>
          <w:b w:val="0"/>
          <w:i/>
          <w:color w:val="000000"/>
          <w:sz w:val="15"/>
        </w:rPr>
        <w:t>ec</w:t>
      </w:r>
      <w:r>
        <w:rPr>
          <w:w w:val="98.72529029846191"/>
          <w:rFonts w:ascii="URWPalladioL" w:hAnsi="URWPalladioL" w:eastAsia="URWPalladioL"/>
          <w:b w:val="0"/>
          <w:i w:val="0"/>
          <w:color w:val="000000"/>
          <w:sz w:val="20"/>
        </w:rPr>
        <w:t>) and categorize it for further analyses (</w:t>
      </w:r>
      <w:r>
        <w:rPr>
          <w:w w:val="98.72529029846191"/>
          <w:rFonts w:ascii="URWPalladioL" w:hAnsi="URWPalladioL" w:eastAsia="URWPalladioL"/>
          <w:b w:val="0"/>
          <w:i/>
          <w:color w:val="000000"/>
          <w:sz w:val="20"/>
        </w:rPr>
        <w:t>I</w:t>
      </w:r>
      <w:r>
        <w:rPr>
          <w:rFonts w:ascii="URWPalladioL" w:hAnsi="URWPalladioL" w:eastAsia="URWPalladioL"/>
          <w:b w:val="0"/>
          <w:i/>
          <w:color w:val="000000"/>
          <w:sz w:val="15"/>
        </w:rPr>
        <w:t>eccat</w:t>
      </w:r>
      <w:r>
        <w:rPr>
          <w:w w:val="98.72529029846191"/>
          <w:rFonts w:ascii="URWPalladioL" w:hAnsi="URWPalladioL" w:eastAsia="URWPalladioL"/>
          <w:b w:val="0"/>
          <w:i w:val="0"/>
          <w:color w:val="000000"/>
          <w:sz w:val="20"/>
        </w:rPr>
        <w:t>).</w:t>
      </w:r>
      <w:r>
        <w:rPr>
          <w:w w:val="98.72529029846191"/>
          <w:rFonts w:ascii="URWPalladioL" w:hAnsi="URWPalladioL" w:eastAsia="URWPalladioL"/>
          <w:b w:val="0"/>
          <w:i w:val="0"/>
          <w:color w:val="000000"/>
          <w:sz w:val="20"/>
        </w:rPr>
        <w:t xml:space="preserve">The index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represents the coherent expression of the economic situation and is simply calculated as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 average of three specific indexes (</w:t>
      </w:r>
      <w:r>
        <w:rPr>
          <w:rFonts w:ascii="URWPalladioL" w:hAnsi="URWPalladioL" w:eastAsia="URWPalladioL"/>
          <w:b w:val="0"/>
          <w:i/>
          <w:color w:val="000000"/>
          <w:sz w:val="20"/>
        </w:rPr>
        <w:t>I</w:t>
      </w:r>
      <w:r>
        <w:rPr>
          <w:rFonts w:ascii="URWPalladioL" w:hAnsi="URWPalladioL" w:eastAsia="URWPalladioL"/>
          <w:b w:val="0"/>
          <w:i/>
          <w:color w:val="000000"/>
          <w:sz w:val="15"/>
        </w:rPr>
        <w:t>fr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,</w:t>
      </w:r>
      <w:r>
        <w:rPr>
          <w:rFonts w:ascii="URWPalladioL" w:hAnsi="URWPalladioL" w:eastAsia="URWPalladioL"/>
          <w:b w:val="0"/>
          <w:i/>
          <w:color w:val="000000"/>
          <w:sz w:val="20"/>
        </w:rPr>
        <w:t xml:space="preserve"> I</w:t>
      </w:r>
      <w:r>
        <w:rPr>
          <w:rFonts w:ascii="URWPalladioL" w:hAnsi="URWPalladioL" w:eastAsia="URWPalladioL"/>
          <w:b w:val="0"/>
          <w:i/>
          <w:color w:val="000000"/>
          <w:sz w:val="15"/>
        </w:rPr>
        <w:t>fwb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,</w:t>
      </w:r>
      <w:r>
        <w:rPr>
          <w:rFonts w:ascii="URWPalladioL" w:hAnsi="URWPalladioL" w:eastAsia="URWPalladioL"/>
          <w:b w:val="0"/>
          <w:i/>
          <w:color w:val="000000"/>
          <w:sz w:val="20"/>
        </w:rPr>
        <w:t xml:space="preserve"> I</w:t>
      </w:r>
      <w:r>
        <w:rPr>
          <w:rFonts w:ascii="URWPalladioL" w:hAnsi="URWPalladioL" w:eastAsia="URWPalladioL"/>
          <w:b w:val="0"/>
          <w:i/>
          <w:color w:val="000000"/>
          <w:sz w:val="15"/>
        </w:rPr>
        <w:t>fk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766.0" w:type="dxa"/>
      </w:tblPr>
      <w:tblGrid>
        <w:gridCol w:w="3509"/>
        <w:gridCol w:w="3509"/>
        <w:gridCol w:w="3509"/>
      </w:tblGrid>
      <w:tr>
        <w:trPr>
          <w:trHeight w:hRule="exact" w:val="334"/>
        </w:trPr>
        <w:tc>
          <w:tcPr>
            <w:tcW w:type="dxa" w:w="331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22" w:after="0"/>
              <w:ind w:left="0" w:right="76" w:firstLine="0"/>
              <w:jc w:val="right"/>
            </w:pPr>
            <w:r>
              <w:rPr>
                <w:w w:val="98.86761619931175"/>
                <w:rFonts w:ascii="CMR10" w:hAnsi="CMR10" w:eastAsia="CMR10"/>
                <w:b w:val="0"/>
                <w:i w:val="0"/>
                <w:color w:val="000000"/>
                <w:sz w:val="21"/>
              </w:rPr>
              <w:t>=</w:t>
            </w:r>
          </w:p>
        </w:tc>
        <w:tc>
          <w:tcPr>
            <w:tcW w:type="dxa" w:w="148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/>
                <w:color w:val="000000"/>
                <w:sz w:val="20"/>
              </w:rPr>
              <w:t>I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5"/>
              </w:rPr>
              <w:t>f k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2"/>
              </w:rPr>
              <w:t>i</w:t>
            </w:r>
            <w:r>
              <w:rPr>
                <w:w w:val="98.86761619931175"/>
                <w:rFonts w:ascii="CMR10" w:hAnsi="CMR10" w:eastAsia="CMR10"/>
                <w:b w:val="0"/>
                <w:i w:val="0"/>
                <w:color w:val="000000"/>
                <w:sz w:val="21"/>
              </w:rPr>
              <w:t>+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20"/>
              </w:rPr>
              <w:t xml:space="preserve"> I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5"/>
              </w:rPr>
              <w:t>f wb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2"/>
              </w:rPr>
              <w:t>i</w:t>
            </w:r>
            <w:r>
              <w:rPr>
                <w:w w:val="98.86761619931175"/>
                <w:rFonts w:ascii="CMR10" w:hAnsi="CMR10" w:eastAsia="CMR10"/>
                <w:b w:val="0"/>
                <w:i w:val="0"/>
                <w:color w:val="000000"/>
                <w:sz w:val="21"/>
              </w:rPr>
              <w:t>+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20"/>
              </w:rPr>
              <w:t xml:space="preserve"> I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5"/>
              </w:rPr>
              <w:t>f k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2"/>
              </w:rPr>
              <w:t>i</w:t>
            </w:r>
          </w:p>
        </w:tc>
        <w:tc>
          <w:tcPr>
            <w:tcW w:type="dxa" w:w="292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2"/>
        </w:trPr>
        <w:tc>
          <w:tcPr>
            <w:tcW w:type="dxa" w:w="331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0" w:right="318" w:firstLine="0"/>
              <w:jc w:val="right"/>
            </w:pPr>
            <w:r>
              <w:rPr>
                <w:rFonts w:ascii="URWPalladioL" w:hAnsi="URWPalladioL" w:eastAsia="URWPalladioL"/>
                <w:b w:val="0"/>
                <w:i/>
                <w:color w:val="000000"/>
                <w:sz w:val="20"/>
              </w:rPr>
              <w:t>I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5"/>
              </w:rPr>
              <w:t>ec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2"/>
              </w:rPr>
              <w:t>i</w:t>
            </w:r>
          </w:p>
        </w:tc>
        <w:tc>
          <w:tcPr>
            <w:tcW w:type="dxa" w:w="148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292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14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>(5)</w:t>
            </w:r>
          </w:p>
        </w:tc>
      </w:tr>
    </w:tbl>
    <w:p>
      <w:pPr>
        <w:autoSpaceDN w:val="0"/>
        <w:autoSpaceDE w:val="0"/>
        <w:widowControl/>
        <w:spacing w:line="202" w:lineRule="exact" w:before="114" w:after="0"/>
        <w:ind w:left="2622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>where</w:t>
      </w:r>
      <w:r>
        <w:rPr>
          <w:rFonts w:ascii="URWPalladioL" w:hAnsi="URWPalladioL" w:eastAsia="URWPalladioL"/>
          <w:b w:val="0"/>
          <w:i/>
          <w:color w:val="000000"/>
          <w:sz w:val="20"/>
        </w:rPr>
        <w:t xml:space="preserve"> i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 is the</w:t>
      </w:r>
      <w:r>
        <w:rPr>
          <w:rFonts w:ascii="URWPalladioL" w:hAnsi="URWPalladioL" w:eastAsia="URWPalladioL"/>
          <w:b w:val="0"/>
          <w:i/>
          <w:color w:val="000000"/>
          <w:sz w:val="20"/>
        </w:rPr>
        <w:t xml:space="preserve"> i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 respondent.</w:t>
      </w:r>
    </w:p>
    <w:p>
      <w:pPr>
        <w:autoSpaceDN w:val="0"/>
        <w:autoSpaceDE w:val="0"/>
        <w:widowControl/>
        <w:spacing w:line="246" w:lineRule="exact" w:before="20" w:after="0"/>
        <w:ind w:left="2626" w:right="50" w:firstLine="424"/>
        <w:jc w:val="both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>For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calculation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of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risk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levels,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index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of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coherent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economic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situation</w:t>
      </w:r>
      <w:r>
        <w:rPr>
          <w:rFonts w:ascii="URWPalladioL" w:hAnsi="URWPalladioL" w:eastAsia="URWPalladioL"/>
          <w:b w:val="0"/>
          <w:i/>
          <w:color w:val="000000"/>
          <w:sz w:val="20"/>
        </w:rPr>
        <w:t>I</w:t>
      </w:r>
      <w:r>
        <w:rPr>
          <w:rFonts w:ascii="URWPalladioL" w:hAnsi="URWPalladioL" w:eastAsia="URWPalladioL"/>
          <w:b w:val="0"/>
          <w:i/>
          <w:color w:val="000000"/>
          <w:sz w:val="15"/>
        </w:rPr>
        <w:t>ec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is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categorized to</w:t>
      </w:r>
      <w:r>
        <w:rPr>
          <w:rFonts w:ascii="URWPalladioL" w:hAnsi="URWPalladioL" w:eastAsia="URWPalladioL"/>
          <w:b w:val="0"/>
          <w:i/>
          <w:color w:val="000000"/>
          <w:sz w:val="20"/>
        </w:rPr>
        <w:t xml:space="preserve"> I</w:t>
      </w:r>
      <w:r>
        <w:rPr>
          <w:rFonts w:ascii="URWPalladioL" w:hAnsi="URWPalladioL" w:eastAsia="URWPalladioL"/>
          <w:b w:val="0"/>
          <w:i/>
          <w:color w:val="000000"/>
          <w:sz w:val="15"/>
        </w:rPr>
        <w:t>eccat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 categorization of</w:t>
      </w:r>
      <w:r>
        <w:rPr>
          <w:rFonts w:ascii="URWPalladioL" w:hAnsi="URWPalladioL" w:eastAsia="URWPalladioL"/>
          <w:b w:val="0"/>
          <w:i/>
          <w:color w:val="000000"/>
          <w:sz w:val="20"/>
        </w:rPr>
        <w:t xml:space="preserve"> I</w:t>
      </w:r>
      <w:r>
        <w:rPr>
          <w:rFonts w:ascii="URWPalladioL" w:hAnsi="URWPalladioL" w:eastAsia="URWPalladioL"/>
          <w:b w:val="0"/>
          <w:i/>
          <w:color w:val="000000"/>
          <w:sz w:val="15"/>
        </w:rPr>
        <w:t>ec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is calculated using index mean (</w:t>
      </w:r>
      <w:r>
        <w:rPr>
          <w:rFonts w:ascii="EURM10" w:hAnsi="EURM10" w:eastAsia="EURM10"/>
          <w:b w:val="0"/>
          <w:i w:val="0"/>
          <w:color w:val="000000"/>
          <w:sz w:val="20"/>
        </w:rPr>
        <w:t>µ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) and index 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standard deviation (</w:t>
      </w:r>
      <w:r>
        <w:rPr>
          <w:rFonts w:ascii="EURM10" w:hAnsi="EURM10" w:eastAsia="EURM10"/>
          <w:b w:val="0"/>
          <w:i w:val="0"/>
          <w:color w:val="000000"/>
          <w:sz w:val="20"/>
        </w:rPr>
        <w:t>σ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).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The four categories of economic situation including the numbers in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population are in Section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 xml:space="preserve"> 4.1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00" w:lineRule="exact" w:before="246" w:after="0"/>
        <w:ind w:left="0" w:right="0" w:firstLine="0"/>
        <w:jc w:val="center"/>
      </w:pPr>
      <w:r>
        <w:rPr>
          <w:rFonts w:ascii="URWPalladioL" w:hAnsi="URWPalladioL" w:eastAsia="URWPalladioL"/>
          <w:b w:val="0"/>
          <w:i/>
          <w:color w:val="000000"/>
          <w:sz w:val="20"/>
        </w:rPr>
        <w:t>3.7.</w:t>
      </w:r>
      <w:r>
        <w:rPr>
          <w:rFonts w:ascii="URWPalladioL" w:hAnsi="URWPalladioL" w:eastAsia="URWPalladioL"/>
          <w:b w:val="0"/>
          <w:i/>
          <w:color w:val="000000"/>
          <w:sz w:val="20"/>
        </w:rPr>
        <w:t>The Economic Situation Clusters—First Factor of the Model</w:t>
      </w:r>
    </w:p>
    <w:p>
      <w:pPr>
        <w:autoSpaceDN w:val="0"/>
        <w:autoSpaceDE w:val="0"/>
        <w:widowControl/>
        <w:spacing w:line="252" w:lineRule="exact" w:before="62" w:after="0"/>
        <w:ind w:left="2632" w:right="0" w:firstLine="424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For expression of the characteristic economic situation, the cluster analysis was used. 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Cluster analysis (</w:t>
      </w:r>
      <w:r>
        <w:rPr>
          <w:w w:val="98.62470626831055"/>
          <w:rFonts w:ascii="URWPalladioL" w:hAnsi="URWPalladioL" w:eastAsia="URWPalladioL"/>
          <w:b w:val="0"/>
          <w:i w:val="0"/>
          <w:color w:val="0875B7"/>
          <w:sz w:val="20"/>
        </w:rPr>
        <w:t>Hennig et al. 2015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), as a method to capture the natural structure of data, en-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ables us to organize data and better understand the differences and commonalities between 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cases.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Clustering is useful in simplifying data, developing new taxonomies, and identifying </w:t>
      </w:r>
      <w:r>
        <w:rPr>
          <w:w w:val="98.82577896118164"/>
          <w:rFonts w:ascii="URWPalladioL" w:hAnsi="URWPalladioL" w:eastAsia="URWPalladioL"/>
          <w:b w:val="0"/>
          <w:i w:val="0"/>
          <w:color w:val="000000"/>
          <w:sz w:val="20"/>
        </w:rPr>
        <w:t xml:space="preserve">relationships, it gives researchers the possibility to determine group membership based on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analysed data and characteristics.</w:t>
      </w:r>
    </w:p>
    <w:p>
      <w:pPr>
        <w:autoSpaceDN w:val="0"/>
        <w:autoSpaceDE w:val="0"/>
        <w:widowControl/>
        <w:spacing w:line="250" w:lineRule="exact" w:before="0" w:after="0"/>
        <w:ind w:left="2624" w:right="0" w:firstLine="432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>The cluster analysis is common in both science (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Anderberg 2014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) and social sciences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(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Arabie et al. 2005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;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 xml:space="preserve"> Fonseca 2013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) and in our model we are trying to use it in application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of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social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research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in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helping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professions’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practices.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method,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designed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to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reveal 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relationships that might not have been revealed with individual observation, it has practical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uses at different levels of helping professions research and practice, e.g., in finding and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describing commonalities among a population (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Hair et al. 2010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;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 xml:space="preserve"> Rapkin and Luke 1993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).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ability to quickly group clients on the base of their common characteristics and devise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strategies/interventions for each group at a larger scale can bring more cost-effectiveness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into the helping professions with already tight budgets.</w:t>
      </w:r>
    </w:p>
    <w:p>
      <w:pPr>
        <w:autoSpaceDN w:val="0"/>
        <w:autoSpaceDE w:val="0"/>
        <w:widowControl/>
        <w:spacing w:line="252" w:lineRule="exact" w:before="2" w:after="52"/>
        <w:ind w:left="2622" w:right="0" w:firstLine="424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>Three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indexes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defined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described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above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were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counted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for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each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of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3768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re-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spondents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received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values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were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employed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in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cluster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analysis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using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k-means.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analysis produced four clusters, which allowed us to describe four different average types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of economic situations.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Clusters are described in Section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 xml:space="preserve"> 4.2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risk level of each cluster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was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calculated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using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Equation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(6)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based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on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difference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of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levels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of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financial 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indexes (responsibility</w:t>
      </w:r>
      <w:r>
        <w:rPr>
          <w:w w:val="98.62470626831055"/>
          <w:rFonts w:ascii="URWPalladioL" w:hAnsi="URWPalladioL" w:eastAsia="URWPalladioL"/>
          <w:b w:val="0"/>
          <w:i/>
          <w:color w:val="000000"/>
          <w:sz w:val="20"/>
        </w:rPr>
        <w:t xml:space="preserve"> I</w:t>
      </w:r>
      <w:r>
        <w:rPr>
          <w:rFonts w:ascii="URWPalladioL" w:hAnsi="URWPalladioL" w:eastAsia="URWPalladioL"/>
          <w:b w:val="0"/>
          <w:i/>
          <w:color w:val="000000"/>
          <w:sz w:val="15"/>
        </w:rPr>
        <w:t>fr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, well-being</w:t>
      </w:r>
      <w:r>
        <w:rPr>
          <w:w w:val="98.62470626831055"/>
          <w:rFonts w:ascii="URWPalladioL" w:hAnsi="URWPalladioL" w:eastAsia="URWPalladioL"/>
          <w:b w:val="0"/>
          <w:i/>
          <w:color w:val="000000"/>
          <w:sz w:val="20"/>
        </w:rPr>
        <w:t xml:space="preserve"> I</w:t>
      </w:r>
      <w:r>
        <w:rPr>
          <w:rFonts w:ascii="URWPalladioL" w:hAnsi="URWPalladioL" w:eastAsia="URWPalladioL"/>
          <w:b w:val="0"/>
          <w:i/>
          <w:color w:val="000000"/>
          <w:sz w:val="15"/>
        </w:rPr>
        <w:t>fwb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 and knowledge</w:t>
      </w:r>
      <w:r>
        <w:rPr>
          <w:w w:val="98.62470626831055"/>
          <w:rFonts w:ascii="URWPalladioL" w:hAnsi="URWPalladioL" w:eastAsia="URWPalladioL"/>
          <w:b w:val="0"/>
          <w:i/>
          <w:color w:val="000000"/>
          <w:sz w:val="20"/>
        </w:rPr>
        <w:t xml:space="preserve"> I</w:t>
      </w:r>
      <w:r>
        <w:rPr>
          <w:rFonts w:ascii="URWPalladioL" w:hAnsi="URWPalladioL" w:eastAsia="URWPalladioL"/>
          <w:b w:val="0"/>
          <w:i/>
          <w:color w:val="000000"/>
          <w:sz w:val="15"/>
        </w:rPr>
        <w:t>fk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).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Because indexes are designed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to measure the positivity of each aspect of the financial situation and if transformed to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scale 0–1 could be taken as the percentage of financial assurance, the risk level is therefore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computed as the difference between 1 (which represents full assurance) and measured as-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surance.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Hence, the risk level</w:t>
      </w:r>
      <w:r>
        <w:rPr>
          <w:rFonts w:ascii="URWPalladioL" w:hAnsi="URWPalladioL" w:eastAsia="URWPalladioL"/>
          <w:b w:val="0"/>
          <w:i/>
          <w:color w:val="000000"/>
          <w:sz w:val="20"/>
        </w:rPr>
        <w:t xml:space="preserve"> ES</w:t>
      </w:r>
      <w:r>
        <w:rPr>
          <w:rFonts w:ascii="URWPalladioL" w:hAnsi="URWPalladioL" w:eastAsia="URWPalladioL"/>
          <w:b w:val="0"/>
          <w:i/>
          <w:color w:val="000000"/>
          <w:sz w:val="15"/>
        </w:rPr>
        <w:t>r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could be interpreted as the percentage of risk the person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will have financial problems if the life and/or social conditions unexpectedly change.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66.0" w:type="dxa"/>
      </w:tblPr>
      <w:tblGrid>
        <w:gridCol w:w="1504"/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446"/>
        </w:trPr>
        <w:tc>
          <w:tcPr>
            <w:tcW w:type="dxa" w:w="3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312" w:after="0"/>
              <w:ind w:left="0" w:right="96" w:firstLine="0"/>
              <w:jc w:val="right"/>
            </w:pPr>
            <w:r>
              <w:rPr>
                <w:rFonts w:ascii="URWPalladioL" w:hAnsi="URWPalladioL" w:eastAsia="URWPalladioL"/>
                <w:b w:val="0"/>
                <w:i/>
                <w:color w:val="000000"/>
                <w:sz w:val="20"/>
              </w:rPr>
              <w:t>ES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5"/>
              </w:rPr>
              <w:t>r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2"/>
              </w:rPr>
              <w:t>k</w:t>
            </w:r>
            <w:r>
              <w:rPr>
                <w:w w:val="98.86761619931175"/>
                <w:rFonts w:ascii="CMR10" w:hAnsi="CMR10" w:eastAsia="CMR10"/>
                <w:b w:val="0"/>
                <w:i w:val="0"/>
                <w:color w:val="000000"/>
                <w:sz w:val="21"/>
              </w:rPr>
              <w:t>=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 xml:space="preserve"> 1</w:t>
            </w:r>
            <w:r>
              <w:rPr>
                <w:w w:val="98.86761619931175"/>
                <w:rFonts w:ascii="CMSY10" w:hAnsi="CMSY10" w:eastAsia="CMSY10"/>
                <w:b w:val="0"/>
                <w:i/>
                <w:color w:val="000000"/>
                <w:sz w:val="21"/>
              </w:rPr>
              <w:t xml:space="preserve"> −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4" w:lineRule="exact" w:before="50" w:after="0"/>
              <w:ind w:left="96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/>
                <w:color w:val="000000"/>
                <w:sz w:val="20"/>
              </w:rPr>
              <w:t xml:space="preserve"> I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5"/>
              </w:rPr>
              <w:t>f r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2"/>
              </w:rPr>
              <w:t>k</w:t>
            </w:r>
            <w:r>
              <w:rPr>
                <w:w w:val="98.86761619931175"/>
                <w:rFonts w:ascii="CMR10" w:hAnsi="CMR10" w:eastAsia="CMR10"/>
                <w:b w:val="0"/>
                <w:i w:val="0"/>
                <w:color w:val="000000"/>
                <w:sz w:val="21"/>
              </w:rPr>
              <w:t>+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 xml:space="preserve"> 1</w:t>
            </w:r>
          </w:p>
        </w:tc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12" w:after="0"/>
              <w:ind w:left="0" w:right="0" w:firstLine="0"/>
              <w:jc w:val="center"/>
            </w:pPr>
            <w:r>
              <w:rPr>
                <w:w w:val="98.86761619931175"/>
                <w:rFonts w:ascii="CMSY10" w:hAnsi="CMSY10" w:eastAsia="CMSY10"/>
                <w:b w:val="0"/>
                <w:i/>
                <w:color w:val="000000"/>
                <w:sz w:val="21"/>
              </w:rPr>
              <w:t>−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5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/>
                <w:color w:val="000000"/>
                <w:sz w:val="20"/>
              </w:rPr>
              <w:t>I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5"/>
              </w:rPr>
              <w:t>f wb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2"/>
              </w:rPr>
              <w:t>k</w:t>
            </w:r>
            <w:r>
              <w:rPr>
                <w:w w:val="98.86761619931175"/>
                <w:rFonts w:ascii="CMR10" w:hAnsi="CMR10" w:eastAsia="CMR10"/>
                <w:b w:val="0"/>
                <w:i w:val="0"/>
                <w:color w:val="000000"/>
                <w:sz w:val="21"/>
              </w:rPr>
              <w:t>+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 xml:space="preserve"> 1</w:t>
            </w:r>
          </w:p>
        </w:tc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16" w:after="0"/>
              <w:ind w:left="0" w:right="0" w:firstLine="0"/>
              <w:jc w:val="center"/>
            </w:pPr>
            <w:r>
              <w:rPr>
                <w:w w:val="98.86761619931175"/>
                <w:rFonts w:ascii="CMR10" w:hAnsi="CMR10" w:eastAsia="CMR10"/>
                <w:b w:val="0"/>
                <w:i w:val="0"/>
                <w:color w:val="000000"/>
                <w:sz w:val="21"/>
              </w:rPr>
              <w:t>+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54" w:after="0"/>
              <w:ind w:left="48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/>
                <w:color w:val="000000"/>
                <w:sz w:val="20"/>
              </w:rPr>
              <w:t>I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5"/>
              </w:rPr>
              <w:t>f k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2"/>
              </w:rPr>
              <w:t>k</w:t>
            </w:r>
            <w:r>
              <w:rPr>
                <w:w w:val="98.86761619931175"/>
                <w:rFonts w:ascii="CMR10" w:hAnsi="CMR10" w:eastAsia="CMR10"/>
                <w:b w:val="0"/>
                <w:i w:val="0"/>
                <w:color w:val="000000"/>
                <w:sz w:val="21"/>
              </w:rPr>
              <w:t>+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 xml:space="preserve"> 1</w:t>
            </w:r>
          </w:p>
        </w:tc>
        <w:tc>
          <w:tcPr>
            <w:tcW w:type="dxa" w:w="1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34" w:after="0"/>
              <w:ind w:left="0" w:right="14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>(6)</w:t>
            </w:r>
          </w:p>
        </w:tc>
      </w:tr>
      <w:tr>
        <w:trPr>
          <w:trHeight w:hRule="exact" w:val="284"/>
        </w:trPr>
        <w:tc>
          <w:tcPr>
            <w:tcW w:type="dxa" w:w="1504"/>
            <w:vMerge/>
            <w:tcBorders/>
          </w:tcPr>
          <w:p/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" w:after="0"/>
              <w:ind w:left="0" w:right="286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" w:after="0"/>
              <w:ind w:left="314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150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2" w:lineRule="exact" w:before="164" w:after="0"/>
        <w:ind w:left="2622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>where</w:t>
      </w:r>
      <w:r>
        <w:rPr>
          <w:rFonts w:ascii="URWPalladioL" w:hAnsi="URWPalladioL" w:eastAsia="URWPalladioL"/>
          <w:b w:val="0"/>
          <w:i/>
          <w:color w:val="000000"/>
          <w:sz w:val="20"/>
        </w:rPr>
        <w:t xml:space="preserve"> k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 is the</w:t>
      </w:r>
      <w:r>
        <w:rPr>
          <w:rFonts w:ascii="URWPalladioL" w:hAnsi="URWPalladioL" w:eastAsia="URWPalladioL"/>
          <w:b w:val="0"/>
          <w:i/>
          <w:color w:val="000000"/>
          <w:sz w:val="20"/>
        </w:rPr>
        <w:t xml:space="preserve"> k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 cluster.</w:t>
      </w:r>
    </w:p>
    <w:p>
      <w:pPr>
        <w:autoSpaceDN w:val="0"/>
        <w:autoSpaceDE w:val="0"/>
        <w:widowControl/>
        <w:spacing w:line="262" w:lineRule="exact" w:before="0" w:after="0"/>
        <w:ind w:left="2626" w:right="46" w:firstLine="424"/>
        <w:jc w:val="both"/>
      </w:pP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The clusters derived by cluster analysis from three indexes represent average economic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types and in the following step, each respondent is assigned to the closest cluster.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A new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variable</w:t>
      </w:r>
      <w:r>
        <w:rPr>
          <w:rFonts w:ascii="URWPalladioL" w:hAnsi="URWPalladioL" w:eastAsia="URWPalladioL"/>
          <w:b w:val="0"/>
          <w:i/>
          <w:color w:val="000000"/>
          <w:sz w:val="20"/>
        </w:rPr>
        <w:t xml:space="preserve"> ES</w:t>
      </w:r>
      <w:r>
        <w:rPr>
          <w:rFonts w:ascii="URWPalladioL" w:hAnsi="URWPalladioL" w:eastAsia="URWPalladioL"/>
          <w:b w:val="0"/>
          <w:i/>
          <w:color w:val="000000"/>
          <w:sz w:val="15"/>
        </w:rPr>
        <w:t>r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 is defined for this purpose and could be used for forthcoming analyses.</w:t>
      </w:r>
    </w:p>
    <w:p>
      <w:pPr>
        <w:autoSpaceDN w:val="0"/>
        <w:autoSpaceDE w:val="0"/>
        <w:widowControl/>
        <w:spacing w:line="240" w:lineRule="exact" w:before="0" w:after="180"/>
        <w:ind w:left="2632" w:right="54" w:firstLine="424"/>
        <w:jc w:val="both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assignment (list) and the respondents to clusters is made using the Euclidean 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distance between respondent’s values of indexes (</w:t>
      </w:r>
      <w:r>
        <w:rPr>
          <w:w w:val="98.62470626831055"/>
          <w:rFonts w:ascii="URWPalladioL" w:hAnsi="URWPalladioL" w:eastAsia="URWPalladioL"/>
          <w:b w:val="0"/>
          <w:i/>
          <w:color w:val="000000"/>
          <w:sz w:val="20"/>
        </w:rPr>
        <w:t>I</w:t>
      </w:r>
      <w:r>
        <w:rPr>
          <w:rFonts w:ascii="URWPalladioL" w:hAnsi="URWPalladioL" w:eastAsia="URWPalladioL"/>
          <w:b w:val="0"/>
          <w:i/>
          <w:color w:val="000000"/>
          <w:sz w:val="15"/>
        </w:rPr>
        <w:t>fr</w:t>
      </w:r>
      <w:r>
        <w:rPr>
          <w:w w:val="98.62470626831055"/>
          <w:rFonts w:ascii="URWPalladioL" w:hAnsi="URWPalladioL" w:eastAsia="URWPalladioL"/>
          <w:b w:val="0"/>
          <w:i/>
          <w:color w:val="000000"/>
          <w:sz w:val="20"/>
        </w:rPr>
        <w:t>, I</w:t>
      </w:r>
      <w:r>
        <w:rPr>
          <w:rFonts w:ascii="URWPalladioL" w:hAnsi="URWPalladioL" w:eastAsia="URWPalladioL"/>
          <w:b w:val="0"/>
          <w:i/>
          <w:color w:val="000000"/>
          <w:sz w:val="15"/>
        </w:rPr>
        <w:t>fwb</w:t>
      </w:r>
      <w:r>
        <w:rPr>
          <w:w w:val="98.62470626831055"/>
          <w:rFonts w:ascii="URWPalladioL" w:hAnsi="URWPalladioL" w:eastAsia="URWPalladioL"/>
          <w:b w:val="0"/>
          <w:i/>
          <w:color w:val="000000"/>
          <w:sz w:val="20"/>
        </w:rPr>
        <w:t>, I</w:t>
      </w:r>
      <w:r>
        <w:rPr>
          <w:rFonts w:ascii="URWPalladioL" w:hAnsi="URWPalladioL" w:eastAsia="URWPalladioL"/>
          <w:b w:val="0"/>
          <w:i/>
          <w:color w:val="000000"/>
          <w:sz w:val="15"/>
        </w:rPr>
        <w:t>fk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) and means of each cluster. The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respondent is assigned to a cluster with the shortest distance as is shown in Equation (7).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46.0" w:type="dxa"/>
      </w:tblPr>
      <w:tblGrid>
        <w:gridCol w:w="957"/>
        <w:gridCol w:w="957"/>
        <w:gridCol w:w="957"/>
        <w:gridCol w:w="957"/>
        <w:gridCol w:w="957"/>
        <w:gridCol w:w="957"/>
        <w:gridCol w:w="957"/>
        <w:gridCol w:w="957"/>
        <w:gridCol w:w="957"/>
        <w:gridCol w:w="957"/>
        <w:gridCol w:w="957"/>
      </w:tblGrid>
      <w:tr>
        <w:trPr>
          <w:trHeight w:hRule="exact" w:val="502"/>
        </w:trPr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76" w:after="0"/>
              <w:ind w:left="0" w:right="60" w:firstLine="0"/>
              <w:jc w:val="right"/>
            </w:pPr>
            <w:r>
              <w:rPr>
                <w:rFonts w:ascii="URWPalladioL" w:hAnsi="URWPalladioL" w:eastAsia="URWPalladioL"/>
                <w:b w:val="0"/>
                <w:i/>
                <w:color w:val="000000"/>
                <w:sz w:val="20"/>
              </w:rPr>
              <w:t>ES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5"/>
              </w:rPr>
              <w:t>cat</w:t>
            </w:r>
            <w:r>
              <w:rPr>
                <w:w w:val="98.86761619931175"/>
                <w:rFonts w:ascii="CMR10" w:hAnsi="CMR10" w:eastAsia="CMR10"/>
                <w:b w:val="0"/>
                <w:i w:val="0"/>
                <w:color w:val="000000"/>
                <w:sz w:val="21"/>
              </w:rPr>
              <w:t>=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20"/>
              </w:rPr>
              <w:t>ord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27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 xml:space="preserve">min </w:t>
            </w:r>
            <w:r>
              <w:br/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5"/>
              </w:rPr>
              <w:t>c</w:t>
            </w:r>
            <w:r>
              <w:rPr>
                <w:w w:val="98.61999750137329"/>
                <w:rFonts w:ascii="CMR10" w:hAnsi="CMR10" w:eastAsia="CMR10"/>
                <w:b w:val="0"/>
                <w:i w:val="0"/>
                <w:color w:val="000000"/>
                <w:sz w:val="16"/>
              </w:rPr>
              <w:t>=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5"/>
              </w:rPr>
              <w:t>1–4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7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/>
                <w:color w:val="000000"/>
                <w:sz w:val="20"/>
              </w:rPr>
              <w:t>I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5"/>
              </w:rPr>
              <w:t>f r</w:t>
            </w:r>
            <w:r>
              <w:rPr>
                <w:w w:val="98.86761619931175"/>
                <w:rFonts w:ascii="CMSY10" w:hAnsi="CMSY10" w:eastAsia="CMSY10"/>
                <w:b w:val="0"/>
                <w:i/>
                <w:color w:val="000000"/>
                <w:sz w:val="21"/>
              </w:rPr>
              <w:t xml:space="preserve"> −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20"/>
              </w:rPr>
              <w:t>ES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5"/>
              </w:rPr>
              <w:t>c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2"/>
              </w:rPr>
              <w:t xml:space="preserve"> fr</w:t>
            </w:r>
          </w:p>
        </w:tc>
        <w:tc>
          <w:tcPr>
            <w:tcW w:type="dxa" w:w="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6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5"/>
              </w:rPr>
              <w:t>2</w:t>
            </w:r>
          </w:p>
        </w:tc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76" w:after="0"/>
              <w:ind w:left="0" w:right="0" w:firstLine="0"/>
              <w:jc w:val="center"/>
            </w:pPr>
            <w:r>
              <w:rPr>
                <w:w w:val="98.86761619931175"/>
                <w:rFonts w:ascii="CMR10" w:hAnsi="CMR10" w:eastAsia="CMR10"/>
                <w:b w:val="0"/>
                <w:i w:val="0"/>
                <w:color w:val="000000"/>
                <w:sz w:val="21"/>
              </w:rPr>
              <w:t>+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7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/>
                <w:color w:val="000000"/>
                <w:sz w:val="20"/>
              </w:rPr>
              <w:t>I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5"/>
              </w:rPr>
              <w:t>f wb</w:t>
            </w:r>
            <w:r>
              <w:rPr>
                <w:w w:val="98.86761619931175"/>
                <w:rFonts w:ascii="CMSY10" w:hAnsi="CMSY10" w:eastAsia="CMSY10"/>
                <w:b w:val="0"/>
                <w:i/>
                <w:color w:val="000000"/>
                <w:sz w:val="21"/>
              </w:rPr>
              <w:t xml:space="preserve"> −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20"/>
              </w:rPr>
              <w:t>ES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5"/>
              </w:rPr>
              <w:t>c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2"/>
              </w:rPr>
              <w:t xml:space="preserve"> f wb</w:t>
            </w:r>
          </w:p>
        </w:tc>
        <w:tc>
          <w:tcPr>
            <w:tcW w:type="dxa" w:w="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6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5"/>
              </w:rPr>
              <w:t>2</w:t>
            </w:r>
          </w:p>
        </w:tc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76" w:after="0"/>
              <w:ind w:left="0" w:right="0" w:firstLine="0"/>
              <w:jc w:val="center"/>
            </w:pPr>
            <w:r>
              <w:rPr>
                <w:w w:val="98.86761619931175"/>
                <w:rFonts w:ascii="CMR10" w:hAnsi="CMR10" w:eastAsia="CMR10"/>
                <w:b w:val="0"/>
                <w:i w:val="0"/>
                <w:color w:val="000000"/>
                <w:sz w:val="21"/>
              </w:rPr>
              <w:t>+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7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/>
                <w:color w:val="000000"/>
                <w:sz w:val="20"/>
              </w:rPr>
              <w:t>I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5"/>
              </w:rPr>
              <w:t>f k</w:t>
            </w:r>
            <w:r>
              <w:rPr>
                <w:w w:val="98.86761619931175"/>
                <w:rFonts w:ascii="CMSY10" w:hAnsi="CMSY10" w:eastAsia="CMSY10"/>
                <w:b w:val="0"/>
                <w:i/>
                <w:color w:val="000000"/>
                <w:sz w:val="21"/>
              </w:rPr>
              <w:t xml:space="preserve"> −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20"/>
              </w:rPr>
              <w:t>ES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5"/>
              </w:rPr>
              <w:t>c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2"/>
              </w:rPr>
              <w:t xml:space="preserve"> f k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60" w:after="0"/>
              <w:ind w:left="82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5"/>
              </w:rPr>
              <w:t>2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96" w:after="0"/>
              <w:ind w:left="0" w:right="14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>(7)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38" w:right="666" w:bottom="700" w:left="7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5263"/>
        <w:gridCol w:w="5263"/>
      </w:tblGrid>
      <w:tr>
        <w:trPr>
          <w:trHeight w:hRule="exact" w:val="272"/>
        </w:trPr>
        <w:tc>
          <w:tcPr>
            <w:tcW w:type="dxa" w:w="558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0" w:after="0"/>
              <w:ind w:left="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/>
                <w:color w:val="000000"/>
                <w:sz w:val="16"/>
              </w:rPr>
              <w:t>Risks</w:t>
            </w:r>
            <w:r>
              <w:rPr>
                <w:rFonts w:ascii="URWPalladioL" w:hAnsi="URWPalladioL" w:eastAsia="URWPalladioL"/>
                <w:b/>
                <w:i w:val="0"/>
                <w:color w:val="000000"/>
                <w:sz w:val="16"/>
              </w:rPr>
              <w:t xml:space="preserve"> 2021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,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6"/>
              </w:rPr>
              <w:t xml:space="preserve"> 9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, 205</w:t>
            </w:r>
          </w:p>
        </w:tc>
        <w:tc>
          <w:tcPr>
            <w:tcW w:type="dxa" w:w="489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" w:after="0"/>
              <w:ind w:left="0" w:right="4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9 of 24</w:t>
            </w:r>
          </w:p>
        </w:tc>
      </w:tr>
    </w:tbl>
    <w:p>
      <w:pPr>
        <w:autoSpaceDN w:val="0"/>
        <w:autoSpaceDE w:val="0"/>
        <w:widowControl/>
        <w:spacing w:line="226" w:lineRule="exact" w:before="616" w:after="0"/>
        <w:ind w:left="2632" w:right="0" w:hanging="1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>where</w:t>
      </w:r>
      <w:r>
        <w:rPr>
          <w:rFonts w:ascii="URWPalladioL" w:hAnsi="URWPalladioL" w:eastAsia="URWPalladioL"/>
          <w:b w:val="0"/>
          <w:i/>
          <w:color w:val="000000"/>
          <w:sz w:val="20"/>
        </w:rPr>
        <w:t>I</w:t>
      </w:r>
      <w:r>
        <w:rPr>
          <w:rFonts w:ascii="URWPalladioL" w:hAnsi="URWPalladioL" w:eastAsia="URWPalladioL"/>
          <w:b w:val="0"/>
          <w:i/>
          <w:color w:val="000000"/>
          <w:sz w:val="15"/>
        </w:rPr>
        <w:t>fxxx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represents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values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of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indexes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measured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for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each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respondent,</w:t>
      </w:r>
      <w:r>
        <w:rPr>
          <w:rFonts w:ascii="URWPalladioL" w:hAnsi="URWPalladioL" w:eastAsia="URWPalladioL"/>
          <w:b w:val="0"/>
          <w:i/>
          <w:color w:val="000000"/>
          <w:sz w:val="20"/>
        </w:rPr>
        <w:t>ES</w:t>
      </w:r>
      <w:r>
        <w:rPr>
          <w:rFonts w:ascii="URWPalladioL" w:hAnsi="URWPalladioL" w:eastAsia="URWPalladioL"/>
          <w:b w:val="0"/>
          <w:i/>
          <w:color w:val="000000"/>
          <w:sz w:val="15"/>
        </w:rPr>
        <w:t>c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represents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indexes’ values in</w:t>
      </w:r>
      <w:r>
        <w:rPr>
          <w:rFonts w:ascii="URWPalladioL" w:hAnsi="URWPalladioL" w:eastAsia="URWPalladioL"/>
          <w:b w:val="0"/>
          <w:i/>
          <w:color w:val="000000"/>
          <w:sz w:val="20"/>
        </w:rPr>
        <w:t xml:space="preserve"> c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 cluster.</w:t>
      </w:r>
    </w:p>
    <w:p>
      <w:pPr>
        <w:autoSpaceDN w:val="0"/>
        <w:autoSpaceDE w:val="0"/>
        <w:widowControl/>
        <w:spacing w:line="200" w:lineRule="exact" w:before="52" w:after="0"/>
        <w:ind w:left="0" w:right="798" w:firstLine="0"/>
        <w:jc w:val="right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>The distribution of clusters among the population sample is in Section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 xml:space="preserve"> 4.2.5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198" w:lineRule="exact" w:before="246" w:after="0"/>
        <w:ind w:left="0" w:right="54" w:firstLine="0"/>
        <w:jc w:val="right"/>
      </w:pPr>
      <w:r>
        <w:rPr>
          <w:w w:val="98.62470626831055"/>
          <w:rFonts w:ascii="URWPalladioL" w:hAnsi="URWPalladioL" w:eastAsia="URWPalladioL"/>
          <w:b w:val="0"/>
          <w:i/>
          <w:color w:val="000000"/>
          <w:sz w:val="20"/>
        </w:rPr>
        <w:t>3.8.</w:t>
      </w:r>
      <w:r>
        <w:rPr>
          <w:w w:val="98.62470626831055"/>
          <w:rFonts w:ascii="URWPalladioL" w:hAnsi="URWPalladioL" w:eastAsia="URWPalladioL"/>
          <w:b w:val="0"/>
          <w:i/>
          <w:color w:val="000000"/>
          <w:sz w:val="20"/>
        </w:rPr>
        <w:t>Measuring the Values’ Preferences and Factoring the Value Types—Second Factor of the Model</w:t>
      </w:r>
    </w:p>
    <w:p>
      <w:pPr>
        <w:autoSpaceDN w:val="0"/>
        <w:autoSpaceDE w:val="0"/>
        <w:widowControl/>
        <w:spacing w:line="252" w:lineRule="exact" w:before="132" w:after="0"/>
        <w:ind w:left="2626" w:right="0" w:firstLine="424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>The most commonly used method to measure personal value orientation is a ques-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tionnaire composed by Schwartz: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Personal Value Questionnaire (</w:t>
      </w:r>
      <w:r>
        <w:rPr>
          <w:w w:val="98.62470626831055"/>
          <w:rFonts w:ascii="URWPalladioL" w:hAnsi="URWPalladioL" w:eastAsia="URWPalladioL"/>
          <w:b w:val="0"/>
          <w:i w:val="0"/>
          <w:color w:val="0875B7"/>
          <w:sz w:val="20"/>
        </w:rPr>
        <w:t>Schwartz and Bilsky 1990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; 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Schwartz 2005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).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Although we fully respect the contribution of this tool,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for confirming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values, we selected Rokeach’s Scale of Terminal and Instrumental Values as a base for the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measurement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values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in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context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of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our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model.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Rokeach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(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1973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,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1968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)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focused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on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relationships between values, attitudes and beliefs in his research.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He defined the charac-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teristic features of values and their functions.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One of them is a crucial feature for us, that 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values influence behaviour and the terminal state of things.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Based on this feature of values, 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Rokeach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 (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1973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) distinguishes two main types of values: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terminal values and instrumental 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values.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Terminal values offer transcendent qualities exceeding the specific and topical form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of one’s existence.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They are further divided into intrapersonal and interpersonal values.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Instrumental values represent idealized forms of behaviour;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they cause the effort to be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fulfilled and can be identified as moral values (focused on the way of acting) and compe-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tent values (focused on the skills and actions which lead to self-fulfilment).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We suppose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both types of values strongly influence the level of risk in the financial decision-making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therefore,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we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used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Rokeach’s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values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itineraries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only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slightly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adjusted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for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usage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in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our research.</w:t>
      </w:r>
    </w:p>
    <w:p>
      <w:pPr>
        <w:autoSpaceDN w:val="0"/>
        <w:autoSpaceDE w:val="0"/>
        <w:widowControl/>
        <w:spacing w:line="250" w:lineRule="exact" w:before="24" w:after="0"/>
        <w:ind w:left="2622" w:right="50" w:firstLine="424"/>
        <w:jc w:val="both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>Values’ preferences were measured for all the 36 offered values (V</w:t>
      </w:r>
      <w:r>
        <w:rPr>
          <w:rFonts w:ascii="URWPalladioL" w:hAnsi="URWPalladioL" w:eastAsia="URWPalladioL"/>
          <w:b w:val="0"/>
          <w:i w:val="0"/>
          <w:color w:val="000000"/>
          <w:sz w:val="15"/>
        </w:rPr>
        <w:t>1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. . 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V</w:t>
      </w:r>
      <w:r>
        <w:rPr>
          <w:rFonts w:ascii="URWPalladioL" w:hAnsi="URWPalladioL" w:eastAsia="URWPalladioL"/>
          <w:b w:val="0"/>
          <w:i w:val="0"/>
          <w:color w:val="000000"/>
          <w:sz w:val="15"/>
        </w:rPr>
        <w:t>36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) using a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continuous scale of 1 to 10.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 results of factor analysis (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Sheskin 2011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) and significant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factor loads are shown in Section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 xml:space="preserve"> 4.3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Although it is usual to recognize variables in factors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as significant when the factor loads are 0.7 or more, in our case, it would not be a proper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way.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values in Rokeach’s itinerary were previously selected among many others as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independent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we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did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not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expect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we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could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find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any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too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strong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factor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loadings.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</w:t>
      </w:r>
      <w:r>
        <w:rPr>
          <w:w w:val="98.9763069152832"/>
          <w:rFonts w:ascii="URWPalladioL" w:hAnsi="URWPalladioL" w:eastAsia="URWPalladioL"/>
          <w:b w:val="0"/>
          <w:i w:val="0"/>
          <w:color w:val="000000"/>
          <w:sz w:val="20"/>
        </w:rPr>
        <w:t>intention of factor analysis used in our case was quite different.</w:t>
      </w:r>
      <w:r>
        <w:rPr>
          <w:w w:val="98.9763069152832"/>
          <w:rFonts w:ascii="URWPalladioL" w:hAnsi="URWPalladioL" w:eastAsia="URWPalladioL"/>
          <w:b w:val="0"/>
          <w:i w:val="0"/>
          <w:color w:val="000000"/>
          <w:sz w:val="20"/>
        </w:rPr>
        <w:t xml:space="preserve">We only wanted to reduce 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the number of values, show those that are relatively close together and especially determine 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the individual’s value types in the population.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That is why we used quite a low factor load 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(0.48) as a limit for assigning the value with factors.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The recognized limit was used because 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it is the lowest factor load, which guarantees only one assignment of each value to a specific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value type.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Consequently, the limit we used led to the exclusion of some values from the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itinerary for the following analysis.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Therefore, only 32 of the 36 values we measured are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employed to model and influence the determination of the respondent’s value type.</w:t>
      </w:r>
    </w:p>
    <w:p>
      <w:pPr>
        <w:autoSpaceDN w:val="0"/>
        <w:autoSpaceDE w:val="0"/>
        <w:widowControl/>
        <w:spacing w:line="200" w:lineRule="exact" w:before="246" w:after="0"/>
        <w:ind w:left="0" w:right="2864" w:firstLine="0"/>
        <w:jc w:val="right"/>
      </w:pPr>
      <w:r>
        <w:rPr>
          <w:rFonts w:ascii="URWPalladioL" w:hAnsi="URWPalladioL" w:eastAsia="URWPalladioL"/>
          <w:b w:val="0"/>
          <w:i/>
          <w:color w:val="000000"/>
          <w:sz w:val="20"/>
        </w:rPr>
        <w:t>3.9.</w:t>
      </w:r>
      <w:r>
        <w:rPr>
          <w:rFonts w:ascii="URWPalladioL" w:hAnsi="URWPalladioL" w:eastAsia="URWPalladioL"/>
          <w:b w:val="0"/>
          <w:i/>
          <w:color w:val="000000"/>
          <w:sz w:val="20"/>
        </w:rPr>
        <w:t>Assigning the Value Types to Each Individual Respondent</w:t>
      </w:r>
    </w:p>
    <w:p>
      <w:pPr>
        <w:autoSpaceDN w:val="0"/>
        <w:autoSpaceDE w:val="0"/>
        <w:widowControl/>
        <w:spacing w:line="250" w:lineRule="exact" w:before="62" w:after="0"/>
        <w:ind w:left="2622" w:right="0" w:firstLine="424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Thanks to the measured values’ preferences received from each respondent, we can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assign him or her the adequate (closest) value type.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process of assignment is based on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personal preferences of values important for each value type normalized to the scale 0–1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weighted by factor loads of these values (see Section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 xml:space="preserve"> 4.3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) and divided by the number of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value preferences employed in each factor.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For the comparison with other type weights, 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the result is normalized to the scale of 0–1 using division by the maximum potential weight. </w:t>
      </w:r>
      <w:r>
        <w:rPr>
          <w:w w:val="98.82577896118164"/>
          <w:rFonts w:ascii="URWPalladioL" w:hAnsi="URWPalladioL" w:eastAsia="URWPalladioL"/>
          <w:b w:val="0"/>
          <w:i w:val="0"/>
          <w:color w:val="000000"/>
          <w:sz w:val="20"/>
        </w:rPr>
        <w:t xml:space="preserve">Using these calculations (Equation (8)), we determine his or her personal weight of each of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 six recognized value types (PV</w:t>
      </w:r>
      <w:r>
        <w:rPr>
          <w:rFonts w:ascii="URWPalladioL" w:hAnsi="URWPalladioL" w:eastAsia="URWPalladioL"/>
          <w:b w:val="0"/>
          <w:i w:val="0"/>
          <w:color w:val="000000"/>
          <w:sz w:val="15"/>
        </w:rPr>
        <w:t>1–6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).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Finally, to the respondent, the value type with the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highest weight is assigned (Equation (9)) as a personal value type (PVT).</w:t>
      </w:r>
    </w:p>
    <w:p>
      <w:pPr>
        <w:autoSpaceDN w:val="0"/>
        <w:autoSpaceDE w:val="0"/>
        <w:widowControl/>
        <w:spacing w:line="252" w:lineRule="exact" w:before="2" w:after="0"/>
        <w:ind w:left="2622" w:right="0" w:firstLine="424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It should be noted the weights represent the respondent’s inclinations to each value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type and it should not be forgotten that all types are partly contained in his or her per-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sonality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could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affect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their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decision-making.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In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our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model,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we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assume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most </w:t>
      </w:r>
      <w:r>
        <w:rPr>
          <w:w w:val="98.77554893493652"/>
          <w:rFonts w:ascii="URWPalladioL" w:hAnsi="URWPalladioL" w:eastAsia="URWPalladioL"/>
          <w:b w:val="0"/>
          <w:i w:val="0"/>
          <w:color w:val="000000"/>
          <w:sz w:val="20"/>
        </w:rPr>
        <w:t xml:space="preserve">weighted values with the most loads are those, which influence the decision-making in the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strongest way.</w:t>
      </w:r>
    </w:p>
    <w:p>
      <w:pPr>
        <w:sectPr>
          <w:pgSz w:w="11906" w:h="16838"/>
          <w:pgMar w:top="538" w:right="666" w:bottom="892" w:left="7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1316"/>
        <w:gridCol w:w="1316"/>
        <w:gridCol w:w="1316"/>
        <w:gridCol w:w="1316"/>
        <w:gridCol w:w="1316"/>
        <w:gridCol w:w="1316"/>
        <w:gridCol w:w="1316"/>
        <w:gridCol w:w="1316"/>
      </w:tblGrid>
      <w:tr>
        <w:trPr>
          <w:trHeight w:hRule="exact" w:val="272"/>
        </w:trPr>
        <w:tc>
          <w:tcPr>
            <w:tcW w:type="dxa" w:w="316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0" w:after="0"/>
              <w:ind w:left="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/>
                <w:color w:val="000000"/>
                <w:sz w:val="16"/>
              </w:rPr>
              <w:t>Risks</w:t>
            </w:r>
            <w:r>
              <w:rPr>
                <w:rFonts w:ascii="URWPalladioL" w:hAnsi="URWPalladioL" w:eastAsia="URWPalladioL"/>
                <w:b/>
                <w:i w:val="0"/>
                <w:color w:val="000000"/>
                <w:sz w:val="16"/>
              </w:rPr>
              <w:t xml:space="preserve"> 2021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,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6"/>
              </w:rPr>
              <w:t xml:space="preserve"> 9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, 205</w:t>
            </w:r>
          </w:p>
        </w:tc>
        <w:tc>
          <w:tcPr>
            <w:tcW w:type="dxa" w:w="2678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6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038" w:after="0"/>
              <w:ind w:left="5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/>
                <w:color w:val="000000"/>
                <w:sz w:val="17"/>
              </w:rPr>
              <w:t>j</w:t>
            </w:r>
            <w:r>
              <w:rPr>
                <w:w w:val="98.04371727837456"/>
                <w:rFonts w:ascii="CMR10" w:hAnsi="CMR10" w:eastAsia="CMR10"/>
                <w:b w:val="0"/>
                <w:i w:val="0"/>
                <w:color w:val="000000"/>
                <w:sz w:val="18"/>
              </w:rPr>
              <w:t xml:space="preserve"> =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7"/>
              </w:rPr>
              <w:t xml:space="preserve"> 1</w:t>
            </w:r>
          </w:p>
        </w:tc>
        <w:tc>
          <w:tcPr>
            <w:tcW w:type="dxa" w:w="58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9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56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" w:after="0"/>
              <w:ind w:left="0" w:right="4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10 of 24</w:t>
            </w:r>
          </w:p>
        </w:tc>
      </w:tr>
      <w:tr>
        <w:trPr>
          <w:trHeight w:hRule="exact" w:val="952"/>
        </w:trPr>
        <w:tc>
          <w:tcPr>
            <w:tcW w:type="dxa" w:w="3164"/>
            <w:vMerge w:val="restart"/>
            <w:tcBorders>
              <w:top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678"/>
            <w:vMerge w:val="restart"/>
            <w:tcBorders>
              <w:top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002" w:after="0"/>
              <w:ind w:left="0" w:right="78" w:firstLine="0"/>
              <w:jc w:val="right"/>
            </w:pPr>
            <w:r>
              <w:rPr>
                <w:w w:val="98.86761619931175"/>
                <w:rFonts w:ascii="CMR10" w:hAnsi="CMR10" w:eastAsia="CMR10"/>
                <w:b w:val="0"/>
                <w:i w:val="0"/>
                <w:color w:val="000000"/>
                <w:sz w:val="21"/>
              </w:rPr>
              <w:t>=</w:t>
            </w:r>
          </w:p>
        </w:tc>
        <w:tc>
          <w:tcPr>
            <w:tcW w:type="dxa" w:w="36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14" w:after="0"/>
              <w:ind w:left="0" w:right="0" w:firstLine="0"/>
              <w:jc w:val="center"/>
            </w:pPr>
            <w:r>
              <w:rPr>
                <w:rFonts w:ascii="PazoMath" w:hAnsi="PazoMath" w:eastAsia="PazoMath"/>
                <w:b w:val="0"/>
                <w:i w:val="0"/>
                <w:color w:val="000000"/>
                <w:sz w:val="20"/>
              </w:rPr>
              <w:t>∑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5"/>
              </w:rPr>
              <w:t>36</w:t>
            </w:r>
          </w:p>
        </w:tc>
        <w:tc>
          <w:tcPr>
            <w:tcW w:type="dxa" w:w="2632"/>
            <w:gridSpan w:val="2"/>
            <w:vMerge/>
            <w:tcBorders/>
          </w:tcPr>
          <w:p/>
        </w:tc>
        <w:tc>
          <w:tcPr>
            <w:tcW w:type="dxa" w:w="580"/>
            <w:vMerge w:val="restart"/>
            <w:tcBorders>
              <w:top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63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/>
                <w:color w:val="000000"/>
                <w:sz w:val="15"/>
              </w:rPr>
              <w:t>VP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2"/>
              </w:rPr>
              <w:t>j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2"/>
                <w:u w:val="single"/>
              </w:rPr>
              <w:t>i</w:t>
            </w:r>
            <w:r>
              <w:rPr>
                <w:w w:val="98.61999750137329"/>
                <w:rFonts w:ascii="CMSY10" w:hAnsi="CMSY10" w:eastAsia="CMSY10"/>
                <w:b w:val="0"/>
                <w:i/>
                <w:color w:val="000000"/>
                <w:sz w:val="16"/>
                <w:u w:val="single"/>
              </w:rPr>
              <w:t xml:space="preserve"> </w:t>
            </w:r>
            <w:r>
              <w:rPr>
                <w:w w:val="98.61999750137329"/>
                <w:rFonts w:ascii="CMSY10" w:hAnsi="CMSY10" w:eastAsia="CMSY10"/>
                <w:b w:val="0"/>
                <w:i/>
                <w:color w:val="000000"/>
                <w:sz w:val="16"/>
              </w:rPr>
              <w:t>−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5"/>
              </w:rPr>
              <w:t xml:space="preserve">1 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5"/>
              </w:rPr>
              <w:t>9</w:t>
            </w:r>
          </w:p>
        </w:tc>
        <w:tc>
          <w:tcPr>
            <w:tcW w:type="dxa" w:w="394"/>
            <w:vMerge w:val="restart"/>
            <w:tcBorders>
              <w:top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5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/>
                <w:color w:val="000000"/>
                <w:sz w:val="20"/>
              </w:rPr>
              <w:t>FL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5"/>
              </w:rPr>
              <w:t>k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2"/>
              </w:rPr>
              <w:t>j</w:t>
            </w:r>
          </w:p>
        </w:tc>
        <w:tc>
          <w:tcPr>
            <w:tcW w:type="dxa" w:w="2556"/>
            <w:vMerge w:val="restart"/>
            <w:tcBorders>
              <w:top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6"/>
        </w:trPr>
        <w:tc>
          <w:tcPr>
            <w:tcW w:type="dxa" w:w="1316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  <w:tc>
          <w:tcPr>
            <w:tcW w:type="dxa" w:w="1316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  <w:tc>
          <w:tcPr>
            <w:tcW w:type="dxa" w:w="1102"/>
            <w:gridSpan w:val="3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10" w:after="0"/>
              <w:ind w:left="174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/>
                <w:color w:val="000000"/>
                <w:sz w:val="17"/>
              </w:rPr>
              <w:t>FL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3"/>
              </w:rPr>
              <w:t>k</w:t>
            </w:r>
            <w:r>
              <w:rPr>
                <w:w w:val="101.61920547485353"/>
                <w:rFonts w:ascii="URWPalladioL" w:hAnsi="URWPalladioL" w:eastAsia="URWPalladioL"/>
                <w:b w:val="0"/>
                <w:i/>
                <w:color w:val="000000"/>
                <w:sz w:val="10"/>
              </w:rPr>
              <w:t>j</w:t>
            </w:r>
            <w:r>
              <w:rPr>
                <w:w w:val="98.04371727837456"/>
                <w:rFonts w:ascii="CMMI10" w:hAnsi="CMMI10" w:eastAsia="CMMI10"/>
                <w:b w:val="0"/>
                <w:i/>
                <w:color w:val="000000"/>
                <w:sz w:val="18"/>
              </w:rPr>
              <w:t>&gt;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7"/>
              </w:rPr>
              <w:t xml:space="preserve"> 0.48</w:t>
            </w:r>
          </w:p>
        </w:tc>
        <w:tc>
          <w:tcPr>
            <w:tcW w:type="dxa" w:w="1316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  <w:tc>
          <w:tcPr>
            <w:tcW w:type="dxa" w:w="1316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  <w:tc>
          <w:tcPr>
            <w:tcW w:type="dxa" w:w="1316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366"/>
        </w:trPr>
        <w:tc>
          <w:tcPr>
            <w:tcW w:type="dxa" w:w="316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78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0" w:right="320" w:firstLine="0"/>
              <w:jc w:val="right"/>
            </w:pPr>
            <w:r>
              <w:rPr>
                <w:rFonts w:ascii="URWPalladioL" w:hAnsi="URWPalladioL" w:eastAsia="URWPalladioL"/>
                <w:b w:val="0"/>
                <w:i/>
                <w:color w:val="000000"/>
                <w:sz w:val="20"/>
              </w:rPr>
              <w:t>PV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5"/>
              </w:rPr>
              <w:t>k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2"/>
              </w:rPr>
              <w:t>i</w:t>
            </w:r>
          </w:p>
        </w:tc>
        <w:tc>
          <w:tcPr>
            <w:tcW w:type="dxa" w:w="622"/>
            <w:gridSpan w:val="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0" w:right="36" w:firstLine="0"/>
              <w:jc w:val="right"/>
            </w:pPr>
            <w:r>
              <w:rPr>
                <w:rFonts w:ascii="PazoMath" w:hAnsi="PazoMath" w:eastAsia="PazoMath"/>
                <w:b w:val="0"/>
                <w:i w:val="0"/>
                <w:color w:val="000000"/>
                <w:sz w:val="20"/>
              </w:rPr>
              <w:t>∑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5"/>
              </w:rPr>
              <w:t>36</w:t>
            </w:r>
          </w:p>
        </w:tc>
        <w:tc>
          <w:tcPr>
            <w:tcW w:type="dxa" w:w="48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7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/>
                <w:color w:val="000000"/>
                <w:sz w:val="17"/>
              </w:rPr>
              <w:t>j</w:t>
            </w:r>
            <w:r>
              <w:rPr>
                <w:w w:val="98.04371727837456"/>
                <w:rFonts w:ascii="CMR10" w:hAnsi="CMR10" w:eastAsia="CMR10"/>
                <w:b w:val="0"/>
                <w:i w:val="0"/>
                <w:color w:val="000000"/>
                <w:sz w:val="18"/>
              </w:rPr>
              <w:t xml:space="preserve"> =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7"/>
              </w:rPr>
              <w:t xml:space="preserve"> 1</w:t>
            </w:r>
          </w:p>
        </w:tc>
        <w:tc>
          <w:tcPr>
            <w:tcW w:type="dxa" w:w="974"/>
            <w:gridSpan w:val="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/>
                <w:color w:val="000000"/>
                <w:sz w:val="20"/>
              </w:rPr>
              <w:t>FL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5"/>
              </w:rPr>
              <w:t>k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2"/>
              </w:rPr>
              <w:t>j</w:t>
            </w:r>
          </w:p>
        </w:tc>
        <w:tc>
          <w:tcPr>
            <w:tcW w:type="dxa" w:w="255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4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>(8)</w:t>
            </w:r>
          </w:p>
        </w:tc>
      </w:tr>
    </w:tbl>
    <w:p>
      <w:pPr>
        <w:autoSpaceDN w:val="0"/>
        <w:autoSpaceDE w:val="0"/>
        <w:widowControl/>
        <w:spacing w:line="228" w:lineRule="exact" w:before="2" w:after="0"/>
        <w:ind w:left="0" w:right="3388" w:firstLine="0"/>
        <w:jc w:val="right"/>
      </w:pPr>
      <w:r>
        <w:rPr>
          <w:rFonts w:ascii="URWPalladioL" w:hAnsi="URWPalladioL" w:eastAsia="URWPalladioL"/>
          <w:b w:val="0"/>
          <w:i/>
          <w:color w:val="000000"/>
          <w:sz w:val="17"/>
        </w:rPr>
        <w:t>FL</w:t>
      </w:r>
      <w:r>
        <w:rPr>
          <w:rFonts w:ascii="URWPalladioL" w:hAnsi="URWPalladioL" w:eastAsia="URWPalladioL"/>
          <w:b w:val="0"/>
          <w:i/>
          <w:color w:val="000000"/>
          <w:sz w:val="13"/>
        </w:rPr>
        <w:t>k</w:t>
      </w:r>
      <w:r>
        <w:rPr>
          <w:w w:val="101.61920547485353"/>
          <w:rFonts w:ascii="URWPalladioL" w:hAnsi="URWPalladioL" w:eastAsia="URWPalladioL"/>
          <w:b w:val="0"/>
          <w:i/>
          <w:color w:val="000000"/>
          <w:sz w:val="10"/>
        </w:rPr>
        <w:t>j</w:t>
      </w:r>
      <w:r>
        <w:rPr>
          <w:w w:val="98.04371727837456"/>
          <w:rFonts w:ascii="CMMI10" w:hAnsi="CMMI10" w:eastAsia="CMMI10"/>
          <w:b w:val="0"/>
          <w:i/>
          <w:color w:val="000000"/>
          <w:sz w:val="18"/>
        </w:rPr>
        <w:t>&gt;</w:t>
      </w:r>
      <w:r>
        <w:rPr>
          <w:rFonts w:ascii="URWPalladioL" w:hAnsi="URWPalladioL" w:eastAsia="URWPalladioL"/>
          <w:b w:val="0"/>
          <w:i w:val="0"/>
          <w:color w:val="000000"/>
          <w:sz w:val="17"/>
        </w:rPr>
        <w:t xml:space="preserve"> 0.48</w:t>
      </w:r>
    </w:p>
    <w:p>
      <w:pPr>
        <w:autoSpaceDN w:val="0"/>
        <w:autoSpaceDE w:val="0"/>
        <w:widowControl/>
        <w:spacing w:line="226" w:lineRule="exact" w:before="146" w:after="156"/>
        <w:ind w:left="2632" w:right="0" w:hanging="1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>where</w:t>
      </w:r>
      <w:r>
        <w:rPr>
          <w:rFonts w:ascii="URWPalladioL" w:hAnsi="URWPalladioL" w:eastAsia="URWPalladioL"/>
          <w:b w:val="0"/>
          <w:i/>
          <w:color w:val="000000"/>
          <w:sz w:val="20"/>
        </w:rPr>
        <w:t xml:space="preserve"> k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 is the</w:t>
      </w:r>
      <w:r>
        <w:rPr>
          <w:rFonts w:ascii="URWPalladioL" w:hAnsi="URWPalladioL" w:eastAsia="URWPalladioL"/>
          <w:b w:val="0"/>
          <w:i/>
          <w:color w:val="000000"/>
          <w:sz w:val="20"/>
        </w:rPr>
        <w:t xml:space="preserve"> k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 value type,</w:t>
      </w:r>
      <w:r>
        <w:rPr>
          <w:rFonts w:ascii="URWPalladioL" w:hAnsi="URWPalladioL" w:eastAsia="URWPalladioL"/>
          <w:b w:val="0"/>
          <w:i/>
          <w:color w:val="000000"/>
          <w:sz w:val="20"/>
        </w:rPr>
        <w:t xml:space="preserve"> i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 is</w:t>
      </w:r>
      <w:r>
        <w:rPr>
          <w:rFonts w:ascii="URWPalladioL" w:hAnsi="URWPalladioL" w:eastAsia="URWPalladioL"/>
          <w:b w:val="0"/>
          <w:i/>
          <w:color w:val="000000"/>
          <w:sz w:val="20"/>
        </w:rPr>
        <w:t xml:space="preserve"> i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 respondent,</w:t>
      </w:r>
      <w:r>
        <w:rPr>
          <w:rFonts w:ascii="URWPalladioL" w:hAnsi="URWPalladioL" w:eastAsia="URWPalladioL"/>
          <w:b w:val="0"/>
          <w:i/>
          <w:color w:val="000000"/>
          <w:sz w:val="20"/>
        </w:rPr>
        <w:t xml:space="preserve"> VP</w:t>
      </w:r>
      <w:r>
        <w:rPr>
          <w:rFonts w:ascii="URWPalladioL" w:hAnsi="URWPalladioL" w:eastAsia="URWPalladioL"/>
          <w:b w:val="0"/>
          <w:i/>
          <w:color w:val="000000"/>
          <w:sz w:val="15"/>
        </w:rPr>
        <w:t>j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is value preference and</w:t>
      </w:r>
      <w:r>
        <w:rPr>
          <w:rFonts w:ascii="URWPalladioL" w:hAnsi="URWPalladioL" w:eastAsia="URWPalladioL"/>
          <w:b w:val="0"/>
          <w:i/>
          <w:color w:val="000000"/>
          <w:sz w:val="20"/>
        </w:rPr>
        <w:t xml:space="preserve"> FL</w:t>
      </w:r>
      <w:r>
        <w:rPr>
          <w:rFonts w:ascii="URWPalladioL" w:hAnsi="URWPalladioL" w:eastAsia="URWPalladioL"/>
          <w:b w:val="0"/>
          <w:i/>
          <w:color w:val="000000"/>
          <w:sz w:val="15"/>
        </w:rPr>
        <w:t>kj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is the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factor load of the value in</w:t>
      </w:r>
      <w:r>
        <w:rPr>
          <w:rFonts w:ascii="URWPalladioL" w:hAnsi="URWPalladioL" w:eastAsia="URWPalladioL"/>
          <w:b w:val="0"/>
          <w:i/>
          <w:color w:val="000000"/>
          <w:sz w:val="20"/>
        </w:rPr>
        <w:t xml:space="preserve"> k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 type.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06.0" w:type="dxa"/>
      </w:tblPr>
      <w:tblGrid>
        <w:gridCol w:w="1504"/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432"/>
        </w:trPr>
        <w:tc>
          <w:tcPr>
            <w:tcW w:type="dxa" w:w="352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220" w:after="0"/>
              <w:ind w:left="0" w:right="328" w:firstLine="0"/>
              <w:jc w:val="right"/>
            </w:pPr>
            <w:r>
              <w:rPr>
                <w:w w:val="98.86761619931175"/>
                <w:rFonts w:ascii="CMR10" w:hAnsi="CMR10" w:eastAsia="CMR10"/>
                <w:b w:val="0"/>
                <w:i w:val="0"/>
                <w:color w:val="000000"/>
                <w:sz w:val="21"/>
              </w:rPr>
              <w:t>=</w:t>
            </w:r>
          </w:p>
        </w:tc>
        <w:tc>
          <w:tcPr>
            <w:tcW w:type="dxa" w:w="66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2" w:after="0"/>
              <w:ind w:left="10" w:right="432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</w:t>
            </w:r>
            <w:r>
              <w:br/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</w:t>
            </w:r>
          </w:p>
        </w:tc>
        <w:tc>
          <w:tcPr>
            <w:tcW w:type="dxa" w:w="16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</w:t>
            </w:r>
          </w:p>
        </w:tc>
        <w:tc>
          <w:tcPr>
            <w:tcW w:type="dxa" w:w="89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17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/>
                <w:color w:val="000000"/>
                <w:sz w:val="20"/>
              </w:rPr>
              <w:t>PV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5"/>
              </w:rPr>
              <w:t>k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2"/>
              </w:rPr>
              <w:t>i</w:t>
            </w:r>
          </w:p>
        </w:tc>
        <w:tc>
          <w:tcPr>
            <w:tcW w:type="dxa" w:w="14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</w:t>
            </w:r>
          </w:p>
        </w:tc>
        <w:tc>
          <w:tcPr>
            <w:tcW w:type="dxa" w:w="126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2" w:after="0"/>
              <w:ind w:left="16" w:right="1008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</w:t>
            </w:r>
            <w:r>
              <w:br/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</w:t>
            </w:r>
          </w:p>
        </w:tc>
        <w:tc>
          <w:tcPr>
            <w:tcW w:type="dxa" w:w="134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26"/>
        </w:trPr>
        <w:tc>
          <w:tcPr>
            <w:tcW w:type="dxa" w:w="352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98" w:firstLine="0"/>
              <w:jc w:val="right"/>
            </w:pPr>
            <w:r>
              <w:rPr>
                <w:rFonts w:ascii="URWPalladioL" w:hAnsi="URWPalladioL" w:eastAsia="URWPalladioL"/>
                <w:b w:val="0"/>
                <w:i/>
                <w:color w:val="000000"/>
                <w:sz w:val="20"/>
              </w:rPr>
              <w:t>PVT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5"/>
              </w:rPr>
              <w:t>i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20"/>
              </w:rPr>
              <w:t>or</w:t>
            </w:r>
          </w:p>
        </w:tc>
        <w:tc>
          <w:tcPr>
            <w:tcW w:type="dxa" w:w="66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0" w:lineRule="exact" w:before="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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 xml:space="preserve">max 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5"/>
              </w:rPr>
              <w:t>k</w:t>
            </w:r>
            <w:r>
              <w:rPr>
                <w:w w:val="98.61999750137329"/>
                <w:rFonts w:ascii="CMR10" w:hAnsi="CMR10" w:eastAsia="CMR10"/>
                <w:b w:val="0"/>
                <w:i w:val="0"/>
                <w:color w:val="000000"/>
                <w:sz w:val="16"/>
              </w:rPr>
              <w:t>=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5"/>
              </w:rPr>
              <w:t>1...6</w:t>
            </w:r>
          </w:p>
        </w:tc>
        <w:tc>
          <w:tcPr>
            <w:tcW w:type="dxa" w:w="16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</w:t>
            </w:r>
          </w:p>
        </w:tc>
        <w:tc>
          <w:tcPr>
            <w:tcW w:type="dxa" w:w="89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 xml:space="preserve">max 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5"/>
              </w:rPr>
              <w:t>pop</w:t>
            </w:r>
            <w:r>
              <w:rPr>
                <w:w w:val="98.86761619931175"/>
                <w:rFonts w:ascii="CMR10" w:hAnsi="CMR10" w:eastAsia="CMR10"/>
                <w:b w:val="0"/>
                <w:i w:val="0"/>
                <w:color w:val="000000"/>
                <w:sz w:val="21"/>
              </w:rPr>
              <w:t>(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20"/>
              </w:rPr>
              <w:t>PV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5"/>
              </w:rPr>
              <w:t>k</w:t>
            </w:r>
            <w:r>
              <w:rPr>
                <w:w w:val="98.86761619931175"/>
                <w:rFonts w:ascii="CMR10" w:hAnsi="CMR10" w:eastAsia="CMR10"/>
                <w:b w:val="0"/>
                <w:i w:val="0"/>
                <w:color w:val="000000"/>
                <w:sz w:val="21"/>
              </w:rPr>
              <w:t>)</w:t>
            </w:r>
          </w:p>
        </w:tc>
        <w:tc>
          <w:tcPr>
            <w:tcW w:type="dxa" w:w="14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</w:t>
            </w:r>
          </w:p>
        </w:tc>
        <w:tc>
          <w:tcPr>
            <w:tcW w:type="dxa" w:w="126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2" w:after="0"/>
              <w:ind w:left="16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</w:t>
            </w:r>
          </w:p>
        </w:tc>
        <w:tc>
          <w:tcPr>
            <w:tcW w:type="dxa" w:w="134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14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>(9)</w:t>
            </w:r>
          </w:p>
        </w:tc>
      </w:tr>
    </w:tbl>
    <w:p>
      <w:pPr>
        <w:autoSpaceDN w:val="0"/>
        <w:autoSpaceDE w:val="0"/>
        <w:widowControl/>
        <w:spacing w:line="252" w:lineRule="exact" w:before="118" w:after="0"/>
        <w:ind w:left="2624" w:right="54" w:firstLine="432"/>
        <w:jc w:val="both"/>
      </w:pPr>
      <w:r>
        <w:rPr>
          <w:w w:val="98.82577896118164"/>
          <w:rFonts w:ascii="URWPalladioL" w:hAnsi="URWPalladioL" w:eastAsia="URWPalladioL"/>
          <w:b w:val="0"/>
          <w:i w:val="0"/>
          <w:color w:val="000000"/>
          <w:sz w:val="20"/>
        </w:rPr>
        <w:t>Personal value type (</w:t>
      </w:r>
      <w:r>
        <w:rPr>
          <w:w w:val="98.82577896118164"/>
          <w:rFonts w:ascii="URWPalladioL" w:hAnsi="URWPalladioL" w:eastAsia="URWPalladioL"/>
          <w:b w:val="0"/>
          <w:i/>
          <w:color w:val="000000"/>
          <w:sz w:val="20"/>
        </w:rPr>
        <w:t>PVT</w:t>
      </w:r>
      <w:r>
        <w:rPr>
          <w:w w:val="98.82577896118164"/>
          <w:rFonts w:ascii="URWPalladioL" w:hAnsi="URWPalladioL" w:eastAsia="URWPalladioL"/>
          <w:b w:val="0"/>
          <w:i w:val="0"/>
          <w:color w:val="000000"/>
          <w:sz w:val="20"/>
        </w:rPr>
        <w:t xml:space="preserve">) is the final categorical variable containing value type 1 to 6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(order of maximum weight of value type) as described above.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In Section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 xml:space="preserve"> 4.3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 is shown the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distribution of value types among the population aged 25+ in the Czech Republic.</w:t>
      </w:r>
    </w:p>
    <w:p>
      <w:pPr>
        <w:autoSpaceDN w:val="0"/>
        <w:autoSpaceDE w:val="0"/>
        <w:widowControl/>
        <w:spacing w:line="198" w:lineRule="exact" w:before="246" w:after="0"/>
        <w:ind w:left="0" w:right="3638" w:firstLine="0"/>
        <w:jc w:val="right"/>
      </w:pPr>
      <w:r>
        <w:rPr>
          <w:rFonts w:ascii="URWPalladioL" w:hAnsi="URWPalladioL" w:eastAsia="URWPalladioL"/>
          <w:b w:val="0"/>
          <w:i/>
          <w:color w:val="000000"/>
          <w:sz w:val="20"/>
        </w:rPr>
        <w:t>3.10.</w:t>
      </w:r>
      <w:r>
        <w:rPr>
          <w:rFonts w:ascii="URWPalladioL" w:hAnsi="URWPalladioL" w:eastAsia="URWPalladioL"/>
          <w:b w:val="0"/>
          <w:i/>
          <w:color w:val="000000"/>
          <w:sz w:val="20"/>
        </w:rPr>
        <w:t>Hypotheses Testing and Value Types Risk Level</w:t>
      </w:r>
    </w:p>
    <w:p>
      <w:pPr>
        <w:autoSpaceDN w:val="0"/>
        <w:autoSpaceDE w:val="0"/>
        <w:widowControl/>
        <w:spacing w:line="252" w:lineRule="exact" w:before="62" w:after="0"/>
        <w:ind w:left="2626" w:right="50" w:firstLine="424"/>
        <w:jc w:val="both"/>
      </w:pP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When we constructed the model, we assumed there would not be a regular distribution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of</w:t>
      </w:r>
      <w:r>
        <w:rPr>
          <w:rFonts w:ascii="URWPalladioL" w:hAnsi="URWPalladioL" w:eastAsia="URWPalladioL"/>
          <w:b w:val="0"/>
          <w:i/>
          <w:color w:val="000000"/>
          <w:sz w:val="20"/>
        </w:rPr>
        <w:t>ES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/</w:t>
      </w:r>
      <w:r>
        <w:rPr>
          <w:rFonts w:ascii="URWPalladioL" w:hAnsi="URWPalladioL" w:eastAsia="URWPalladioL"/>
          <w:b w:val="0"/>
          <w:i/>
          <w:color w:val="000000"/>
          <w:sz w:val="20"/>
        </w:rPr>
        <w:t>PVT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among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population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well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distribution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of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financial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risks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in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population is not regular.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This could be also understood as the first hypothesis (H</w:t>
      </w:r>
      <w:r>
        <w:rPr>
          <w:rFonts w:ascii="URWPalladioL" w:hAnsi="URWPalladioL" w:eastAsia="URWPalladioL"/>
          <w:b w:val="0"/>
          <w:i w:val="0"/>
          <w:color w:val="000000"/>
          <w:sz w:val="15"/>
        </w:rPr>
        <w:t>1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) of our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research, and now we can use the model to show and prove it.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As a null hypothesis, we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can consider the situation when all value types have expected numbers of people in all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recognized economic situations.</w:t>
      </w:r>
    </w:p>
    <w:p>
      <w:pPr>
        <w:autoSpaceDN w:val="0"/>
        <w:autoSpaceDE w:val="0"/>
        <w:widowControl/>
        <w:spacing w:line="248" w:lineRule="exact" w:before="26" w:after="0"/>
        <w:ind w:left="2632" w:right="0" w:firstLine="424"/>
        <w:jc w:val="left"/>
      </w:pPr>
      <w:r>
        <w:rPr>
          <w:w w:val="98.9261531829834"/>
          <w:rFonts w:ascii="URWPalladioL" w:hAnsi="URWPalladioL" w:eastAsia="URWPalladioL"/>
          <w:b w:val="0"/>
          <w:i w:val="0"/>
          <w:color w:val="000000"/>
          <w:sz w:val="20"/>
        </w:rPr>
        <w:t>The second hypothesis (H</w:t>
      </w:r>
      <w:r>
        <w:rPr>
          <w:rFonts w:ascii="URWPalladioL" w:hAnsi="URWPalladioL" w:eastAsia="URWPalladioL"/>
          <w:b w:val="0"/>
          <w:i w:val="0"/>
          <w:color w:val="000000"/>
          <w:sz w:val="15"/>
        </w:rPr>
        <w:t>2</w:t>
      </w:r>
      <w:r>
        <w:rPr>
          <w:w w:val="98.9261531829834"/>
          <w:rFonts w:ascii="URWPalladioL" w:hAnsi="URWPalladioL" w:eastAsia="URWPalladioL"/>
          <w:b w:val="0"/>
          <w:i w:val="0"/>
          <w:color w:val="000000"/>
          <w:sz w:val="20"/>
        </w:rPr>
        <w:t xml:space="preserve">) we discussed when the model was theoreticised assumes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there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exists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significant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relationship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among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personal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value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types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(</w:t>
      </w:r>
      <w:r>
        <w:rPr>
          <w:rFonts w:ascii="URWPalladioL" w:hAnsi="URWPalladioL" w:eastAsia="URWPalladioL"/>
          <w:b w:val="0"/>
          <w:i/>
          <w:color w:val="000000"/>
          <w:sz w:val="20"/>
        </w:rPr>
        <w:t>PVT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)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categorized complex index of the economic situation (</w:t>
      </w:r>
      <w:r>
        <w:rPr>
          <w:rFonts w:ascii="URWPalladioL" w:hAnsi="URWPalladioL" w:eastAsia="URWPalladioL"/>
          <w:b w:val="0"/>
          <w:i/>
          <w:color w:val="000000"/>
          <w:sz w:val="20"/>
        </w:rPr>
        <w:t>I</w:t>
      </w:r>
      <w:r>
        <w:rPr>
          <w:rFonts w:ascii="URWPalladioL" w:hAnsi="URWPalladioL" w:eastAsia="URWPalladioL"/>
          <w:b w:val="0"/>
          <w:i/>
          <w:color w:val="000000"/>
          <w:sz w:val="15"/>
        </w:rPr>
        <w:t>eccat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).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This relationship is slightly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different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from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/>
          <w:color w:val="000000"/>
          <w:sz w:val="20"/>
        </w:rPr>
        <w:t>ES/PVT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main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difference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/>
          <w:color w:val="000000"/>
          <w:sz w:val="20"/>
        </w:rPr>
        <w:t>I</w:t>
      </w:r>
      <w:r>
        <w:rPr>
          <w:rFonts w:ascii="URWPalladioL" w:hAnsi="URWPalladioL" w:eastAsia="URWPalladioL"/>
          <w:b w:val="0"/>
          <w:i/>
          <w:color w:val="000000"/>
          <w:sz w:val="15"/>
        </w:rPr>
        <w:t>escat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calculated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coherent,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inclusive index and it does not highlight the balance between financial indexes employed 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in it.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Therefore, it expresses the cumulative situation of the respondent, and we believe this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is a much more representative way for derivation of value type influence.</w:t>
      </w:r>
    </w:p>
    <w:p>
      <w:pPr>
        <w:autoSpaceDN w:val="0"/>
        <w:autoSpaceDE w:val="0"/>
        <w:widowControl/>
        <w:spacing w:line="252" w:lineRule="exact" w:before="0" w:after="182"/>
        <w:ind w:left="2622" w:right="0" w:firstLine="424"/>
        <w:jc w:val="left"/>
      </w:pP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For the calculation of value type risk level, we started from the theoretical assumption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risk level depends on the relationship among the value types and economic situation.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 second tested hypothesis (H</w:t>
      </w:r>
      <w:r>
        <w:rPr>
          <w:rFonts w:ascii="URWPalladioL" w:hAnsi="URWPalladioL" w:eastAsia="URWPalladioL"/>
          <w:b w:val="0"/>
          <w:i w:val="0"/>
          <w:color w:val="000000"/>
          <w:sz w:val="15"/>
        </w:rPr>
        <w:t>2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) confirms that each group of values, distinguished by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using factor analysis (see Section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 xml:space="preserve"> 4.3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), has specific economic characteristics, which could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be expressed using the weights of z-score in each category of the economic situation (</w:t>
      </w:r>
      <w:r>
        <w:rPr>
          <w:rFonts w:ascii="URWPalladioL" w:hAnsi="URWPalladioL" w:eastAsia="URWPalladioL"/>
          <w:b w:val="0"/>
          <w:i/>
          <w:color w:val="000000"/>
          <w:sz w:val="20"/>
        </w:rPr>
        <w:t>I</w:t>
      </w:r>
      <w:r>
        <w:rPr>
          <w:rFonts w:ascii="URWPalladioL" w:hAnsi="URWPalladioL" w:eastAsia="URWPalladioL"/>
          <w:b w:val="0"/>
          <w:i/>
          <w:color w:val="000000"/>
          <w:sz w:val="15"/>
        </w:rPr>
        <w:t xml:space="preserve">escat 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1–4).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For the weights of z-score in the cell on</w:t>
      </w:r>
      <w:r>
        <w:rPr>
          <w:w w:val="98.62470626831055"/>
          <w:rFonts w:ascii="URWPalladioL" w:hAnsi="URWPalladioL" w:eastAsia="URWPalladioL"/>
          <w:b w:val="0"/>
          <w:i/>
          <w:color w:val="000000"/>
          <w:sz w:val="20"/>
        </w:rPr>
        <w:t xml:space="preserve"> i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th personal value type and</w:t>
      </w:r>
      <w:r>
        <w:rPr>
          <w:w w:val="98.62470626831055"/>
          <w:rFonts w:ascii="URWPalladioL" w:hAnsi="URWPalladioL" w:eastAsia="URWPalladioL"/>
          <w:b w:val="0"/>
          <w:i/>
          <w:color w:val="000000"/>
          <w:sz w:val="20"/>
        </w:rPr>
        <w:t xml:space="preserve"> j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th category of the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economic situation (</w:t>
      </w:r>
      <w:r>
        <w:rPr>
          <w:rFonts w:ascii="URWPalladioL" w:hAnsi="URWPalladioL" w:eastAsia="URWPalladioL"/>
          <w:b w:val="0"/>
          <w:i/>
          <w:color w:val="000000"/>
          <w:sz w:val="20"/>
        </w:rPr>
        <w:t>I</w:t>
      </w:r>
      <w:r>
        <w:rPr>
          <w:rFonts w:ascii="URWPalladioL" w:hAnsi="URWPalladioL" w:eastAsia="URWPalladioL"/>
          <w:b w:val="0"/>
          <w:i/>
          <w:color w:val="000000"/>
          <w:sz w:val="15"/>
        </w:rPr>
        <w:t>escat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) in the following analyses, we use</w:t>
      </w:r>
      <w:r>
        <w:rPr>
          <w:rFonts w:ascii="URWPalladioL" w:hAnsi="URWPalladioL" w:eastAsia="URWPalladioL"/>
          <w:b w:val="0"/>
          <w:i/>
          <w:color w:val="000000"/>
          <w:sz w:val="20"/>
        </w:rPr>
        <w:t xml:space="preserve"> W</w:t>
      </w:r>
      <w:r>
        <w:rPr>
          <w:rFonts w:ascii="URWPalladioL" w:hAnsi="URWPalladioL" w:eastAsia="URWPalladioL"/>
          <w:b w:val="0"/>
          <w:i/>
          <w:color w:val="000000"/>
          <w:sz w:val="15"/>
        </w:rPr>
        <w:t>ij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These weights (z-scores)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have to be interpreted positively in the case of categories 3 and 4 of</w:t>
      </w:r>
      <w:r>
        <w:rPr>
          <w:rFonts w:ascii="URWPalladioL" w:hAnsi="URWPalladioL" w:eastAsia="URWPalladioL"/>
          <w:b w:val="0"/>
          <w:i/>
          <w:color w:val="000000"/>
          <w:sz w:val="20"/>
        </w:rPr>
        <w:t xml:space="preserve"> I</w:t>
      </w:r>
      <w:r>
        <w:rPr>
          <w:rFonts w:ascii="URWPalladioL" w:hAnsi="URWPalladioL" w:eastAsia="URWPalladioL"/>
          <w:b w:val="0"/>
          <w:i/>
          <w:color w:val="000000"/>
          <w:sz w:val="15"/>
        </w:rPr>
        <w:t>escat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and negatively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in the case of categories 1 and 2 of</w:t>
      </w:r>
      <w:r>
        <w:rPr>
          <w:rFonts w:ascii="URWPalladioL" w:hAnsi="URWPalladioL" w:eastAsia="URWPalladioL"/>
          <w:b w:val="0"/>
          <w:i/>
          <w:color w:val="000000"/>
          <w:sz w:val="20"/>
        </w:rPr>
        <w:t xml:space="preserve"> I</w:t>
      </w:r>
      <w:r>
        <w:rPr>
          <w:rFonts w:ascii="URWPalladioL" w:hAnsi="URWPalladioL" w:eastAsia="URWPalladioL"/>
          <w:b w:val="0"/>
          <w:i/>
          <w:color w:val="000000"/>
          <w:sz w:val="15"/>
        </w:rPr>
        <w:t>escat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So, in the case of categories 1 and 2, the values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of z-score must be inverted by</w:t>
      </w:r>
      <w:r>
        <w:rPr>
          <w:w w:val="98.86761619931175"/>
          <w:rFonts w:ascii="CMSY10" w:hAnsi="CMSY10" w:eastAsia="CMSY10"/>
          <w:b w:val="0"/>
          <w:i/>
          <w:color w:val="000000"/>
          <w:sz w:val="21"/>
        </w:rPr>
        <w:t xml:space="preserve"> −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1 for correct calculation and interpretation.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Hence, if the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z-score is negative in the first two categories, the meaning of it is positive.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negative 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value of z-score signals there is less than expected number of people who state this position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which in the case of categories 1 and 2 this could be considered as a positive fact.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Because 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we used the z score only as a weight, and we were not evaluating the statistical significance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we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normalized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z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scores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to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scale</w:t>
      </w:r>
      <w:r>
        <w:rPr>
          <w:w w:val="98.86761619931175"/>
          <w:rFonts w:ascii="CMSY10" w:hAnsi="CMSY10" w:eastAsia="CMSY10"/>
          <w:b w:val="0"/>
          <w:i/>
          <w:color w:val="000000"/>
          <w:sz w:val="21"/>
        </w:rPr>
        <w:t>−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1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to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1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by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highest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z-score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achieved.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This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normalization was employed because the result we needed had to be scaled from 0 to 2 </w:t>
      </w:r>
      <w:r>
        <w:rPr>
          <w:w w:val="98.87598037719727"/>
          <w:rFonts w:ascii="URWPalladioL" w:hAnsi="URWPalladioL" w:eastAsia="URWPalladioL"/>
          <w:b w:val="0"/>
          <w:i w:val="0"/>
          <w:color w:val="000000"/>
          <w:sz w:val="20"/>
        </w:rPr>
        <w:t xml:space="preserve">and interpreted as the level of positive or negative relationship of a specific personal value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type with the economic situation (1 = no influence).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consequence of using this kind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of influence level is that the positive relationship decreases, and the negative relationship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increases the risk level of each clustered economic situation (</w:t>
      </w:r>
      <w:r>
        <w:rPr>
          <w:rFonts w:ascii="URWPalladioL" w:hAnsi="URWPalladioL" w:eastAsia="URWPalladioL"/>
          <w:b w:val="0"/>
          <w:i/>
          <w:color w:val="000000"/>
          <w:sz w:val="20"/>
        </w:rPr>
        <w:t>ES</w:t>
      </w:r>
      <w:r>
        <w:rPr>
          <w:rFonts w:ascii="URWPalladioL" w:hAnsi="URWPalladioL" w:eastAsia="URWPalladioL"/>
          <w:b w:val="0"/>
          <w:i w:val="0"/>
          <w:color w:val="000000"/>
          <w:sz w:val="15"/>
        </w:rPr>
        <w:t>1–4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).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For the calculation of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influence level for each value type, Equations (10) and (11) were employed.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46.0" w:type="dxa"/>
      </w:tblPr>
      <w:tblGrid>
        <w:gridCol w:w="2631"/>
        <w:gridCol w:w="2631"/>
        <w:gridCol w:w="2631"/>
        <w:gridCol w:w="2631"/>
      </w:tblGrid>
      <w:tr>
        <w:trPr>
          <w:trHeight w:hRule="exact" w:val="326"/>
        </w:trPr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48" w:after="0"/>
              <w:ind w:left="0" w:right="154" w:firstLine="0"/>
              <w:jc w:val="right"/>
            </w:pPr>
            <w:r>
              <w:rPr>
                <w:rFonts w:ascii="URWPalladioL" w:hAnsi="URWPalladioL" w:eastAsia="URWPalladioL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5"/>
              </w:rPr>
              <w:t>max</w:t>
            </w:r>
            <w:r>
              <w:rPr>
                <w:w w:val="98.86761619931175"/>
                <w:rFonts w:ascii="CMR10" w:hAnsi="CMR10" w:eastAsia="CMR10"/>
                <w:b w:val="0"/>
                <w:i w:val="0"/>
                <w:color w:val="000000"/>
                <w:sz w:val="21"/>
              </w:rPr>
              <w:t>=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 xml:space="preserve"> max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6"/>
              </w:rPr>
              <w:t>i</w:t>
            </w:r>
            <w:r>
              <w:rPr>
                <w:w w:val="97.70447226131664"/>
                <w:rFonts w:ascii="CMR10" w:hAnsi="CMR10" w:eastAsia="CMR10"/>
                <w:b w:val="0"/>
                <w:i w:val="0"/>
                <w:color w:val="000000"/>
                <w:sz w:val="17"/>
              </w:rPr>
              <w:t xml:space="preserve"> =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 xml:space="preserve"> 1–6</w:t>
            </w:r>
          </w:p>
        </w:tc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5"/>
              </w:rPr>
              <w:t>ij</w:t>
            </w:r>
          </w:p>
        </w:tc>
        <w:tc>
          <w:tcPr>
            <w:tcW w:type="dxa" w:w="1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96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>,</w:t>
            </w:r>
          </w:p>
        </w:tc>
        <w:tc>
          <w:tcPr>
            <w:tcW w:type="dxa" w:w="1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14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>(10)</w:t>
            </w:r>
          </w:p>
        </w:tc>
      </w:tr>
      <w:tr>
        <w:trPr>
          <w:trHeight w:hRule="exact" w:val="158"/>
        </w:trPr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2" w:after="0"/>
              <w:ind w:left="0" w:right="132" w:firstLine="0"/>
              <w:jc w:val="right"/>
            </w:pPr>
            <w:r>
              <w:rPr>
                <w:rFonts w:ascii="URWPalladioL" w:hAnsi="URWPalladioL" w:eastAsia="URWPalladioL"/>
                <w:b w:val="0"/>
                <w:i/>
                <w:color w:val="000000"/>
                <w:sz w:val="16"/>
              </w:rPr>
              <w:t>j</w:t>
            </w:r>
            <w:r>
              <w:rPr>
                <w:w w:val="97.70447226131664"/>
                <w:rFonts w:ascii="CMR10" w:hAnsi="CMR10" w:eastAsia="CMR10"/>
                <w:b w:val="0"/>
                <w:i w:val="0"/>
                <w:color w:val="000000"/>
                <w:sz w:val="17"/>
              </w:rPr>
              <w:t xml:space="preserve"> =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 xml:space="preserve"> 1–4</w:t>
            </w:r>
          </w:p>
        </w:tc>
        <w:tc>
          <w:tcPr>
            <w:tcW w:type="dxa" w:w="2631"/>
            <w:vMerge/>
            <w:tcBorders/>
          </w:tcPr>
          <w:p/>
        </w:tc>
        <w:tc>
          <w:tcPr>
            <w:tcW w:type="dxa" w:w="2631"/>
            <w:vMerge/>
            <w:tcBorders/>
          </w:tcPr>
          <w:p/>
        </w:tc>
        <w:tc>
          <w:tcPr>
            <w:tcW w:type="dxa" w:w="263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38" w:right="666" w:bottom="730" w:left="7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5263"/>
        <w:gridCol w:w="5263"/>
      </w:tblGrid>
      <w:tr>
        <w:trPr>
          <w:trHeight w:hRule="exact" w:val="272"/>
        </w:trPr>
        <w:tc>
          <w:tcPr>
            <w:tcW w:type="dxa" w:w="554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0" w:after="0"/>
              <w:ind w:left="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/>
                <w:color w:val="000000"/>
                <w:sz w:val="16"/>
              </w:rPr>
              <w:t>Risks</w:t>
            </w:r>
            <w:r>
              <w:rPr>
                <w:rFonts w:ascii="URWPalladioL" w:hAnsi="URWPalladioL" w:eastAsia="URWPalladioL"/>
                <w:b/>
                <w:i w:val="0"/>
                <w:color w:val="000000"/>
                <w:sz w:val="16"/>
              </w:rPr>
              <w:t xml:space="preserve"> 2021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,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6"/>
              </w:rPr>
              <w:t xml:space="preserve"> 9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, 205</w:t>
            </w:r>
          </w:p>
        </w:tc>
        <w:tc>
          <w:tcPr>
            <w:tcW w:type="dxa" w:w="493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" w:after="0"/>
              <w:ind w:left="0" w:right="4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11 of 24</w:t>
            </w:r>
          </w:p>
        </w:tc>
      </w:tr>
    </w:tbl>
    <w:p>
      <w:pPr>
        <w:autoSpaceDN w:val="0"/>
        <w:autoSpaceDE w:val="0"/>
        <w:widowControl/>
        <w:spacing w:line="240" w:lineRule="exact" w:before="602" w:after="132"/>
        <w:ind w:left="2632" w:right="0" w:hanging="1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>where</w:t>
      </w:r>
      <w:r>
        <w:rPr>
          <w:rFonts w:ascii="URWPalladioL" w:hAnsi="URWPalladioL" w:eastAsia="URWPalladioL"/>
          <w:b w:val="0"/>
          <w:i/>
          <w:color w:val="000000"/>
          <w:sz w:val="20"/>
        </w:rPr>
        <w:t xml:space="preserve"> W</w:t>
      </w:r>
      <w:r>
        <w:rPr>
          <w:rFonts w:ascii="URWPalladioL" w:hAnsi="URWPalladioL" w:eastAsia="URWPalladioL"/>
          <w:b w:val="0"/>
          <w:i/>
          <w:color w:val="000000"/>
          <w:sz w:val="15"/>
        </w:rPr>
        <w:t>ij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is weight of z-score in the cell on</w:t>
      </w:r>
      <w:r>
        <w:rPr>
          <w:rFonts w:ascii="URWPalladioL" w:hAnsi="URWPalladioL" w:eastAsia="URWPalladioL"/>
          <w:b w:val="0"/>
          <w:i/>
          <w:color w:val="000000"/>
          <w:sz w:val="20"/>
        </w:rPr>
        <w:t xml:space="preserve"> i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 personal value type and</w:t>
      </w:r>
      <w:r>
        <w:rPr>
          <w:rFonts w:ascii="URWPalladioL" w:hAnsi="URWPalladioL" w:eastAsia="URWPalladioL"/>
          <w:b w:val="0"/>
          <w:i/>
          <w:color w:val="000000"/>
          <w:sz w:val="20"/>
        </w:rPr>
        <w:t xml:space="preserve"> j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 category of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economic situation (</w:t>
      </w:r>
      <w:r>
        <w:rPr>
          <w:rFonts w:ascii="URWPalladioL" w:hAnsi="URWPalladioL" w:eastAsia="URWPalladioL"/>
          <w:b w:val="0"/>
          <w:i/>
          <w:color w:val="000000"/>
          <w:sz w:val="20"/>
        </w:rPr>
        <w:t>I</w:t>
      </w:r>
      <w:r>
        <w:rPr>
          <w:rFonts w:ascii="URWPalladioL" w:hAnsi="URWPalladioL" w:eastAsia="URWPalladioL"/>
          <w:b w:val="0"/>
          <w:i/>
          <w:color w:val="000000"/>
          <w:sz w:val="15"/>
        </w:rPr>
        <w:t>escat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46.0" w:type="dxa"/>
      </w:tblPr>
      <w:tblGrid>
        <w:gridCol w:w="2631"/>
        <w:gridCol w:w="2631"/>
        <w:gridCol w:w="2631"/>
        <w:gridCol w:w="2631"/>
      </w:tblGrid>
      <w:tr>
        <w:trPr>
          <w:trHeight w:hRule="exact" w:val="334"/>
        </w:trPr>
        <w:tc>
          <w:tcPr>
            <w:tcW w:type="dxa" w:w="358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250" w:after="0"/>
              <w:ind w:left="0" w:right="32" w:firstLine="0"/>
              <w:jc w:val="right"/>
            </w:pPr>
            <w:r>
              <w:rPr>
                <w:w w:val="98.86761619931175"/>
                <w:rFonts w:ascii="CMR10" w:hAnsi="CMR10" w:eastAsia="CMR10"/>
                <w:b w:val="0"/>
                <w:i w:val="0"/>
                <w:color w:val="000000"/>
                <w:sz w:val="21"/>
              </w:rPr>
              <w:t>=</w:t>
            </w:r>
          </w:p>
        </w:tc>
        <w:tc>
          <w:tcPr>
            <w:tcW w:type="dxa" w:w="3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8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5"/>
              </w:rPr>
              <w:t>4</w:t>
            </w:r>
          </w:p>
        </w:tc>
        <w:tc>
          <w:tcPr>
            <w:tcW w:type="dxa" w:w="1228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>4</w:t>
            </w:r>
            <w:r>
              <w:rPr>
                <w:w w:val="98.86761619931175"/>
                <w:rFonts w:ascii="CMSY10" w:hAnsi="CMSY10" w:eastAsia="CMSY10"/>
                <w:b w:val="0"/>
                <w:i/>
                <w:color w:val="000000"/>
                <w:sz w:val="21"/>
              </w:rPr>
              <w:t xml:space="preserve"> −</w:t>
            </w:r>
            <w:r>
              <w:rPr>
                <w:w w:val="98.61999750137329"/>
                <w:rFonts w:ascii="CMR10" w:hAnsi="CMR10" w:eastAsia="CMR10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5"/>
              </w:rPr>
              <w:t>j</w:t>
            </w:r>
            <w:r>
              <w:rPr>
                <w:w w:val="98.61999750137329"/>
                <w:rFonts w:ascii="CMSY10" w:hAnsi="CMSY10" w:eastAsia="CMSY10"/>
                <w:b w:val="0"/>
                <w:i/>
                <w:color w:val="000000"/>
                <w:sz w:val="16"/>
              </w:rPr>
              <w:t>−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5"/>
              </w:rPr>
              <w:t>2.5</w:t>
            </w:r>
            <w:r>
              <w:rPr>
                <w:w w:val="98.61999750137329"/>
                <w:rFonts w:ascii="CMR10" w:hAnsi="CMR10" w:eastAsia="CMR10"/>
                <w:b w:val="0"/>
                <w:i w:val="0"/>
                <w:color w:val="000000"/>
                <w:sz w:val="16"/>
              </w:rPr>
              <w:t>)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5"/>
              </w:rPr>
              <w:t>W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2"/>
              </w:rPr>
              <w:t xml:space="preserve">ij </w:t>
            </w:r>
            <w:r>
              <w:rPr>
                <w:w w:val="98.61999750137329"/>
                <w:rFonts w:ascii="CMSY10" w:hAnsi="CMSY10" w:eastAsia="CMSY10"/>
                <w:b w:val="0"/>
                <w:i/>
                <w:color w:val="000000"/>
                <w:sz w:val="16"/>
              </w:rPr>
              <w:t>|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5"/>
              </w:rPr>
              <w:t>j</w:t>
            </w:r>
            <w:r>
              <w:rPr>
                <w:w w:val="98.61999750137329"/>
                <w:rFonts w:ascii="CMSY10" w:hAnsi="CMSY10" w:eastAsia="CMSY10"/>
                <w:b w:val="0"/>
                <w:i/>
                <w:color w:val="000000"/>
                <w:sz w:val="16"/>
              </w:rPr>
              <w:t>−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5"/>
              </w:rPr>
              <w:t>2.5</w:t>
            </w:r>
            <w:r>
              <w:rPr>
                <w:w w:val="98.61999750137329"/>
                <w:rFonts w:ascii="CMSY10" w:hAnsi="CMSY10" w:eastAsia="CMSY10"/>
                <w:b w:val="0"/>
                <w:i/>
                <w:color w:val="000000"/>
                <w:sz w:val="16"/>
              </w:rPr>
              <w:t>|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5"/>
              </w:rPr>
              <w:t>W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2"/>
              </w:rPr>
              <w:t>max</w:t>
            </w:r>
          </w:p>
        </w:tc>
        <w:tc>
          <w:tcPr>
            <w:tcW w:type="dxa" w:w="270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28"/>
        </w:trPr>
        <w:tc>
          <w:tcPr>
            <w:tcW w:type="dxa" w:w="2631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33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0" w:after="0"/>
              <w:ind w:left="0" w:right="0" w:firstLine="0"/>
              <w:jc w:val="center"/>
            </w:pPr>
            <w:r>
              <w:rPr>
                <w:rFonts w:ascii="PazoMath" w:hAnsi="PazoMath" w:eastAsia="PazoMath"/>
                <w:b w:val="0"/>
                <w:i w:val="0"/>
                <w:color w:val="000000"/>
                <w:sz w:val="28"/>
              </w:rPr>
              <w:t>∑</w:t>
            </w:r>
          </w:p>
        </w:tc>
        <w:tc>
          <w:tcPr>
            <w:tcW w:type="dxa" w:w="2631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2631"/>
            <w:vMerge/>
            <w:tcBorders>
              <w:bottom w:sz="3.184000015258789" w:val="single" w:color="#000000"/>
            </w:tcBorders>
          </w:tcPr>
          <w:p/>
        </w:tc>
      </w:tr>
      <w:tr>
        <w:trPr>
          <w:trHeight w:hRule="exact" w:val="136"/>
        </w:trPr>
        <w:tc>
          <w:tcPr>
            <w:tcW w:type="dxa" w:w="358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0" w:right="276" w:firstLine="0"/>
              <w:jc w:val="right"/>
            </w:pPr>
            <w:r>
              <w:rPr>
                <w:rFonts w:ascii="URWPalladioL" w:hAnsi="URWPalladioL" w:eastAsia="URWPalladioL"/>
                <w:b w:val="0"/>
                <w:i/>
                <w:color w:val="000000"/>
                <w:sz w:val="20"/>
              </w:rPr>
              <w:t>PVT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5"/>
              </w:rPr>
              <w:t>i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2"/>
              </w:rPr>
              <w:t>in f l</w:t>
            </w:r>
          </w:p>
        </w:tc>
        <w:tc>
          <w:tcPr>
            <w:tcW w:type="dxa" w:w="33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0" w:after="0"/>
              <w:ind w:left="0" w:right="0" w:firstLine="0"/>
              <w:jc w:val="center"/>
            </w:pPr>
            <w:r>
              <w:rPr>
                <w:rFonts w:ascii="PazoMath" w:hAnsi="PazoMath" w:eastAsia="PazoMath"/>
                <w:b w:val="0"/>
                <w:i w:val="0"/>
                <w:color w:val="000000"/>
                <w:sz w:val="28"/>
              </w:rPr>
              <w:t>∑</w:t>
            </w:r>
          </w:p>
        </w:tc>
        <w:tc>
          <w:tcPr>
            <w:tcW w:type="dxa" w:w="1228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270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14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>(11)</w:t>
            </w:r>
          </w:p>
        </w:tc>
      </w:tr>
      <w:tr>
        <w:trPr>
          <w:trHeight w:hRule="exact" w:val="234"/>
        </w:trPr>
        <w:tc>
          <w:tcPr>
            <w:tcW w:type="dxa" w:w="2631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3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/>
                <w:color w:val="000000"/>
                <w:sz w:val="15"/>
              </w:rPr>
              <w:t>j</w:t>
            </w:r>
            <w:r>
              <w:rPr>
                <w:w w:val="98.61999750137329"/>
                <w:rFonts w:ascii="CMR10" w:hAnsi="CMR10" w:eastAsia="CMR10"/>
                <w:b w:val="0"/>
                <w:i w:val="0"/>
                <w:color w:val="000000"/>
                <w:sz w:val="16"/>
              </w:rPr>
              <w:t>=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2631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2631"/>
            <w:vMerge/>
            <w:tcBorders>
              <w:top w:sz="3.184000015258789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98" w:lineRule="exact" w:before="218" w:after="0"/>
        <w:ind w:left="0" w:right="3500" w:firstLine="0"/>
        <w:jc w:val="right"/>
      </w:pPr>
      <w:r>
        <w:rPr>
          <w:rFonts w:ascii="URWPalladioL" w:hAnsi="URWPalladioL" w:eastAsia="URWPalladioL"/>
          <w:b w:val="0"/>
          <w:i/>
          <w:color w:val="000000"/>
          <w:sz w:val="20"/>
        </w:rPr>
        <w:t>3.11.</w:t>
      </w:r>
      <w:r>
        <w:rPr>
          <w:rFonts w:ascii="URWPalladioL" w:hAnsi="URWPalladioL" w:eastAsia="URWPalladioL"/>
          <w:b w:val="0"/>
          <w:i/>
          <w:color w:val="000000"/>
          <w:sz w:val="20"/>
        </w:rPr>
        <w:t>Risk Level Calculation for Financial Risk Groups</w:t>
      </w:r>
    </w:p>
    <w:p>
      <w:pPr>
        <w:autoSpaceDN w:val="0"/>
        <w:autoSpaceDE w:val="0"/>
        <w:widowControl/>
        <w:spacing w:line="250" w:lineRule="exact" w:before="66" w:after="0"/>
        <w:ind w:left="2622" w:right="0" w:firstLine="424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final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model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based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on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multiplication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of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two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risks: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first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coming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from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factors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of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economic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situation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(determined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by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risk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level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of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each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cluster)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second coming from the factor of values (determined by the risk level of each value type).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model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depends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more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on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risk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weights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of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clusters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value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types,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we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can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consider it independent of the population itself however it was calculated on population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data.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Surely, every population has its own distribution of numbers within the clusters and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value types but, the model itself is not directly dependent on it.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Therefore, the model, as it 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was constructed without involving any regional characteristics, can be used internationally;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its use is not limited to only the Czech Republic.</w:t>
      </w:r>
    </w:p>
    <w:p>
      <w:pPr>
        <w:autoSpaceDN w:val="0"/>
        <w:autoSpaceDE w:val="0"/>
        <w:widowControl/>
        <w:spacing w:line="200" w:lineRule="exact" w:before="246" w:after="0"/>
        <w:ind w:left="0" w:right="3290" w:firstLine="0"/>
        <w:jc w:val="right"/>
      </w:pPr>
      <w:r>
        <w:rPr>
          <w:rFonts w:ascii="URWPalladioL" w:hAnsi="URWPalladioL" w:eastAsia="URWPalladioL"/>
          <w:b/>
          <w:i w:val="0"/>
          <w:color w:val="000000"/>
          <w:sz w:val="20"/>
        </w:rPr>
        <w:t>4.</w:t>
      </w:r>
      <w:r>
        <w:rPr>
          <w:rFonts w:ascii="URWPalladioL" w:hAnsi="URWPalladioL" w:eastAsia="URWPalladioL"/>
          <w:b/>
          <w:i w:val="0"/>
          <w:color w:val="000000"/>
          <w:sz w:val="20"/>
        </w:rPr>
        <w:t>Research Results and Construction of the Model</w:t>
      </w:r>
    </w:p>
    <w:p>
      <w:pPr>
        <w:autoSpaceDN w:val="0"/>
        <w:tabs>
          <w:tab w:pos="3056" w:val="left"/>
        </w:tabs>
        <w:autoSpaceDE w:val="0"/>
        <w:widowControl/>
        <w:spacing w:line="252" w:lineRule="exact" w:before="60" w:after="0"/>
        <w:ind w:left="2632" w:right="0" w:firstLine="0"/>
        <w:jc w:val="left"/>
      </w:pPr>
      <w:r>
        <w:rPr>
          <w:w w:val="98.87598037719727"/>
          <w:rFonts w:ascii="URWPalladioL" w:hAnsi="URWPalladioL" w:eastAsia="URWPalladioL"/>
          <w:b w:val="0"/>
          <w:i w:val="0"/>
          <w:color w:val="000000"/>
          <w:sz w:val="20"/>
        </w:rPr>
        <w:t xml:space="preserve">In the following text, we present the results of cluster and factor analysis, on the basis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of which the model was built.</w:t>
      </w:r>
    </w:p>
    <w:p>
      <w:pPr>
        <w:autoSpaceDN w:val="0"/>
        <w:autoSpaceDE w:val="0"/>
        <w:widowControl/>
        <w:spacing w:line="216" w:lineRule="exact" w:before="246" w:after="0"/>
        <w:ind w:left="0" w:right="2914" w:firstLine="0"/>
        <w:jc w:val="right"/>
      </w:pPr>
      <w:r>
        <w:rPr>
          <w:rFonts w:ascii="URWPalladioL" w:hAnsi="URWPalladioL" w:eastAsia="URWPalladioL"/>
          <w:b w:val="0"/>
          <w:i/>
          <w:color w:val="000000"/>
          <w:sz w:val="20"/>
        </w:rPr>
        <w:t>4.1.</w:t>
      </w:r>
      <w:r>
        <w:rPr>
          <w:rFonts w:ascii="URWPalladioL" w:hAnsi="URWPalladioL" w:eastAsia="URWPalladioL"/>
          <w:b w:val="0"/>
          <w:i/>
          <w:color w:val="000000"/>
          <w:sz w:val="20"/>
        </w:rPr>
        <w:t>Categorized Index of Coherent Economic Situation (I</w:t>
      </w:r>
      <w:r>
        <w:rPr>
          <w:rFonts w:ascii="URWPalladioL" w:hAnsi="URWPalladioL" w:eastAsia="URWPalladioL"/>
          <w:b w:val="0"/>
          <w:i/>
          <w:color w:val="000000"/>
          <w:sz w:val="15"/>
        </w:rPr>
        <w:t>eccat</w:t>
      </w:r>
      <w:r>
        <w:rPr>
          <w:rFonts w:ascii="URWPalladioL" w:hAnsi="URWPalladioL" w:eastAsia="URWPalladioL"/>
          <w:b w:val="0"/>
          <w:i/>
          <w:color w:val="000000"/>
          <w:sz w:val="20"/>
        </w:rPr>
        <w:t>)</w:t>
      </w:r>
    </w:p>
    <w:p>
      <w:pPr>
        <w:autoSpaceDN w:val="0"/>
        <w:autoSpaceDE w:val="0"/>
        <w:widowControl/>
        <w:spacing w:line="256" w:lineRule="exact" w:before="42" w:after="0"/>
        <w:ind w:left="2622" w:right="0" w:firstLine="424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>Table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 xml:space="preserve"> 1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 is descriptive and states categorization of the coherent index of the economic 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situation (</w:t>
      </w:r>
      <w:r>
        <w:rPr>
          <w:w w:val="98.62470626831055"/>
          <w:rFonts w:ascii="URWPalladioL" w:hAnsi="URWPalladioL" w:eastAsia="URWPalladioL"/>
          <w:b w:val="0"/>
          <w:i/>
          <w:color w:val="000000"/>
          <w:sz w:val="20"/>
        </w:rPr>
        <w:t>I</w:t>
      </w:r>
      <w:r>
        <w:rPr>
          <w:rFonts w:ascii="URWPalladioL" w:hAnsi="URWPalladioL" w:eastAsia="URWPalladioL"/>
          <w:b w:val="0"/>
          <w:i/>
          <w:color w:val="000000"/>
          <w:sz w:val="15"/>
        </w:rPr>
        <w:t>ec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) and numbers in the population.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The fewest respondents fall into the category </w:t>
      </w:r>
      <w:r>
        <w:rPr>
          <w:w w:val="98.72529029846191"/>
          <w:rFonts w:ascii="URWPalladioL" w:hAnsi="URWPalladioL" w:eastAsia="URWPalladioL"/>
          <w:b w:val="0"/>
          <w:i w:val="0"/>
          <w:color w:val="000000"/>
          <w:sz w:val="20"/>
        </w:rPr>
        <w:t>of the poorest (</w:t>
      </w:r>
      <w:r>
        <w:rPr>
          <w:w w:val="98.72529029846191"/>
          <w:rFonts w:ascii="URWPalladioL" w:hAnsi="URWPalladioL" w:eastAsia="URWPalladioL"/>
          <w:b w:val="0"/>
          <w:i/>
          <w:color w:val="000000"/>
          <w:sz w:val="20"/>
        </w:rPr>
        <w:t>I</w:t>
      </w:r>
      <w:r>
        <w:rPr>
          <w:rFonts w:ascii="URWPalladioL" w:hAnsi="URWPalladioL" w:eastAsia="URWPalladioL"/>
          <w:b w:val="0"/>
          <w:i/>
          <w:color w:val="000000"/>
          <w:sz w:val="15"/>
        </w:rPr>
        <w:t>eccat</w:t>
      </w:r>
      <w:r>
        <w:rPr>
          <w:rFonts w:ascii="URWPalladioL" w:hAnsi="URWPalladioL" w:eastAsia="URWPalladioL"/>
          <w:b w:val="0"/>
          <w:i w:val="0"/>
          <w:color w:val="000000"/>
          <w:sz w:val="15"/>
        </w:rPr>
        <w:t>1</w:t>
      </w:r>
      <w:r>
        <w:rPr>
          <w:w w:val="98.72529029846191"/>
          <w:rFonts w:ascii="URWPalladioL" w:hAnsi="URWPalladioL" w:eastAsia="URWPalladioL"/>
          <w:b w:val="0"/>
          <w:i w:val="0"/>
          <w:color w:val="000000"/>
          <w:sz w:val="20"/>
        </w:rPr>
        <w:t>,</w:t>
      </w:r>
      <w:r>
        <w:rPr>
          <w:w w:val="98.72529029846191"/>
          <w:rFonts w:ascii="URWPalladioL" w:hAnsi="URWPalladioL" w:eastAsia="URWPalladioL"/>
          <w:b w:val="0"/>
          <w:i/>
          <w:color w:val="000000"/>
          <w:sz w:val="20"/>
        </w:rPr>
        <w:t xml:space="preserve"> n</w:t>
      </w:r>
      <w:r>
        <w:rPr>
          <w:w w:val="98.72529029846191"/>
          <w:rFonts w:ascii="URWPalladioL" w:hAnsi="URWPalladioL" w:eastAsia="URWPalladioL"/>
          <w:b w:val="0"/>
          <w:i w:val="0"/>
          <w:color w:val="000000"/>
          <w:sz w:val="20"/>
        </w:rPr>
        <w:t xml:space="preserve"> = 515).</w:t>
      </w:r>
      <w:r>
        <w:rPr>
          <w:w w:val="98.72529029846191"/>
          <w:rFonts w:ascii="URWPalladioL" w:hAnsi="URWPalladioL" w:eastAsia="URWPalladioL"/>
          <w:b w:val="0"/>
          <w:i w:val="0"/>
          <w:color w:val="000000"/>
          <w:sz w:val="20"/>
        </w:rPr>
        <w:t xml:space="preserve">Of course, most respondents move in terms of the economic 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situation in the middle (</w:t>
      </w:r>
      <w:r>
        <w:rPr>
          <w:w w:val="98.62470626831055"/>
          <w:rFonts w:ascii="URWPalladioL" w:hAnsi="URWPalladioL" w:eastAsia="URWPalladioL"/>
          <w:b w:val="0"/>
          <w:i/>
          <w:color w:val="000000"/>
          <w:sz w:val="20"/>
        </w:rPr>
        <w:t>I</w:t>
      </w:r>
      <w:r>
        <w:rPr>
          <w:rFonts w:ascii="URWPalladioL" w:hAnsi="URWPalladioL" w:eastAsia="URWPalladioL"/>
          <w:b w:val="0"/>
          <w:i/>
          <w:color w:val="000000"/>
          <w:sz w:val="15"/>
        </w:rPr>
        <w:t>eccat</w:t>
      </w:r>
      <w:r>
        <w:rPr>
          <w:rFonts w:ascii="URWPalladioL" w:hAnsi="URWPalladioL" w:eastAsia="URWPalladioL"/>
          <w:b w:val="0"/>
          <w:i w:val="0"/>
          <w:color w:val="000000"/>
          <w:sz w:val="15"/>
        </w:rPr>
        <w:t>2</w:t>
      </w:r>
      <w:r>
        <w:rPr>
          <w:rFonts w:ascii="URWPalladioL" w:hAnsi="URWPalladioL" w:eastAsia="URWPalladioL"/>
          <w:b w:val="0"/>
          <w:i/>
          <w:color w:val="000000"/>
          <w:sz w:val="15"/>
        </w:rPr>
        <w:t>+eccat</w:t>
      </w:r>
      <w:r>
        <w:rPr>
          <w:rFonts w:ascii="URWPalladioL" w:hAnsi="URWPalladioL" w:eastAsia="URWPalladioL"/>
          <w:b w:val="0"/>
          <w:i w:val="0"/>
          <w:color w:val="000000"/>
          <w:sz w:val="15"/>
        </w:rPr>
        <w:t>3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,</w:t>
      </w:r>
      <w:r>
        <w:rPr>
          <w:w w:val="98.62470626831055"/>
          <w:rFonts w:ascii="URWPalladioL" w:hAnsi="URWPalladioL" w:eastAsia="URWPalladioL"/>
          <w:b w:val="0"/>
          <w:i/>
          <w:color w:val="000000"/>
          <w:sz w:val="20"/>
        </w:rPr>
        <w:t xml:space="preserve"> n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 = 2477). Calculation of the coherent index of economic 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situation is an important value for further model calculation because of at least two reasons.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First,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it is one of the variables necessary for H</w:t>
      </w:r>
      <w:r>
        <w:rPr>
          <w:rFonts w:ascii="URWPalladioL" w:hAnsi="URWPalladioL" w:eastAsia="URWPalladioL"/>
          <w:b w:val="0"/>
          <w:i w:val="0"/>
          <w:color w:val="000000"/>
          <w:sz w:val="15"/>
        </w:rPr>
        <w:t>2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testing.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Second,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z-scores calculated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within the H</w:t>
      </w:r>
      <w:r>
        <w:rPr>
          <w:rFonts w:ascii="URWPalladioL" w:hAnsi="URWPalladioL" w:eastAsia="URWPalladioL"/>
          <w:b w:val="0"/>
          <w:i w:val="0"/>
          <w:color w:val="000000"/>
          <w:sz w:val="15"/>
        </w:rPr>
        <w:t>2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are necessary input for the calculation of risk levels of value types.</w:t>
      </w:r>
    </w:p>
    <w:p>
      <w:pPr>
        <w:autoSpaceDN w:val="0"/>
        <w:autoSpaceDE w:val="0"/>
        <w:widowControl/>
        <w:spacing w:line="196" w:lineRule="exact" w:before="284" w:after="132"/>
        <w:ind w:left="2626" w:right="0" w:firstLine="0"/>
        <w:jc w:val="left"/>
      </w:pPr>
      <w:r>
        <w:rPr>
          <w:rFonts w:ascii="URWPalladioL" w:hAnsi="URWPalladioL" w:eastAsia="URWPalladioL"/>
          <w:b/>
          <w:i w:val="0"/>
          <w:color w:val="000000"/>
          <w:sz w:val="18"/>
        </w:rPr>
        <w:t>Table 1.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Categorization of coherent index of economic situation (</w:t>
      </w:r>
      <w:r>
        <w:rPr>
          <w:rFonts w:ascii="URWPalladioL" w:hAnsi="URWPalladioL" w:eastAsia="URWPalladioL"/>
          <w:b w:val="0"/>
          <w:i/>
          <w:color w:val="000000"/>
          <w:sz w:val="18"/>
        </w:rPr>
        <w:t>I</w:t>
      </w:r>
      <w:r>
        <w:rPr>
          <w:rFonts w:ascii="URWPalladioL" w:hAnsi="URWPalladioL" w:eastAsia="URWPalladioL"/>
          <w:b w:val="0"/>
          <w:i/>
          <w:color w:val="000000"/>
          <w:sz w:val="14"/>
        </w:rPr>
        <w:t>ec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) and numbers in population.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24.0" w:type="dxa"/>
      </w:tblPr>
      <w:tblGrid>
        <w:gridCol w:w="2105"/>
        <w:gridCol w:w="2105"/>
        <w:gridCol w:w="2105"/>
        <w:gridCol w:w="2105"/>
        <w:gridCol w:w="2105"/>
      </w:tblGrid>
      <w:tr>
        <w:trPr>
          <w:trHeight w:hRule="exact" w:val="320"/>
        </w:trPr>
        <w:tc>
          <w:tcPr>
            <w:tcW w:type="dxa" w:w="1362"/>
            <w:tcBorders>
              <w:top w:sz="6.375999927520752" w:val="single" w:color="#000000"/>
              <w:bottom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76" w:after="0"/>
              <w:ind w:left="0" w:right="382" w:firstLine="0"/>
              <w:jc w:val="right"/>
            </w:pPr>
            <w:r>
              <w:rPr>
                <w:rFonts w:ascii="URWPalladioL" w:hAnsi="URWPalladioL" w:eastAsia="URWPalladioL"/>
                <w:b/>
                <w:i/>
                <w:color w:val="000000"/>
                <w:sz w:val="18"/>
              </w:rPr>
              <w:t>I</w:t>
            </w:r>
            <w:r>
              <w:rPr>
                <w:rFonts w:ascii="URWPalladioL" w:hAnsi="URWPalladioL" w:eastAsia="URWPalladioL"/>
                <w:b/>
                <w:i/>
                <w:color w:val="000000"/>
                <w:sz w:val="14"/>
              </w:rPr>
              <w:t>eccat</w:t>
            </w:r>
          </w:p>
        </w:tc>
        <w:tc>
          <w:tcPr>
            <w:tcW w:type="dxa" w:w="1980"/>
            <w:tcBorders>
              <w:top w:sz="6.375999927520752" w:val="single" w:color="#000000"/>
              <w:bottom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18"/>
              </w:rPr>
              <w:t>Definition</w:t>
            </w:r>
          </w:p>
        </w:tc>
        <w:tc>
          <w:tcPr>
            <w:tcW w:type="dxa" w:w="1320"/>
            <w:tcBorders>
              <w:top w:sz="6.375999927520752" w:val="single" w:color="#000000"/>
              <w:bottom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6" w:after="0"/>
              <w:ind w:left="0" w:right="684" w:firstLine="0"/>
              <w:jc w:val="right"/>
            </w:pPr>
            <w:r>
              <w:rPr>
                <w:rFonts w:ascii="URWPalladioL" w:hAnsi="URWPalladioL" w:eastAsia="URWPalladioL"/>
                <w:b/>
                <w:i/>
                <w:color w:val="000000"/>
                <w:sz w:val="18"/>
              </w:rPr>
              <w:t>n</w:t>
            </w:r>
          </w:p>
        </w:tc>
        <w:tc>
          <w:tcPr>
            <w:tcW w:type="dxa" w:w="1640"/>
            <w:tcBorders>
              <w:top w:sz="6.375999927520752" w:val="single" w:color="#000000"/>
              <w:bottom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/>
                <w:i/>
                <w:color w:val="000000"/>
                <w:sz w:val="18"/>
              </w:rPr>
              <w:t>f</w:t>
            </w:r>
          </w:p>
        </w:tc>
        <w:tc>
          <w:tcPr>
            <w:tcW w:type="dxa" w:w="1554"/>
            <w:tcBorders>
              <w:top w:sz="6.375999927520752" w:val="single" w:color="#000000"/>
              <w:bottom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/>
                <w:i/>
                <w:color w:val="000000"/>
                <w:sz w:val="18"/>
              </w:rPr>
              <w:t>c</w:t>
            </w:r>
          </w:p>
        </w:tc>
      </w:tr>
      <w:tr>
        <w:trPr>
          <w:trHeight w:hRule="exact" w:val="268"/>
        </w:trPr>
        <w:tc>
          <w:tcPr>
            <w:tcW w:type="dxa" w:w="1362"/>
            <w:tcBorders>
              <w:top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2" w:after="0"/>
              <w:ind w:left="0" w:right="526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980"/>
            <w:tcBorders>
              <w:top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/>
                <w:color w:val="000000"/>
                <w:sz w:val="18"/>
              </w:rPr>
              <w:t>I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4"/>
              </w:rPr>
              <w:t>ec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&lt;</w:t>
            </w:r>
            <w:r>
              <w:rPr>
                <w:rFonts w:ascii="PazoMath" w:hAnsi="PazoMath" w:eastAsia="PazoMath"/>
                <w:b w:val="0"/>
                <w:i/>
                <w:color w:val="000000"/>
                <w:sz w:val="18"/>
              </w:rPr>
              <w:t xml:space="preserve"> µ</w:t>
            </w:r>
            <w:r>
              <w:rPr>
                <w:w w:val="98.3473727577611"/>
                <w:rFonts w:ascii="CMSY10" w:hAnsi="CMSY10" w:eastAsia="CMSY10"/>
                <w:b w:val="0"/>
                <w:i/>
                <w:color w:val="000000"/>
                <w:sz w:val="19"/>
              </w:rPr>
              <w:t xml:space="preserve"> −</w:t>
            </w:r>
            <w:r>
              <w:rPr>
                <w:rFonts w:ascii="PazoMath" w:hAnsi="PazoMath" w:eastAsia="PazoMath"/>
                <w:b w:val="0"/>
                <w:i/>
                <w:color w:val="000000"/>
                <w:sz w:val="18"/>
              </w:rPr>
              <w:t>σ</w:t>
            </w:r>
          </w:p>
        </w:tc>
        <w:tc>
          <w:tcPr>
            <w:tcW w:type="dxa" w:w="1320"/>
            <w:tcBorders>
              <w:top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2" w:after="0"/>
              <w:ind w:left="0" w:right="600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515</w:t>
            </w:r>
          </w:p>
        </w:tc>
        <w:tc>
          <w:tcPr>
            <w:tcW w:type="dxa" w:w="1640"/>
            <w:tcBorders>
              <w:top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0.1367</w:t>
            </w:r>
          </w:p>
        </w:tc>
        <w:tc>
          <w:tcPr>
            <w:tcW w:type="dxa" w:w="1554"/>
            <w:tcBorders>
              <w:top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515</w:t>
            </w:r>
          </w:p>
        </w:tc>
      </w:tr>
      <w:tr>
        <w:trPr>
          <w:trHeight w:hRule="exact" w:val="220"/>
        </w:trPr>
        <w:tc>
          <w:tcPr>
            <w:tcW w:type="dxa" w:w="13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526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8" w:after="0"/>
              <w:ind w:left="0" w:right="0" w:firstLine="0"/>
              <w:jc w:val="center"/>
            </w:pPr>
            <w:r>
              <w:rPr>
                <w:rFonts w:ascii="PazoMath" w:hAnsi="PazoMath" w:eastAsia="PazoMath"/>
                <w:b w:val="0"/>
                <w:i/>
                <w:color w:val="000000"/>
                <w:sz w:val="18"/>
              </w:rPr>
              <w:t>µ</w:t>
            </w:r>
            <w:r>
              <w:rPr>
                <w:w w:val="98.3473727577611"/>
                <w:rFonts w:ascii="CMSY10" w:hAnsi="CMSY10" w:eastAsia="CMSY10"/>
                <w:b w:val="0"/>
                <w:i/>
                <w:color w:val="000000"/>
                <w:sz w:val="19"/>
              </w:rPr>
              <w:t xml:space="preserve"> −</w:t>
            </w:r>
            <w:r>
              <w:rPr>
                <w:rFonts w:ascii="PazoMath" w:hAnsi="PazoMath" w:eastAsia="PazoMath"/>
                <w:b w:val="0"/>
                <w:i/>
                <w:color w:val="000000"/>
                <w:sz w:val="18"/>
              </w:rPr>
              <w:t>σ</w:t>
            </w:r>
            <w:r>
              <w:rPr>
                <w:w w:val="98.3473727577611"/>
                <w:rFonts w:ascii="CMSY10" w:hAnsi="CMSY10" w:eastAsia="CMSY10"/>
                <w:b w:val="0"/>
                <w:i/>
                <w:color w:val="000000"/>
                <w:sz w:val="19"/>
              </w:rPr>
              <w:t xml:space="preserve"> ≤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8"/>
              </w:rPr>
              <w:t>I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4"/>
              </w:rPr>
              <w:t>ec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&lt;</w:t>
            </w:r>
            <w:r>
              <w:rPr>
                <w:rFonts w:ascii="PazoMath" w:hAnsi="PazoMath" w:eastAsia="PazoMath"/>
                <w:b w:val="0"/>
                <w:i/>
                <w:color w:val="000000"/>
                <w:sz w:val="18"/>
              </w:rPr>
              <w:t xml:space="preserve"> µ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556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1240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0.3291</w:t>
            </w:r>
          </w:p>
        </w:tc>
        <w:tc>
          <w:tcPr>
            <w:tcW w:type="dxa" w:w="15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1755</w:t>
            </w:r>
          </w:p>
        </w:tc>
      </w:tr>
      <w:tr>
        <w:trPr>
          <w:trHeight w:hRule="exact" w:val="220"/>
        </w:trPr>
        <w:tc>
          <w:tcPr>
            <w:tcW w:type="dxa" w:w="13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526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6" w:after="0"/>
              <w:ind w:left="0" w:right="0" w:firstLine="0"/>
              <w:jc w:val="center"/>
            </w:pPr>
            <w:r>
              <w:rPr>
                <w:rFonts w:ascii="PazoMath" w:hAnsi="PazoMath" w:eastAsia="PazoMath"/>
                <w:b w:val="0"/>
                <w:i/>
                <w:color w:val="000000"/>
                <w:sz w:val="18"/>
              </w:rPr>
              <w:t>µ</w:t>
            </w:r>
            <w:r>
              <w:rPr>
                <w:w w:val="98.3473727577611"/>
                <w:rFonts w:ascii="CMSY10" w:hAnsi="CMSY10" w:eastAsia="CMSY10"/>
                <w:b w:val="0"/>
                <w:i/>
                <w:color w:val="000000"/>
                <w:sz w:val="19"/>
              </w:rPr>
              <w:t xml:space="preserve"> ≤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8"/>
              </w:rPr>
              <w:t>I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4"/>
              </w:rPr>
              <w:t>ec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&lt;</w:t>
            </w:r>
            <w:r>
              <w:rPr>
                <w:rFonts w:ascii="PazoMath" w:hAnsi="PazoMath" w:eastAsia="PazoMath"/>
                <w:b w:val="0"/>
                <w:i/>
                <w:color w:val="000000"/>
                <w:sz w:val="18"/>
              </w:rPr>
              <w:t xml:space="preserve"> µ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 xml:space="preserve"> +</w:t>
            </w:r>
            <w:r>
              <w:rPr>
                <w:rFonts w:ascii="PazoMath" w:hAnsi="PazoMath" w:eastAsia="PazoMath"/>
                <w:b w:val="0"/>
                <w:i/>
                <w:color w:val="000000"/>
                <w:sz w:val="18"/>
              </w:rPr>
              <w:t xml:space="preserve"> σ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556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1237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0.3283</w:t>
            </w:r>
          </w:p>
        </w:tc>
        <w:tc>
          <w:tcPr>
            <w:tcW w:type="dxa" w:w="15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2992</w:t>
            </w:r>
          </w:p>
        </w:tc>
      </w:tr>
      <w:tr>
        <w:trPr>
          <w:trHeight w:hRule="exact" w:val="270"/>
        </w:trPr>
        <w:tc>
          <w:tcPr>
            <w:tcW w:type="dxa" w:w="1362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526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980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4" w:after="0"/>
              <w:ind w:left="0" w:right="0" w:firstLine="0"/>
              <w:jc w:val="center"/>
            </w:pPr>
            <w:r>
              <w:rPr>
                <w:rFonts w:ascii="PazoMath" w:hAnsi="PazoMath" w:eastAsia="PazoMath"/>
                <w:b w:val="0"/>
                <w:i/>
                <w:color w:val="000000"/>
                <w:sz w:val="18"/>
              </w:rPr>
              <w:t>µ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 xml:space="preserve"> +</w:t>
            </w:r>
            <w:r>
              <w:rPr>
                <w:rFonts w:ascii="PazoMath" w:hAnsi="PazoMath" w:eastAsia="PazoMath"/>
                <w:b w:val="0"/>
                <w:i/>
                <w:color w:val="000000"/>
                <w:sz w:val="18"/>
              </w:rPr>
              <w:t xml:space="preserve"> σ</w:t>
            </w:r>
            <w:r>
              <w:rPr>
                <w:w w:val="98.3473727577611"/>
                <w:rFonts w:ascii="CMSY10" w:hAnsi="CMSY10" w:eastAsia="CMSY10"/>
                <w:b w:val="0"/>
                <w:i/>
                <w:color w:val="000000"/>
                <w:sz w:val="19"/>
              </w:rPr>
              <w:t xml:space="preserve"> ≤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8"/>
              </w:rPr>
              <w:t>I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4"/>
              </w:rPr>
              <w:t>ec</w:t>
            </w:r>
          </w:p>
        </w:tc>
        <w:tc>
          <w:tcPr>
            <w:tcW w:type="dxa" w:w="1320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600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776</w:t>
            </w:r>
          </w:p>
        </w:tc>
        <w:tc>
          <w:tcPr>
            <w:tcW w:type="dxa" w:w="1640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0.2059</w:t>
            </w:r>
          </w:p>
        </w:tc>
        <w:tc>
          <w:tcPr>
            <w:tcW w:type="dxa" w:w="1554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3768</w:t>
            </w:r>
          </w:p>
        </w:tc>
      </w:tr>
    </w:tbl>
    <w:p>
      <w:pPr>
        <w:autoSpaceDN w:val="0"/>
        <w:autoSpaceDE w:val="0"/>
        <w:widowControl/>
        <w:spacing w:line="200" w:lineRule="exact" w:before="302" w:after="0"/>
        <w:ind w:left="0" w:right="5530" w:firstLine="0"/>
        <w:jc w:val="right"/>
      </w:pPr>
      <w:r>
        <w:rPr>
          <w:rFonts w:ascii="URWPalladioL" w:hAnsi="URWPalladioL" w:eastAsia="URWPalladioL"/>
          <w:b w:val="0"/>
          <w:i/>
          <w:color w:val="000000"/>
          <w:sz w:val="20"/>
        </w:rPr>
        <w:t>4.2.</w:t>
      </w:r>
      <w:r>
        <w:rPr>
          <w:rFonts w:ascii="URWPalladioL" w:hAnsi="URWPalladioL" w:eastAsia="URWPalladioL"/>
          <w:b w:val="0"/>
          <w:i/>
          <w:color w:val="000000"/>
          <w:sz w:val="20"/>
        </w:rPr>
        <w:t>Cluster Analysis Results</w:t>
      </w:r>
    </w:p>
    <w:p>
      <w:pPr>
        <w:autoSpaceDN w:val="0"/>
        <w:autoSpaceDE w:val="0"/>
        <w:widowControl/>
        <w:spacing w:line="252" w:lineRule="exact" w:before="60" w:after="0"/>
        <w:ind w:left="2632" w:right="48" w:firstLine="424"/>
        <w:jc w:val="both"/>
      </w:pP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Four clusters have been identified within the analysis to define four possible economic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situations.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Their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potential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risk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or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problem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(e.g.,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indebtedness,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over-indebtedness,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risk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investments, loss of properties or property value, insufficient reserve) is associated with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objective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financial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knowledge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of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individual.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risk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level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calculated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using 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Formula (6) and it is one of two crucial parts of the whole model calculation.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This risk level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multiplicated with the risk level of value type groups created the matrix of overall risk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levels significant for the model.</w:t>
      </w:r>
    </w:p>
    <w:p>
      <w:pPr>
        <w:autoSpaceDN w:val="0"/>
        <w:tabs>
          <w:tab w:pos="3056" w:val="left"/>
        </w:tabs>
        <w:autoSpaceDE w:val="0"/>
        <w:widowControl/>
        <w:spacing w:line="252" w:lineRule="exact" w:before="0" w:after="0"/>
        <w:ind w:left="2632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>For better understanding, we added graph of cluster (Chart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 xml:space="preserve"> 1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) where each line repre-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sents the characteristics of each determined cluster.</w:t>
      </w:r>
    </w:p>
    <w:p>
      <w:pPr>
        <w:sectPr>
          <w:pgSz w:w="11906" w:h="16838"/>
          <w:pgMar w:top="538" w:right="666" w:bottom="1328" w:left="7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73"/>
        <w:gridCol w:w="5273"/>
      </w:tblGrid>
      <w:tr>
        <w:trPr>
          <w:trHeight w:hRule="exact" w:val="720"/>
        </w:trPr>
        <w:tc>
          <w:tcPr>
            <w:tcW w:type="dxa" w:w="5558"/>
            <w:tcBorders>
              <w:top w:sz="4.0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444" w:after="0"/>
              <w:ind w:left="12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/>
                <w:color w:val="000000"/>
                <w:sz w:val="16"/>
              </w:rPr>
              <w:t>Risks</w:t>
            </w:r>
            <w:r>
              <w:rPr>
                <w:rFonts w:ascii="URWPalladioL" w:hAnsi="URWPalladioL" w:eastAsia="URWPalladioL"/>
                <w:b/>
                <w:i w:val="0"/>
                <w:color w:val="000000"/>
                <w:sz w:val="16"/>
              </w:rPr>
              <w:t xml:space="preserve"> 2021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,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6"/>
              </w:rPr>
              <w:t xml:space="preserve"> 9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, 205</w:t>
            </w:r>
          </w:p>
        </w:tc>
        <w:tc>
          <w:tcPr>
            <w:tcW w:type="dxa" w:w="4968"/>
            <w:tcBorders>
              <w:top w:sz="4.0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46" w:after="0"/>
              <w:ind w:left="0" w:right="42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12 of 24</w:t>
            </w:r>
          </w:p>
        </w:tc>
      </w:tr>
    </w:tbl>
    <w:p>
      <w:pPr>
        <w:autoSpaceDN w:val="0"/>
        <w:autoSpaceDE w:val="0"/>
        <w:widowControl/>
        <w:spacing w:line="240" w:lineRule="auto" w:before="510" w:after="0"/>
        <w:ind w:left="0" w:right="9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2120900</wp:posOffset>
            </wp:positionH>
            <wp:positionV relativeFrom="page">
              <wp:posOffset>1183640</wp:posOffset>
            </wp:positionV>
            <wp:extent cx="4432300" cy="270764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32300" cy="27076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82" w:lineRule="exact" w:before="130" w:after="0"/>
        <w:ind w:left="0" w:right="3856" w:firstLine="0"/>
        <w:jc w:val="right"/>
      </w:pPr>
      <w:r>
        <w:rPr>
          <w:rFonts w:ascii="URWPalladioL" w:hAnsi="URWPalladioL" w:eastAsia="URWPalladioL"/>
          <w:b/>
          <w:i w:val="0"/>
          <w:color w:val="000000"/>
          <w:sz w:val="18"/>
        </w:rPr>
        <w:t>Chart 1.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Means for each economic situation cluster.</w:t>
      </w:r>
    </w:p>
    <w:p>
      <w:pPr>
        <w:autoSpaceDN w:val="0"/>
        <w:autoSpaceDE w:val="0"/>
        <w:widowControl/>
        <w:spacing w:line="252" w:lineRule="exact" w:before="202" w:after="0"/>
        <w:ind w:left="2644" w:right="0" w:firstLine="424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Each cluster we obtained from cluster analysis represents a very specific economic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situation.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Despite interesting numbers of respondents belonging to each cluster, means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in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Table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2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well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lines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drawn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their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representation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in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Chart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1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are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crucial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for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our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model the lines in chart and (characteristics) are important.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That is also the root of our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belief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model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population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independent.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Clusters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show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no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more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no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less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than 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generalized mathematical descriptions of economic situations.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In the following subsections,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each economic cluster—type is described.</w:t>
      </w:r>
    </w:p>
    <w:p>
      <w:pPr>
        <w:autoSpaceDN w:val="0"/>
        <w:autoSpaceDE w:val="0"/>
        <w:widowControl/>
        <w:spacing w:line="180" w:lineRule="exact" w:before="288" w:after="146"/>
        <w:ind w:left="0" w:right="0" w:firstLine="0"/>
        <w:jc w:val="center"/>
      </w:pPr>
      <w:r>
        <w:rPr>
          <w:rFonts w:ascii="URWPalladioL" w:hAnsi="URWPalladioL" w:eastAsia="URWPalladioL"/>
          <w:b/>
          <w:i w:val="0"/>
          <w:color w:val="000000"/>
          <w:sz w:val="18"/>
        </w:rPr>
        <w:t>Table 2.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Means for each economic situation cluster.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109"/>
        <w:gridCol w:w="2109"/>
        <w:gridCol w:w="2109"/>
        <w:gridCol w:w="2109"/>
        <w:gridCol w:w="2109"/>
      </w:tblGrid>
      <w:tr>
        <w:trPr>
          <w:trHeight w:hRule="exact" w:val="278"/>
        </w:trPr>
        <w:tc>
          <w:tcPr>
            <w:tcW w:type="dxa" w:w="1908"/>
            <w:vMerge w:val="restart"/>
            <w:tcBorders>
              <w:top w:sz="6.375999927520752" w:val="single" w:color="#000000"/>
              <w:bottom w:sz="2.391999959945678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320"/>
            <w:tcBorders>
              <w:top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6" w:after="0"/>
              <w:ind w:left="0" w:right="486" w:firstLine="0"/>
              <w:jc w:val="right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18"/>
              </w:rPr>
              <w:t>Cluster 1—</w:t>
            </w:r>
            <w:r>
              <w:rPr>
                <w:rFonts w:ascii="URWPalladioL" w:hAnsi="URWPalladioL" w:eastAsia="URWPalladioL"/>
                <w:b/>
                <w:i/>
                <w:color w:val="000000"/>
                <w:sz w:val="18"/>
              </w:rPr>
              <w:t>ES</w:t>
            </w:r>
            <w:r>
              <w:rPr>
                <w:rFonts w:ascii="URWPalladioL" w:hAnsi="URWPalladioL" w:eastAsia="URWPalladioL"/>
                <w:b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2020"/>
            <w:tcBorders>
              <w:top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18"/>
              </w:rPr>
              <w:t>Cluster 2—</w:t>
            </w:r>
            <w:r>
              <w:rPr>
                <w:rFonts w:ascii="URWPalladioL" w:hAnsi="URWPalladioL" w:eastAsia="URWPalladioL"/>
                <w:b/>
                <w:i/>
                <w:color w:val="000000"/>
                <w:sz w:val="18"/>
              </w:rPr>
              <w:t>ES</w:t>
            </w:r>
            <w:r>
              <w:rPr>
                <w:rFonts w:ascii="URWPalladioL" w:hAnsi="URWPalladioL" w:eastAsia="URWPalladioL"/>
                <w:b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2180"/>
            <w:tcBorders>
              <w:top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18"/>
              </w:rPr>
              <w:t>Cluster 3—</w:t>
            </w:r>
            <w:r>
              <w:rPr>
                <w:rFonts w:ascii="URWPalladioL" w:hAnsi="URWPalladioL" w:eastAsia="URWPalladioL"/>
                <w:b/>
                <w:i/>
                <w:color w:val="000000"/>
                <w:sz w:val="18"/>
              </w:rPr>
              <w:t>ES</w:t>
            </w:r>
            <w:r>
              <w:rPr>
                <w:rFonts w:ascii="URWPalladioL" w:hAnsi="URWPalladioL" w:eastAsia="URWPalladioL"/>
                <w:b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2054"/>
            <w:tcBorders>
              <w:top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18"/>
              </w:rPr>
              <w:t>Cluster 4—</w:t>
            </w:r>
            <w:r>
              <w:rPr>
                <w:rFonts w:ascii="URWPalladioL" w:hAnsi="URWPalladioL" w:eastAsia="URWPalladioL"/>
                <w:b/>
                <w:i/>
                <w:color w:val="000000"/>
                <w:sz w:val="18"/>
              </w:rPr>
              <w:t>ES</w:t>
            </w:r>
            <w:r>
              <w:rPr>
                <w:rFonts w:ascii="URWPalladioL" w:hAnsi="URWPalladioL" w:eastAsia="URWPalladioL"/>
                <w:b/>
                <w:i w:val="0"/>
                <w:color w:val="000000"/>
                <w:sz w:val="14"/>
              </w:rPr>
              <w:t>4</w:t>
            </w:r>
          </w:p>
        </w:tc>
      </w:tr>
      <w:tr>
        <w:trPr>
          <w:trHeight w:hRule="exact" w:val="220"/>
        </w:trPr>
        <w:tc>
          <w:tcPr>
            <w:tcW w:type="dxa" w:w="2109"/>
            <w:vMerge/>
            <w:tcBorders>
              <w:top w:sz="6.375999927520752" w:val="single" w:color="#000000"/>
              <w:bottom w:sz="2.3919999599456787" w:val="single" w:color="#000000"/>
            </w:tcBorders>
          </w:tcPr>
          <w:p/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506" w:right="0" w:firstLine="0"/>
              <w:jc w:val="left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18"/>
              </w:rPr>
              <w:t>Neutral Economic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18"/>
              </w:rPr>
              <w:t>Positive Economic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18"/>
              </w:rPr>
              <w:t>Negative Economic</w:t>
            </w:r>
          </w:p>
        </w:tc>
        <w:tc>
          <w:tcPr>
            <w:tcW w:type="dxa" w:w="20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18"/>
              </w:rPr>
              <w:t>Positive Economic</w:t>
            </w:r>
          </w:p>
        </w:tc>
      </w:tr>
      <w:tr>
        <w:trPr>
          <w:trHeight w:hRule="exact" w:val="220"/>
        </w:trPr>
        <w:tc>
          <w:tcPr>
            <w:tcW w:type="dxa" w:w="2109"/>
            <w:vMerge/>
            <w:tcBorders>
              <w:top w:sz="6.375999927520752" w:val="single" w:color="#000000"/>
              <w:bottom w:sz="2.3919999599456787" w:val="single" w:color="#000000"/>
            </w:tcBorders>
          </w:tcPr>
          <w:p/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340" w:right="0" w:firstLine="0"/>
              <w:jc w:val="left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18"/>
              </w:rPr>
              <w:t>Situation with Higher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18"/>
              </w:rPr>
              <w:t>Situation with High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18"/>
              </w:rPr>
              <w:t>Situation with Higher</w:t>
            </w:r>
          </w:p>
        </w:tc>
        <w:tc>
          <w:tcPr>
            <w:tcW w:type="dxa" w:w="20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18"/>
              </w:rPr>
              <w:t>Situation with Low</w:t>
            </w:r>
          </w:p>
        </w:tc>
      </w:tr>
      <w:tr>
        <w:trPr>
          <w:trHeight w:hRule="exact" w:val="260"/>
        </w:trPr>
        <w:tc>
          <w:tcPr>
            <w:tcW w:type="dxa" w:w="2109"/>
            <w:vMerge/>
            <w:tcBorders>
              <w:top w:sz="6.375999927520752" w:val="single" w:color="#000000"/>
              <w:bottom w:sz="2.3919999599456787" w:val="single" w:color="#000000"/>
            </w:tcBorders>
          </w:tcPr>
          <w:p/>
        </w:tc>
        <w:tc>
          <w:tcPr>
            <w:tcW w:type="dxa" w:w="2320"/>
            <w:tcBorders>
              <w:bottom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538" w:firstLine="0"/>
              <w:jc w:val="right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18"/>
              </w:rPr>
              <w:t>Level of Risk</w:t>
            </w:r>
          </w:p>
        </w:tc>
        <w:tc>
          <w:tcPr>
            <w:tcW w:type="dxa" w:w="2020"/>
            <w:tcBorders>
              <w:bottom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18"/>
              </w:rPr>
              <w:t>Level of Risk</w:t>
            </w:r>
          </w:p>
        </w:tc>
        <w:tc>
          <w:tcPr>
            <w:tcW w:type="dxa" w:w="2180"/>
            <w:tcBorders>
              <w:bottom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18"/>
              </w:rPr>
              <w:t>Level of Risk</w:t>
            </w:r>
          </w:p>
        </w:tc>
        <w:tc>
          <w:tcPr>
            <w:tcW w:type="dxa" w:w="2054"/>
            <w:tcBorders>
              <w:bottom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18"/>
              </w:rPr>
              <w:t>Level of Risk</w:t>
            </w:r>
          </w:p>
        </w:tc>
      </w:tr>
      <w:tr>
        <w:trPr>
          <w:trHeight w:hRule="exact" w:val="278"/>
        </w:trPr>
        <w:tc>
          <w:tcPr>
            <w:tcW w:type="dxa" w:w="1908"/>
            <w:tcBorders>
              <w:top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72" w:after="0"/>
              <w:ind w:left="0" w:right="774" w:firstLine="0"/>
              <w:jc w:val="right"/>
            </w:pPr>
            <w:r>
              <w:rPr>
                <w:rFonts w:ascii="URWPalladioL" w:hAnsi="URWPalladioL" w:eastAsia="URWPalladioL"/>
                <w:b/>
                <w:i/>
                <w:color w:val="000000"/>
                <w:sz w:val="18"/>
              </w:rPr>
              <w:t>I</w:t>
            </w:r>
            <w:r>
              <w:rPr>
                <w:rFonts w:ascii="URWPalladioL" w:hAnsi="URWPalladioL" w:eastAsia="URWPalladioL"/>
                <w:b/>
                <w:i/>
                <w:color w:val="000000"/>
                <w:sz w:val="14"/>
              </w:rPr>
              <w:t>fr</w:t>
            </w:r>
          </w:p>
        </w:tc>
        <w:tc>
          <w:tcPr>
            <w:tcW w:type="dxa" w:w="2320"/>
            <w:tcBorders>
              <w:top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2" w:after="0"/>
              <w:ind w:left="0" w:right="744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0.240723</w:t>
            </w:r>
          </w:p>
        </w:tc>
        <w:tc>
          <w:tcPr>
            <w:tcW w:type="dxa" w:w="2020"/>
            <w:tcBorders>
              <w:top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0.476966</w:t>
            </w:r>
          </w:p>
        </w:tc>
        <w:tc>
          <w:tcPr>
            <w:tcW w:type="dxa" w:w="2180"/>
            <w:tcBorders>
              <w:top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2" w:after="0"/>
              <w:ind w:left="0" w:right="0" w:firstLine="0"/>
              <w:jc w:val="center"/>
            </w:pPr>
            <w:r>
              <w:rPr>
                <w:w w:val="98.3473727577611"/>
                <w:rFonts w:ascii="CMSY10" w:hAnsi="CMSY10" w:eastAsia="CMSY10"/>
                <w:b w:val="0"/>
                <w:i/>
                <w:color w:val="000000"/>
                <w:sz w:val="19"/>
              </w:rPr>
              <w:t>−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0.013202</w:t>
            </w:r>
          </w:p>
        </w:tc>
        <w:tc>
          <w:tcPr>
            <w:tcW w:type="dxa" w:w="2054"/>
            <w:tcBorders>
              <w:top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0.412660</w:t>
            </w:r>
          </w:p>
        </w:tc>
      </w:tr>
      <w:tr>
        <w:trPr>
          <w:trHeight w:hRule="exact" w:val="222"/>
        </w:trPr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8" w:after="0"/>
              <w:ind w:left="0" w:right="704" w:firstLine="0"/>
              <w:jc w:val="right"/>
            </w:pPr>
            <w:r>
              <w:rPr>
                <w:rFonts w:ascii="URWPalladioL" w:hAnsi="URWPalladioL" w:eastAsia="URWPalladioL"/>
                <w:b/>
                <w:i/>
                <w:color w:val="000000"/>
                <w:sz w:val="18"/>
              </w:rPr>
              <w:t>I</w:t>
            </w:r>
            <w:r>
              <w:rPr>
                <w:rFonts w:ascii="URWPalladioL" w:hAnsi="URWPalladioL" w:eastAsia="URWPalladioL"/>
                <w:b/>
                <w:i/>
                <w:color w:val="000000"/>
                <w:sz w:val="14"/>
              </w:rPr>
              <w:t>fwb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744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0.266023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0.685856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" w:after="0"/>
              <w:ind w:left="0" w:right="0" w:firstLine="0"/>
              <w:jc w:val="center"/>
            </w:pPr>
            <w:r>
              <w:rPr>
                <w:w w:val="98.3473727577611"/>
                <w:rFonts w:ascii="CMSY10" w:hAnsi="CMSY10" w:eastAsia="CMSY10"/>
                <w:b w:val="0"/>
                <w:i/>
                <w:color w:val="000000"/>
                <w:sz w:val="19"/>
              </w:rPr>
              <w:t>−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0.253836</w:t>
            </w:r>
          </w:p>
        </w:tc>
        <w:tc>
          <w:tcPr>
            <w:tcW w:type="dxa" w:w="20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0.525914</w:t>
            </w:r>
          </w:p>
        </w:tc>
      </w:tr>
      <w:tr>
        <w:trPr>
          <w:trHeight w:hRule="exact" w:val="276"/>
        </w:trPr>
        <w:tc>
          <w:tcPr>
            <w:tcW w:type="dxa" w:w="1908"/>
            <w:tcBorders>
              <w:bottom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32" w:after="0"/>
              <w:ind w:left="0" w:right="762" w:firstLine="0"/>
              <w:jc w:val="right"/>
            </w:pPr>
            <w:r>
              <w:rPr>
                <w:rFonts w:ascii="URWPalladioL" w:hAnsi="URWPalladioL" w:eastAsia="URWPalladioL"/>
                <w:b/>
                <w:i/>
                <w:color w:val="000000"/>
                <w:sz w:val="18"/>
              </w:rPr>
              <w:t>I</w:t>
            </w:r>
            <w:r>
              <w:rPr>
                <w:rFonts w:ascii="URWPalladioL" w:hAnsi="URWPalladioL" w:eastAsia="URWPalladioL"/>
                <w:b/>
                <w:i/>
                <w:color w:val="000000"/>
                <w:sz w:val="14"/>
              </w:rPr>
              <w:t>fk</w:t>
            </w:r>
          </w:p>
        </w:tc>
        <w:tc>
          <w:tcPr>
            <w:tcW w:type="dxa" w:w="2320"/>
            <w:tcBorders>
              <w:bottom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670" w:firstLine="0"/>
              <w:jc w:val="right"/>
            </w:pPr>
            <w:r>
              <w:rPr>
                <w:w w:val="98.3473727577611"/>
                <w:rFonts w:ascii="CMSY10" w:hAnsi="CMSY10" w:eastAsia="CMSY10"/>
                <w:b w:val="0"/>
                <w:i/>
                <w:color w:val="000000"/>
                <w:sz w:val="19"/>
              </w:rPr>
              <w:t>−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0.168730</w:t>
            </w:r>
          </w:p>
        </w:tc>
        <w:tc>
          <w:tcPr>
            <w:tcW w:type="dxa" w:w="2020"/>
            <w:tcBorders>
              <w:bottom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0" w:firstLine="0"/>
              <w:jc w:val="center"/>
            </w:pPr>
            <w:r>
              <w:rPr>
                <w:w w:val="98.3473727577611"/>
                <w:rFonts w:ascii="CMSY10" w:hAnsi="CMSY10" w:eastAsia="CMSY10"/>
                <w:b w:val="0"/>
                <w:i/>
                <w:color w:val="000000"/>
                <w:sz w:val="19"/>
              </w:rPr>
              <w:t>−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0.105332</w:t>
            </w:r>
          </w:p>
        </w:tc>
        <w:tc>
          <w:tcPr>
            <w:tcW w:type="dxa" w:w="2180"/>
            <w:tcBorders>
              <w:bottom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0" w:firstLine="0"/>
              <w:jc w:val="center"/>
            </w:pPr>
            <w:r>
              <w:rPr>
                <w:w w:val="98.3473727577611"/>
                <w:rFonts w:ascii="CMSY10" w:hAnsi="CMSY10" w:eastAsia="CMSY10"/>
                <w:b w:val="0"/>
                <w:i/>
                <w:color w:val="000000"/>
                <w:sz w:val="19"/>
              </w:rPr>
              <w:t>−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0.416910</w:t>
            </w:r>
          </w:p>
        </w:tc>
        <w:tc>
          <w:tcPr>
            <w:tcW w:type="dxa" w:w="2054"/>
            <w:tcBorders>
              <w:bottom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1.000000</w:t>
            </w:r>
          </w:p>
        </w:tc>
      </w:tr>
      <w:tr>
        <w:trPr>
          <w:trHeight w:hRule="exact" w:val="320"/>
        </w:trPr>
        <w:tc>
          <w:tcPr>
            <w:tcW w:type="dxa" w:w="1908"/>
            <w:tcBorders>
              <w:top w:sz="2.3919999599456787" w:val="single" w:color="#000000"/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76" w:after="0"/>
              <w:ind w:left="0" w:right="308" w:firstLine="0"/>
              <w:jc w:val="right"/>
            </w:pPr>
            <w:r>
              <w:rPr>
                <w:rFonts w:ascii="URWPalladioL" w:hAnsi="URWPalladioL" w:eastAsia="URWPalladioL"/>
                <w:b/>
                <w:i/>
                <w:color w:val="000000"/>
                <w:sz w:val="18"/>
              </w:rPr>
              <w:t>Risk level ES</w:t>
            </w:r>
            <w:r>
              <w:rPr>
                <w:rFonts w:ascii="URWPalladioL" w:hAnsi="URWPalladioL" w:eastAsia="URWPalladioL"/>
                <w:b/>
                <w:i/>
                <w:color w:val="000000"/>
                <w:sz w:val="14"/>
              </w:rPr>
              <w:t>r</w:t>
            </w:r>
          </w:p>
        </w:tc>
        <w:tc>
          <w:tcPr>
            <w:tcW w:type="dxa" w:w="2320"/>
            <w:tcBorders>
              <w:top w:sz="2.3919999599456787" w:val="single" w:color="#000000"/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0" w:after="0"/>
              <w:ind w:left="0" w:right="878" w:firstLine="0"/>
              <w:jc w:val="right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18"/>
              </w:rPr>
              <w:t>0.597</w:t>
            </w:r>
          </w:p>
        </w:tc>
        <w:tc>
          <w:tcPr>
            <w:tcW w:type="dxa" w:w="2020"/>
            <w:tcBorders>
              <w:top w:sz="2.3919999599456787" w:val="single" w:color="#000000"/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18"/>
              </w:rPr>
              <w:t>0.657</w:t>
            </w:r>
          </w:p>
        </w:tc>
        <w:tc>
          <w:tcPr>
            <w:tcW w:type="dxa" w:w="2180"/>
            <w:tcBorders>
              <w:top w:sz="2.3919999599456787" w:val="single" w:color="#000000"/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18"/>
              </w:rPr>
              <w:t>0.588</w:t>
            </w:r>
          </w:p>
        </w:tc>
        <w:tc>
          <w:tcPr>
            <w:tcW w:type="dxa" w:w="2054"/>
            <w:tcBorders>
              <w:top w:sz="2.3919999599456787" w:val="single" w:color="#000000"/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18"/>
              </w:rPr>
              <w:t>0.056</w:t>
            </w:r>
          </w:p>
        </w:tc>
      </w:tr>
    </w:tbl>
    <w:p>
      <w:pPr>
        <w:autoSpaceDN w:val="0"/>
        <w:autoSpaceDE w:val="0"/>
        <w:widowControl/>
        <w:spacing w:line="200" w:lineRule="exact" w:before="384" w:after="0"/>
        <w:ind w:left="0" w:right="0" w:firstLine="0"/>
        <w:jc w:val="center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>4.2.1.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Neutral Economic Situation with Higher Level of Risk</w:t>
      </w:r>
    </w:p>
    <w:p>
      <w:pPr>
        <w:autoSpaceDN w:val="0"/>
        <w:autoSpaceDE w:val="0"/>
        <w:widowControl/>
        <w:spacing w:line="252" w:lineRule="exact" w:before="58" w:after="0"/>
        <w:ind w:left="2634" w:right="62" w:firstLine="424"/>
        <w:jc w:val="both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>This type of situation is rather stable.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financial knowledge of respondents living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in this situation is quite bad.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They are not used to spending much so the risk of dramatic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worsening of their economic situation is quite low.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They are not at actual risk of financial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instability if everything goes well.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real risk comes with a sudden and/or unexpected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crisis (e.g., divorce, illness, disaster).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 calculated risk level of this situation is 59.7%.</w:t>
      </w:r>
    </w:p>
    <w:p>
      <w:pPr>
        <w:autoSpaceDN w:val="0"/>
        <w:autoSpaceDE w:val="0"/>
        <w:widowControl/>
        <w:spacing w:line="200" w:lineRule="exact" w:before="250" w:after="0"/>
        <w:ind w:left="0" w:right="2780" w:firstLine="0"/>
        <w:jc w:val="right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>4.2.2.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Positive Economic Situation with High Level of Risk</w:t>
      </w:r>
    </w:p>
    <w:p>
      <w:pPr>
        <w:autoSpaceDN w:val="0"/>
        <w:autoSpaceDE w:val="0"/>
        <w:widowControl/>
        <w:spacing w:line="252" w:lineRule="exact" w:before="58" w:after="0"/>
        <w:ind w:left="2644" w:right="0" w:firstLine="424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>This type of situation is seemingly stable and in many cases it really is.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Respondents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in this situation are used to spending a lot and they are possibly financially dependent.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Nevertheless,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financial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risk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to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this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person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high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because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of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lack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of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financial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knowledge.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In the case of significant negative changes (the dependence is broken—e.g.,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divorce, death of a related person, loss of investment or fund) within the household,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they are usually not able to manage the crisis successfully—it is hard for them to give up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their usual consumption and living standard.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calculated risk level of this situation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is 65.71%.</w:t>
      </w:r>
    </w:p>
    <w:p>
      <w:pPr>
        <w:sectPr>
          <w:pgSz w:w="11906" w:h="16838"/>
          <w:pgMar w:top="312" w:right="658" w:bottom="658" w:left="70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147" w:type="dxa"/>
      </w:tblPr>
      <w:tblGrid>
        <w:gridCol w:w="5259"/>
        <w:gridCol w:w="5259"/>
      </w:tblGrid>
      <w:tr>
        <w:trPr>
          <w:trHeight w:hRule="exact" w:val="272"/>
        </w:trPr>
        <w:tc>
          <w:tcPr>
            <w:tcW w:type="dxa" w:w="554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0" w:after="0"/>
              <w:ind w:left="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/>
                <w:color w:val="000000"/>
                <w:sz w:val="16"/>
              </w:rPr>
              <w:t>Risks</w:t>
            </w:r>
            <w:r>
              <w:rPr>
                <w:rFonts w:ascii="URWPalladioL" w:hAnsi="URWPalladioL" w:eastAsia="URWPalladioL"/>
                <w:b/>
                <w:i w:val="0"/>
                <w:color w:val="000000"/>
                <w:sz w:val="16"/>
              </w:rPr>
              <w:t xml:space="preserve"> 2021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,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6"/>
              </w:rPr>
              <w:t xml:space="preserve"> 9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, 205</w:t>
            </w:r>
          </w:p>
        </w:tc>
        <w:tc>
          <w:tcPr>
            <w:tcW w:type="dxa" w:w="493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" w:after="0"/>
              <w:ind w:left="0" w:right="4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13 of 24</w:t>
            </w:r>
          </w:p>
        </w:tc>
      </w:tr>
    </w:tbl>
    <w:p>
      <w:pPr>
        <w:autoSpaceDN w:val="0"/>
        <w:autoSpaceDE w:val="0"/>
        <w:widowControl/>
        <w:spacing w:line="200" w:lineRule="exact" w:before="618" w:after="0"/>
        <w:ind w:left="0" w:right="2488" w:firstLine="0"/>
        <w:jc w:val="right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>4.2.3.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Negative Economic Situation with Higher Level of Risk</w:t>
      </w:r>
    </w:p>
    <w:p>
      <w:pPr>
        <w:autoSpaceDN w:val="0"/>
        <w:autoSpaceDE w:val="0"/>
        <w:widowControl/>
        <w:spacing w:line="252" w:lineRule="exact" w:before="58" w:after="0"/>
        <w:ind w:left="2634" w:right="36" w:firstLine="424"/>
        <w:jc w:val="both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>This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type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of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situation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highly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unstable.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level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of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risk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very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high.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There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is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 highest number of concurrent risks.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Respondents living in this situation are usually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dependent on social services and support.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They belong to the potentially most vulnerable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group because they have neither the resources nor the financial knowledge needed to deal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effectively with the situation.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 calculated risk level of this situation is 58.82%.</w:t>
      </w:r>
    </w:p>
    <w:p>
      <w:pPr>
        <w:autoSpaceDN w:val="0"/>
        <w:autoSpaceDE w:val="0"/>
        <w:widowControl/>
        <w:spacing w:line="198" w:lineRule="exact" w:before="250" w:after="0"/>
        <w:ind w:left="0" w:right="2816" w:firstLine="0"/>
        <w:jc w:val="right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>4.2.4.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Positive Economic Situation with Low Level of Risk</w:t>
      </w:r>
    </w:p>
    <w:p>
      <w:pPr>
        <w:autoSpaceDN w:val="0"/>
        <w:autoSpaceDE w:val="0"/>
        <w:widowControl/>
        <w:spacing w:line="250" w:lineRule="exact" w:before="62" w:after="0"/>
        <w:ind w:left="2624" w:right="36" w:firstLine="424"/>
        <w:jc w:val="both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This type of situation is very stable and even the sudden and/or unexpected crisis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should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not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lead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to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serious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worsening.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Respondents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have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both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necessary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resources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and financial knowledge to deal effectively with almost any change without significantly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worsening their living standard.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 calculated risk level of this situation is 5.66%.</w:t>
      </w:r>
    </w:p>
    <w:p>
      <w:pPr>
        <w:autoSpaceDN w:val="0"/>
        <w:autoSpaceDE w:val="0"/>
        <w:widowControl/>
        <w:spacing w:line="200" w:lineRule="exact" w:before="250" w:after="0"/>
        <w:ind w:left="0" w:right="4048" w:firstLine="0"/>
        <w:jc w:val="right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>4.2.5.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Distribution of Clusters in Population</w:t>
      </w:r>
    </w:p>
    <w:p>
      <w:pPr>
        <w:autoSpaceDN w:val="0"/>
        <w:autoSpaceDE w:val="0"/>
        <w:widowControl/>
        <w:spacing w:line="252" w:lineRule="exact" w:before="58" w:after="0"/>
        <w:ind w:left="2634" w:right="44" w:firstLine="424"/>
        <w:jc w:val="both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Although we mentioned above the numbers of persons belonging to each cluster are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not needed for the model construction, they are interesting for better understanding and 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ana-lyse of the economic situation in the Czech Republic.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Therefore Table</w:t>
      </w:r>
      <w:r>
        <w:rPr>
          <w:w w:val="98.62470626831055"/>
          <w:rFonts w:ascii="URWPalladioL" w:hAnsi="URWPalladioL" w:eastAsia="URWPalladioL"/>
          <w:b w:val="0"/>
          <w:i w:val="0"/>
          <w:color w:val="0875B7"/>
          <w:sz w:val="20"/>
        </w:rPr>
        <w:t xml:space="preserve"> 3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 shows absolute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and cumulative numbers of persons belonging to each cluster and frequencies, as well.</w:t>
      </w:r>
    </w:p>
    <w:p>
      <w:pPr>
        <w:autoSpaceDN w:val="0"/>
        <w:autoSpaceDE w:val="0"/>
        <w:widowControl/>
        <w:spacing w:line="180" w:lineRule="exact" w:before="288" w:after="146"/>
        <w:ind w:left="0" w:right="0" w:firstLine="0"/>
        <w:jc w:val="center"/>
      </w:pPr>
      <w:r>
        <w:rPr>
          <w:rFonts w:ascii="URWPalladioL" w:hAnsi="URWPalladioL" w:eastAsia="URWPalladioL"/>
          <w:b/>
          <w:i w:val="0"/>
          <w:color w:val="000000"/>
          <w:sz w:val="18"/>
        </w:rPr>
        <w:t>Table 3.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Respondents belonging to economic situation types (clusters).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104"/>
        <w:gridCol w:w="2104"/>
        <w:gridCol w:w="2104"/>
        <w:gridCol w:w="2104"/>
        <w:gridCol w:w="2104"/>
      </w:tblGrid>
      <w:tr>
        <w:trPr>
          <w:trHeight w:hRule="exact" w:val="322"/>
        </w:trPr>
        <w:tc>
          <w:tcPr>
            <w:tcW w:type="dxa" w:w="4968"/>
            <w:tcBorders>
              <w:top w:sz="6.375999927520752" w:val="single" w:color="#000000"/>
              <w:bottom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368" w:right="0" w:firstLine="0"/>
              <w:jc w:val="left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18"/>
              </w:rPr>
              <w:t>Respondents Clustered by the Economic Situation</w:t>
            </w:r>
          </w:p>
        </w:tc>
        <w:tc>
          <w:tcPr>
            <w:tcW w:type="dxa" w:w="1060"/>
            <w:tcBorders>
              <w:top w:sz="6.375999927520752" w:val="single" w:color="#000000"/>
              <w:bottom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6" w:after="0"/>
              <w:ind w:left="0" w:right="526" w:firstLine="0"/>
              <w:jc w:val="right"/>
            </w:pPr>
            <w:r>
              <w:rPr>
                <w:rFonts w:ascii="URWPalladioL" w:hAnsi="URWPalladioL" w:eastAsia="URWPalladioL"/>
                <w:b/>
                <w:i/>
                <w:color w:val="000000"/>
                <w:sz w:val="18"/>
              </w:rPr>
              <w:t>n</w:t>
            </w:r>
          </w:p>
        </w:tc>
        <w:tc>
          <w:tcPr>
            <w:tcW w:type="dxa" w:w="1480"/>
            <w:tcBorders>
              <w:top w:sz="6.375999927520752" w:val="single" w:color="#000000"/>
              <w:bottom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18"/>
              </w:rPr>
              <w:t>%</w:t>
            </w:r>
          </w:p>
        </w:tc>
        <w:tc>
          <w:tcPr>
            <w:tcW w:type="dxa" w:w="1360"/>
            <w:tcBorders>
              <w:top w:sz="6.375999927520752" w:val="single" w:color="#000000"/>
              <w:bottom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6" w:after="0"/>
              <w:ind w:left="0" w:right="702" w:firstLine="0"/>
              <w:jc w:val="right"/>
            </w:pPr>
            <w:r>
              <w:rPr>
                <w:rFonts w:ascii="URWPalladioL" w:hAnsi="URWPalladioL" w:eastAsia="URWPalladioL"/>
                <w:b/>
                <w:i/>
                <w:color w:val="000000"/>
                <w:sz w:val="18"/>
              </w:rPr>
              <w:t>c</w:t>
            </w:r>
          </w:p>
        </w:tc>
        <w:tc>
          <w:tcPr>
            <w:tcW w:type="dxa" w:w="1614"/>
            <w:tcBorders>
              <w:top w:sz="6.375999927520752" w:val="single" w:color="#000000"/>
              <w:bottom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7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/>
                <w:i/>
                <w:color w:val="000000"/>
                <w:sz w:val="18"/>
              </w:rPr>
              <w:t>ES</w:t>
            </w:r>
            <w:r>
              <w:rPr>
                <w:rFonts w:ascii="URWPalladioL" w:hAnsi="URWPalladioL" w:eastAsia="URWPalladioL"/>
                <w:b/>
                <w:i/>
                <w:color w:val="000000"/>
                <w:sz w:val="14"/>
              </w:rPr>
              <w:t>r</w:t>
            </w:r>
          </w:p>
        </w:tc>
      </w:tr>
      <w:tr>
        <w:trPr>
          <w:trHeight w:hRule="exact" w:val="270"/>
        </w:trPr>
        <w:tc>
          <w:tcPr>
            <w:tcW w:type="dxa" w:w="4968"/>
            <w:tcBorders>
              <w:top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62" w:after="0"/>
              <w:ind w:left="208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/>
                <w:color w:val="000000"/>
                <w:sz w:val="18"/>
              </w:rPr>
              <w:t>ES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Neutral economic situation with higher level of risk</w:t>
            </w:r>
          </w:p>
        </w:tc>
        <w:tc>
          <w:tcPr>
            <w:tcW w:type="dxa" w:w="1060"/>
            <w:tcBorders>
              <w:top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398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1099</w:t>
            </w:r>
          </w:p>
        </w:tc>
        <w:tc>
          <w:tcPr>
            <w:tcW w:type="dxa" w:w="1480"/>
            <w:tcBorders>
              <w:top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29.17%</w:t>
            </w:r>
          </w:p>
        </w:tc>
        <w:tc>
          <w:tcPr>
            <w:tcW w:type="dxa" w:w="1360"/>
            <w:tcBorders>
              <w:top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562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1099</w:t>
            </w:r>
          </w:p>
        </w:tc>
        <w:tc>
          <w:tcPr>
            <w:tcW w:type="dxa" w:w="1614"/>
            <w:tcBorders>
              <w:top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0.597</w:t>
            </w:r>
          </w:p>
        </w:tc>
      </w:tr>
      <w:tr>
        <w:trPr>
          <w:trHeight w:hRule="exact" w:val="220"/>
        </w:trPr>
        <w:tc>
          <w:tcPr>
            <w:tcW w:type="dxa" w:w="49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276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/>
                <w:color w:val="000000"/>
                <w:sz w:val="18"/>
              </w:rPr>
              <w:t>ES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Positive economic situation with high level of risk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396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1031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27.36%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562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2130</w:t>
            </w:r>
          </w:p>
        </w:tc>
        <w:tc>
          <w:tcPr>
            <w:tcW w:type="dxa" w:w="16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0.657</w:t>
            </w:r>
          </w:p>
        </w:tc>
      </w:tr>
      <w:tr>
        <w:trPr>
          <w:trHeight w:hRule="exact" w:val="220"/>
        </w:trPr>
        <w:tc>
          <w:tcPr>
            <w:tcW w:type="dxa" w:w="49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154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/>
                <w:color w:val="000000"/>
                <w:sz w:val="18"/>
              </w:rPr>
              <w:t>ES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3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Negative economic situation with higher level of risk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442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411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10.91%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562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2541</w:t>
            </w:r>
          </w:p>
        </w:tc>
        <w:tc>
          <w:tcPr>
            <w:tcW w:type="dxa" w:w="16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0.588</w:t>
            </w:r>
          </w:p>
        </w:tc>
      </w:tr>
      <w:tr>
        <w:trPr>
          <w:trHeight w:hRule="exact" w:val="220"/>
        </w:trPr>
        <w:tc>
          <w:tcPr>
            <w:tcW w:type="dxa" w:w="49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306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/>
                <w:color w:val="000000"/>
                <w:sz w:val="18"/>
              </w:rPr>
              <w:t>ES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4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Positive economic situation with low level of risk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396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1227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32.56%</w:t>
            </w:r>
          </w:p>
        </w:tc>
        <w:tc>
          <w:tcPr>
            <w:tcW w:type="dxa" w:w="1360"/>
            <w:vMerge w:val="restart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562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3768</w:t>
            </w:r>
          </w:p>
        </w:tc>
        <w:tc>
          <w:tcPr>
            <w:tcW w:type="dxa" w:w="1614"/>
            <w:vMerge w:val="restart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0.056</w:t>
            </w:r>
          </w:p>
        </w:tc>
      </w:tr>
      <w:tr>
        <w:trPr>
          <w:trHeight w:hRule="exact" w:val="266"/>
        </w:trPr>
        <w:tc>
          <w:tcPr>
            <w:tcW w:type="dxa" w:w="4968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2350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Total</w:t>
            </w:r>
          </w:p>
        </w:tc>
        <w:tc>
          <w:tcPr>
            <w:tcW w:type="dxa" w:w="1060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398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3768</w:t>
            </w:r>
          </w:p>
        </w:tc>
        <w:tc>
          <w:tcPr>
            <w:tcW w:type="dxa" w:w="1480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100.00%</w:t>
            </w:r>
          </w:p>
        </w:tc>
        <w:tc>
          <w:tcPr>
            <w:tcW w:type="dxa" w:w="2104"/>
            <w:vMerge/>
            <w:tcBorders>
              <w:bottom w:sz="6.375999927520752" w:val="single" w:color="#000000"/>
            </w:tcBorders>
          </w:tcPr>
          <w:p/>
        </w:tc>
        <w:tc>
          <w:tcPr>
            <w:tcW w:type="dxa" w:w="2104"/>
            <w:vMerge/>
            <w:tcBorders>
              <w:bottom w:sz="6.375999927520752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00" w:lineRule="exact" w:before="380" w:after="0"/>
        <w:ind w:left="0" w:right="3814" w:firstLine="0"/>
        <w:jc w:val="right"/>
      </w:pPr>
      <w:r>
        <w:rPr>
          <w:rFonts w:ascii="URWPalladioL" w:hAnsi="URWPalladioL" w:eastAsia="URWPalladioL"/>
          <w:b w:val="0"/>
          <w:i/>
          <w:color w:val="000000"/>
          <w:sz w:val="20"/>
        </w:rPr>
        <w:t>4.3.</w:t>
      </w:r>
      <w:r>
        <w:rPr>
          <w:rFonts w:ascii="URWPalladioL" w:hAnsi="URWPalladioL" w:eastAsia="URWPalladioL"/>
          <w:b w:val="0"/>
          <w:i/>
          <w:color w:val="000000"/>
          <w:sz w:val="20"/>
        </w:rPr>
        <w:t>Factor Analysis of Values’ Preferences Results</w:t>
      </w:r>
    </w:p>
    <w:p>
      <w:pPr>
        <w:autoSpaceDN w:val="0"/>
        <w:autoSpaceDE w:val="0"/>
        <w:widowControl/>
        <w:spacing w:line="252" w:lineRule="exact" w:before="62" w:after="0"/>
        <w:ind w:left="2626" w:right="0" w:firstLine="424"/>
        <w:jc w:val="left"/>
      </w:pPr>
      <w:r>
        <w:rPr>
          <w:w w:val="98.9763069152832"/>
          <w:rFonts w:ascii="URWPalladioL" w:hAnsi="URWPalladioL" w:eastAsia="URWPalladioL"/>
          <w:b w:val="0"/>
          <w:i w:val="0"/>
          <w:color w:val="000000"/>
          <w:sz w:val="20"/>
        </w:rPr>
        <w:t>The second factor forming the model is the value type of the individual.</w:t>
      </w:r>
      <w:r>
        <w:rPr>
          <w:w w:val="98.9763069152832"/>
          <w:rFonts w:ascii="URWPalladioL" w:hAnsi="URWPalladioL" w:eastAsia="URWPalladioL"/>
          <w:b w:val="0"/>
          <w:i w:val="0"/>
          <w:color w:val="000000"/>
          <w:sz w:val="20"/>
        </w:rPr>
        <w:t xml:space="preserve">In our paper, 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six value types were identified using factor analysis.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It was inspiring for us to compare our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value typology with the one created by Eduard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 xml:space="preserve"> Spranger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 (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1921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) who described six types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of men: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economic, theoretical, aesthetic, social, political, and religious.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In the types we 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identified, there are close similarities in the social type (prosocial), religious type (religious)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and political type (power).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other three types mentioned by Spranger, the economic,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theoretical and aesthetic type, only partially meet our value types (conservative, liberal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and venture-oriented).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This could be explained by changes of value preferences in society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(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Inglehart 2015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)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 also different methods of values types identification.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Whereas Spranger 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derived his types as a construct coming with his philosophy, our typology is strictly derived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from the measurement of value preferences in population and is limited only by the value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selections within the itineraries.</w:t>
      </w:r>
    </w:p>
    <w:p>
      <w:pPr>
        <w:autoSpaceDN w:val="0"/>
        <w:autoSpaceDE w:val="0"/>
        <w:widowControl/>
        <w:spacing w:line="250" w:lineRule="exact" w:before="2" w:after="0"/>
        <w:ind w:left="2634" w:right="0" w:firstLine="424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factor analysis we provided over the measured 36 values’ preferences showed 6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factors (value types).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Results of the analysis are shown in Table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 xml:space="preserve"> 4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recognized factors 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are close and similar to previously personal value types presented by</w:t>
      </w:r>
      <w:r>
        <w:rPr>
          <w:w w:val="98.62470626831055"/>
          <w:rFonts w:ascii="URWPalladioL" w:hAnsi="URWPalladioL" w:eastAsia="URWPalladioL"/>
          <w:b w:val="0"/>
          <w:i w:val="0"/>
          <w:color w:val="0875B7"/>
          <w:sz w:val="20"/>
        </w:rPr>
        <w:t xml:space="preserve"> Spranger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 (</w:t>
      </w:r>
      <w:r>
        <w:rPr>
          <w:w w:val="98.62470626831055"/>
          <w:rFonts w:ascii="URWPalladioL" w:hAnsi="URWPalladioL" w:eastAsia="URWPalladioL"/>
          <w:b w:val="0"/>
          <w:i w:val="0"/>
          <w:color w:val="0875B7"/>
          <w:sz w:val="20"/>
        </w:rPr>
        <w:t>1921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), with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respect to shifts and change in values’ preferences in over a hundred years.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Consequently, </w:t>
      </w:r>
      <w:r>
        <w:rPr>
          <w:w w:val="98.82577896118164"/>
          <w:rFonts w:ascii="URWPalladioL" w:hAnsi="URWPalladioL" w:eastAsia="URWPalladioL"/>
          <w:b w:val="0"/>
          <w:i w:val="0"/>
          <w:color w:val="000000"/>
          <w:sz w:val="20"/>
        </w:rPr>
        <w:t xml:space="preserve">the wider description of the types follows and shows the differences in possible impacts of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each value type on financial decision-making and risky behaviour.</w:t>
      </w:r>
    </w:p>
    <w:p>
      <w:pPr>
        <w:sectPr>
          <w:pgSz w:w="11906" w:h="16838"/>
          <w:pgMar w:top="538" w:right="676" w:bottom="1440" w:left="7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147" w:type="dxa"/>
      </w:tblPr>
      <w:tblGrid>
        <w:gridCol w:w="5263"/>
        <w:gridCol w:w="5263"/>
      </w:tblGrid>
      <w:tr>
        <w:trPr>
          <w:trHeight w:hRule="exact" w:val="272"/>
        </w:trPr>
        <w:tc>
          <w:tcPr>
            <w:tcW w:type="dxa" w:w="554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0" w:after="0"/>
              <w:ind w:left="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/>
                <w:color w:val="000000"/>
                <w:sz w:val="16"/>
              </w:rPr>
              <w:t>Risks</w:t>
            </w:r>
            <w:r>
              <w:rPr>
                <w:rFonts w:ascii="URWPalladioL" w:hAnsi="URWPalladioL" w:eastAsia="URWPalladioL"/>
                <w:b/>
                <w:i w:val="0"/>
                <w:color w:val="000000"/>
                <w:sz w:val="16"/>
              </w:rPr>
              <w:t xml:space="preserve"> 2021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,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6"/>
              </w:rPr>
              <w:t xml:space="preserve"> 9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, 205</w:t>
            </w:r>
          </w:p>
        </w:tc>
        <w:tc>
          <w:tcPr>
            <w:tcW w:type="dxa" w:w="493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" w:after="0"/>
              <w:ind w:left="0" w:right="4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14 of 24</w:t>
            </w:r>
          </w:p>
        </w:tc>
      </w:tr>
    </w:tbl>
    <w:p>
      <w:pPr>
        <w:autoSpaceDN w:val="0"/>
        <w:autoSpaceDE w:val="0"/>
        <w:widowControl/>
        <w:spacing w:line="200" w:lineRule="exact" w:before="592" w:after="146"/>
        <w:ind w:left="0" w:right="0" w:firstLine="0"/>
        <w:jc w:val="center"/>
      </w:pPr>
      <w:r>
        <w:rPr>
          <w:rFonts w:ascii="URWPalladioL" w:hAnsi="URWPalladioL" w:eastAsia="URWPalladioL"/>
          <w:b/>
          <w:i w:val="0"/>
          <w:color w:val="000000"/>
          <w:sz w:val="18"/>
        </w:rPr>
        <w:t>Table 4.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Values factor analysis and factor loads</w:t>
      </w:r>
      <w:r>
        <w:rPr>
          <w:w w:val="98.3473727577611"/>
          <w:rFonts w:ascii="CMSY10" w:hAnsi="CMSY10" w:eastAsia="CMSY10"/>
          <w:b w:val="0"/>
          <w:i/>
          <w:color w:val="000000"/>
          <w:sz w:val="19"/>
        </w:rPr>
        <w:t xml:space="preserve"> ≥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0.48.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04"/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262"/>
        </w:trPr>
        <w:tc>
          <w:tcPr>
            <w:tcW w:type="dxa" w:w="1860"/>
            <w:tcBorders>
              <w:top w:sz="6.375999927520752" w:val="single" w:color="#000000"/>
              <w:bottom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14"/>
              </w:rPr>
              <w:t>Value Preferences</w:t>
            </w:r>
          </w:p>
        </w:tc>
        <w:tc>
          <w:tcPr>
            <w:tcW w:type="dxa" w:w="1408"/>
            <w:tcBorders>
              <w:top w:sz="6.375999927520752" w:val="single" w:color="#000000"/>
              <w:bottom w:sz="2.391999959945678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20"/>
            <w:tcBorders>
              <w:top w:sz="6.375999927520752" w:val="single" w:color="#000000"/>
              <w:bottom w:sz="2.391999959945678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80"/>
            <w:gridSpan w:val="2"/>
            <w:tcBorders>
              <w:top w:sz="6.375999927520752" w:val="single" w:color="#000000"/>
              <w:bottom w:sz="2.391999959945678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14"/>
              </w:rPr>
              <w:t>Value Types</w:t>
            </w:r>
          </w:p>
        </w:tc>
        <w:tc>
          <w:tcPr>
            <w:tcW w:type="dxa" w:w="1340"/>
            <w:tcBorders>
              <w:top w:sz="6.375999927520752" w:val="single" w:color="#000000"/>
              <w:bottom w:sz="2.391999959945678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74"/>
            <w:tcBorders>
              <w:top w:sz="6.375999927520752" w:val="single" w:color="#000000"/>
              <w:bottom w:sz="2.3919999599456787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44"/>
        </w:trPr>
        <w:tc>
          <w:tcPr>
            <w:tcW w:type="dxa" w:w="1860"/>
            <w:tcBorders>
              <w:top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14"/>
              </w:rPr>
              <w:t>(Mixed Terminal and</w:t>
            </w:r>
          </w:p>
        </w:tc>
        <w:tc>
          <w:tcPr>
            <w:tcW w:type="dxa" w:w="1408"/>
            <w:vMerge w:val="restart"/>
            <w:tcBorders>
              <w:top w:sz="2.391999959945678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5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14"/>
              </w:rPr>
              <w:t>VT</w:t>
            </w:r>
            <w:r>
              <w:rPr>
                <w:rFonts w:ascii="URWPalladioL" w:hAnsi="URWPalladioL" w:eastAsia="URWPalladioL"/>
                <w:b/>
                <w:i w:val="0"/>
                <w:color w:val="000000"/>
                <w:sz w:val="10"/>
              </w:rPr>
              <w:t>1</w:t>
            </w:r>
          </w:p>
        </w:tc>
        <w:tc>
          <w:tcPr>
            <w:tcW w:type="dxa" w:w="1520"/>
            <w:vMerge w:val="restart"/>
            <w:tcBorders>
              <w:top w:sz="2.391999959945678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5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14"/>
              </w:rPr>
              <w:t>VT</w:t>
            </w:r>
            <w:r>
              <w:rPr>
                <w:rFonts w:ascii="URWPalladioL" w:hAnsi="URWPalladioL" w:eastAsia="URWPalladioL"/>
                <w:b/>
                <w:i w:val="0"/>
                <w:color w:val="000000"/>
                <w:sz w:val="10"/>
              </w:rPr>
              <w:t>2</w:t>
            </w:r>
          </w:p>
        </w:tc>
        <w:tc>
          <w:tcPr>
            <w:tcW w:type="dxa" w:w="1380"/>
            <w:vMerge w:val="restart"/>
            <w:tcBorders>
              <w:top w:sz="2.391999959945678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54" w:after="0"/>
              <w:ind w:left="0" w:right="626" w:firstLine="0"/>
              <w:jc w:val="right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14"/>
              </w:rPr>
              <w:t>VT</w:t>
            </w:r>
            <w:r>
              <w:rPr>
                <w:rFonts w:ascii="URWPalladioL" w:hAnsi="URWPalladioL" w:eastAsia="URWPalladioL"/>
                <w:b/>
                <w:i w:val="0"/>
                <w:color w:val="000000"/>
                <w:sz w:val="10"/>
              </w:rPr>
              <w:t>3</w:t>
            </w:r>
          </w:p>
        </w:tc>
        <w:tc>
          <w:tcPr>
            <w:tcW w:type="dxa" w:w="1400"/>
            <w:vMerge w:val="restart"/>
            <w:tcBorders>
              <w:top w:sz="2.391999959945678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5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14"/>
              </w:rPr>
              <w:t>VT</w:t>
            </w:r>
            <w:r>
              <w:rPr>
                <w:rFonts w:ascii="URWPalladioL" w:hAnsi="URWPalladioL" w:eastAsia="URWPalladioL"/>
                <w:b/>
                <w:i w:val="0"/>
                <w:color w:val="000000"/>
                <w:sz w:val="10"/>
              </w:rPr>
              <w:t>4</w:t>
            </w:r>
          </w:p>
        </w:tc>
        <w:tc>
          <w:tcPr>
            <w:tcW w:type="dxa" w:w="1340"/>
            <w:vMerge w:val="restart"/>
            <w:tcBorders>
              <w:top w:sz="2.391999959945678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5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14"/>
              </w:rPr>
              <w:t>VT</w:t>
            </w:r>
            <w:r>
              <w:rPr>
                <w:rFonts w:ascii="URWPalladioL" w:hAnsi="URWPalladioL" w:eastAsia="URWPalladioL"/>
                <w:b/>
                <w:i w:val="0"/>
                <w:color w:val="000000"/>
                <w:sz w:val="10"/>
              </w:rPr>
              <w:t>5</w:t>
            </w:r>
          </w:p>
        </w:tc>
        <w:tc>
          <w:tcPr>
            <w:tcW w:type="dxa" w:w="1574"/>
            <w:vMerge w:val="restart"/>
            <w:tcBorders>
              <w:top w:sz="2.391999959945678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5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14"/>
              </w:rPr>
              <w:t>VT</w:t>
            </w:r>
            <w:r>
              <w:rPr>
                <w:rFonts w:ascii="URWPalladioL" w:hAnsi="URWPalladioL" w:eastAsia="URWPalladioL"/>
                <w:b/>
                <w:i w:val="0"/>
                <w:color w:val="000000"/>
                <w:sz w:val="10"/>
              </w:rPr>
              <w:t>6</w:t>
            </w:r>
          </w:p>
        </w:tc>
      </w:tr>
      <w:tr>
        <w:trPr>
          <w:trHeight w:hRule="exact" w:val="60"/>
        </w:trPr>
        <w:tc>
          <w:tcPr>
            <w:tcW w:type="dxa" w:w="1860"/>
            <w:vMerge w:val="restart"/>
            <w:tcBorders>
              <w:bottom w:sz="2.391999959945678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14"/>
              </w:rPr>
              <w:t>Instrumental)</w:t>
            </w:r>
          </w:p>
        </w:tc>
        <w:tc>
          <w:tcPr>
            <w:tcW w:type="dxa" w:w="1504"/>
            <w:vMerge/>
            <w:tcBorders>
              <w:top w:sz="2.3919999599456787" w:val="single" w:color="#000000"/>
            </w:tcBorders>
          </w:tcPr>
          <w:p/>
        </w:tc>
        <w:tc>
          <w:tcPr>
            <w:tcW w:type="dxa" w:w="1504"/>
            <w:vMerge/>
            <w:tcBorders>
              <w:top w:sz="2.3919999599456787" w:val="single" w:color="#000000"/>
            </w:tcBorders>
          </w:tcPr>
          <w:p/>
        </w:tc>
        <w:tc>
          <w:tcPr>
            <w:tcW w:type="dxa" w:w="1504"/>
            <w:vMerge/>
            <w:tcBorders>
              <w:top w:sz="2.3919999599456787" w:val="single" w:color="#000000"/>
            </w:tcBorders>
          </w:tcPr>
          <w:p/>
        </w:tc>
        <w:tc>
          <w:tcPr>
            <w:tcW w:type="dxa" w:w="1504"/>
            <w:vMerge/>
            <w:tcBorders>
              <w:top w:sz="2.3919999599456787" w:val="single" w:color="#000000"/>
            </w:tcBorders>
          </w:tcPr>
          <w:p/>
        </w:tc>
        <w:tc>
          <w:tcPr>
            <w:tcW w:type="dxa" w:w="1504"/>
            <w:vMerge/>
            <w:tcBorders>
              <w:top w:sz="2.3919999599456787" w:val="single" w:color="#000000"/>
            </w:tcBorders>
          </w:tcPr>
          <w:p/>
        </w:tc>
        <w:tc>
          <w:tcPr>
            <w:tcW w:type="dxa" w:w="1504"/>
            <w:vMerge/>
            <w:tcBorders>
              <w:top w:sz="2.3919999599456787" w:val="single" w:color="#000000"/>
            </w:tcBorders>
          </w:tcPr>
          <w:p/>
        </w:tc>
      </w:tr>
      <w:tr>
        <w:trPr>
          <w:trHeight w:hRule="exact" w:val="208"/>
        </w:trPr>
        <w:tc>
          <w:tcPr>
            <w:tcW w:type="dxa" w:w="1504"/>
            <w:vMerge/>
            <w:tcBorders>
              <w:bottom w:sz="2.3919999599456787" w:val="single" w:color="#000000"/>
            </w:tcBorders>
          </w:tcPr>
          <w:p/>
        </w:tc>
        <w:tc>
          <w:tcPr>
            <w:tcW w:type="dxa" w:w="1408"/>
            <w:tcBorders>
              <w:bottom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14"/>
              </w:rPr>
              <w:t>CONSERVA-TIVE</w:t>
            </w:r>
          </w:p>
        </w:tc>
        <w:tc>
          <w:tcPr>
            <w:tcW w:type="dxa" w:w="1520"/>
            <w:tcBorders>
              <w:bottom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14"/>
              </w:rPr>
              <w:t>VENTURE-SOME</w:t>
            </w:r>
          </w:p>
        </w:tc>
        <w:tc>
          <w:tcPr>
            <w:tcW w:type="dxa" w:w="1380"/>
            <w:tcBorders>
              <w:bottom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" w:after="0"/>
              <w:ind w:left="230" w:right="0" w:firstLine="0"/>
              <w:jc w:val="left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14"/>
              </w:rPr>
              <w:t>RELIGIOUS</w:t>
            </w:r>
          </w:p>
        </w:tc>
        <w:tc>
          <w:tcPr>
            <w:tcW w:type="dxa" w:w="1400"/>
            <w:tcBorders>
              <w:bottom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14"/>
              </w:rPr>
              <w:t>LIBERAL</w:t>
            </w:r>
          </w:p>
        </w:tc>
        <w:tc>
          <w:tcPr>
            <w:tcW w:type="dxa" w:w="1340"/>
            <w:tcBorders>
              <w:bottom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14"/>
              </w:rPr>
              <w:t>POWER</w:t>
            </w:r>
          </w:p>
        </w:tc>
        <w:tc>
          <w:tcPr>
            <w:tcW w:type="dxa" w:w="1574"/>
            <w:tcBorders>
              <w:bottom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14"/>
              </w:rPr>
              <w:t>PROSOCIAL</w:t>
            </w:r>
          </w:p>
        </w:tc>
      </w:tr>
      <w:tr>
        <w:trPr>
          <w:trHeight w:hRule="exact" w:val="212"/>
        </w:trPr>
        <w:tc>
          <w:tcPr>
            <w:tcW w:type="dxa" w:w="1860"/>
            <w:tcBorders>
              <w:top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62" w:after="0"/>
              <w:ind w:left="128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VP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0"/>
              </w:rPr>
              <w:t>1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—True friendship</w:t>
            </w:r>
          </w:p>
        </w:tc>
        <w:tc>
          <w:tcPr>
            <w:tcW w:type="dxa" w:w="1408"/>
            <w:vMerge w:val="restart"/>
            <w:tcBorders>
              <w:top w:sz="2.391999959945678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82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0.504324</w:t>
            </w:r>
          </w:p>
        </w:tc>
        <w:tc>
          <w:tcPr>
            <w:tcW w:type="dxa" w:w="1520"/>
            <w:vMerge w:val="restart"/>
            <w:tcBorders>
              <w:top w:sz="2.391999959945678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0.670108</w:t>
            </w:r>
          </w:p>
        </w:tc>
        <w:tc>
          <w:tcPr>
            <w:tcW w:type="dxa" w:w="2780"/>
            <w:gridSpan w:val="2"/>
            <w:vMerge w:val="restart"/>
            <w:tcBorders>
              <w:top w:sz="2.391999959945678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88" w:after="0"/>
              <w:ind w:left="0" w:right="462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0.558671</w:t>
            </w:r>
          </w:p>
        </w:tc>
        <w:tc>
          <w:tcPr>
            <w:tcW w:type="dxa" w:w="1340"/>
            <w:vMerge w:val="restart"/>
            <w:tcBorders>
              <w:top w:sz="2.391999959945678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34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0.588818</w:t>
            </w:r>
          </w:p>
        </w:tc>
        <w:tc>
          <w:tcPr>
            <w:tcW w:type="dxa" w:w="1574"/>
            <w:tcBorders>
              <w:top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0.642508</w:t>
            </w:r>
          </w:p>
        </w:tc>
      </w:tr>
      <w:tr>
        <w:trPr>
          <w:trHeight w:hRule="exact" w:val="174"/>
        </w:trPr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8" w:after="0"/>
              <w:ind w:left="128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VP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0"/>
              </w:rPr>
              <w:t>2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—Love</w:t>
            </w:r>
          </w:p>
        </w:tc>
        <w:tc>
          <w:tcPr>
            <w:tcW w:type="dxa" w:w="1504"/>
            <w:vMerge/>
            <w:tcBorders>
              <w:top w:sz="2.3919999599456787" w:val="single" w:color="#000000"/>
            </w:tcBorders>
          </w:tcPr>
          <w:p/>
        </w:tc>
        <w:tc>
          <w:tcPr>
            <w:tcW w:type="dxa" w:w="1504"/>
            <w:vMerge/>
            <w:tcBorders>
              <w:top w:sz="2.3919999599456787" w:val="single" w:color="#000000"/>
            </w:tcBorders>
          </w:tcPr>
          <w:p/>
        </w:tc>
        <w:tc>
          <w:tcPr>
            <w:tcW w:type="dxa" w:w="3008"/>
            <w:gridSpan w:val="2"/>
            <w:vMerge/>
            <w:tcBorders>
              <w:top w:sz="2.3919999599456787" w:val="single" w:color="#000000"/>
            </w:tcBorders>
          </w:tcPr>
          <w:p/>
        </w:tc>
        <w:tc>
          <w:tcPr>
            <w:tcW w:type="dxa" w:w="1504"/>
            <w:vMerge/>
            <w:tcBorders>
              <w:top w:sz="2.3919999599456787" w:val="single" w:color="#000000"/>
            </w:tcBorders>
          </w:tcPr>
          <w:p/>
        </w:tc>
        <w:tc>
          <w:tcPr>
            <w:tcW w:type="dxa" w:w="157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0.646906</w:t>
            </w:r>
          </w:p>
        </w:tc>
      </w:tr>
      <w:tr>
        <w:trPr>
          <w:trHeight w:hRule="exact" w:val="146"/>
        </w:trPr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0" w:after="0"/>
              <w:ind w:left="128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VP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0"/>
              </w:rPr>
              <w:t>3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—Wisdom</w:t>
            </w:r>
          </w:p>
        </w:tc>
        <w:tc>
          <w:tcPr>
            <w:tcW w:type="dxa" w:w="1504"/>
            <w:vMerge/>
            <w:tcBorders>
              <w:top w:sz="2.3919999599456787" w:val="single" w:color="#000000"/>
            </w:tcBorders>
          </w:tcPr>
          <w:p/>
        </w:tc>
        <w:tc>
          <w:tcPr>
            <w:tcW w:type="dxa" w:w="1504"/>
            <w:vMerge/>
            <w:tcBorders>
              <w:top w:sz="2.3919999599456787" w:val="single" w:color="#000000"/>
            </w:tcBorders>
          </w:tcPr>
          <w:p/>
        </w:tc>
        <w:tc>
          <w:tcPr>
            <w:tcW w:type="dxa" w:w="3008"/>
            <w:gridSpan w:val="2"/>
            <w:vMerge/>
            <w:tcBorders>
              <w:top w:sz="2.3919999599456787" w:val="single" w:color="#000000"/>
            </w:tcBorders>
          </w:tcPr>
          <w:p/>
        </w:tc>
        <w:tc>
          <w:tcPr>
            <w:tcW w:type="dxa" w:w="1504"/>
            <w:vMerge/>
            <w:tcBorders>
              <w:top w:sz="2.3919999599456787" w:val="single" w:color="#000000"/>
            </w:tcBorders>
          </w:tcPr>
          <w:p/>
        </w:tc>
        <w:tc>
          <w:tcPr>
            <w:tcW w:type="dxa" w:w="1504"/>
            <w:vMerge/>
            <w:tcBorders/>
          </w:tcPr>
          <w:p/>
        </w:tc>
      </w:tr>
      <w:tr>
        <w:trPr>
          <w:trHeight w:hRule="exact" w:val="172"/>
        </w:trPr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18" w:after="0"/>
              <w:ind w:left="128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VP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0"/>
              </w:rPr>
              <w:t>4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—Helpful</w:t>
            </w:r>
          </w:p>
        </w:tc>
        <w:tc>
          <w:tcPr>
            <w:tcW w:type="dxa" w:w="1504"/>
            <w:vMerge/>
            <w:tcBorders>
              <w:top w:sz="2.3919999599456787" w:val="single" w:color="#000000"/>
            </w:tcBorders>
          </w:tcPr>
          <w:p/>
        </w:tc>
        <w:tc>
          <w:tcPr>
            <w:tcW w:type="dxa" w:w="1504"/>
            <w:vMerge/>
            <w:tcBorders>
              <w:top w:sz="2.3919999599456787" w:val="single" w:color="#000000"/>
            </w:tcBorders>
          </w:tcPr>
          <w:p/>
        </w:tc>
        <w:tc>
          <w:tcPr>
            <w:tcW w:type="dxa" w:w="27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16" w:after="0"/>
              <w:ind w:left="0" w:right="462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0.634111</w:t>
            </w:r>
          </w:p>
        </w:tc>
        <w:tc>
          <w:tcPr>
            <w:tcW w:type="dxa" w:w="1504"/>
            <w:vMerge/>
            <w:tcBorders>
              <w:top w:sz="2.3919999599456787" w:val="single" w:color="#000000"/>
            </w:tcBorders>
          </w:tcPr>
          <w:p/>
        </w:tc>
        <w:tc>
          <w:tcPr>
            <w:tcW w:type="dxa" w:w="157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0.677536</w:t>
            </w:r>
          </w:p>
        </w:tc>
      </w:tr>
      <w:tr>
        <w:trPr>
          <w:trHeight w:hRule="exact" w:val="160"/>
        </w:trPr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4" w:after="0"/>
              <w:ind w:left="128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VP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0"/>
              </w:rPr>
              <w:t>5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—Pleasure</w:t>
            </w:r>
          </w:p>
        </w:tc>
        <w:tc>
          <w:tcPr>
            <w:tcW w:type="dxa" w:w="1504"/>
            <w:vMerge/>
            <w:tcBorders>
              <w:top w:sz="2.3919999599456787" w:val="single" w:color="#000000"/>
            </w:tcBorders>
          </w:tcPr>
          <w:p/>
        </w:tc>
        <w:tc>
          <w:tcPr>
            <w:tcW w:type="dxa" w:w="1504"/>
            <w:vMerge/>
            <w:tcBorders>
              <w:top w:sz="2.3919999599456787" w:val="single" w:color="#000000"/>
            </w:tcBorders>
          </w:tcPr>
          <w:p/>
        </w:tc>
        <w:tc>
          <w:tcPr>
            <w:tcW w:type="dxa" w:w="3008"/>
            <w:gridSpan w:val="2"/>
            <w:vMerge/>
            <w:tcBorders/>
          </w:tcPr>
          <w:p/>
        </w:tc>
        <w:tc>
          <w:tcPr>
            <w:tcW w:type="dxa" w:w="1504"/>
            <w:vMerge/>
            <w:tcBorders>
              <w:top w:sz="2.3919999599456787" w:val="single" w:color="#000000"/>
            </w:tcBorders>
          </w:tcPr>
          <w:p/>
        </w:tc>
        <w:tc>
          <w:tcPr>
            <w:tcW w:type="dxa" w:w="1504"/>
            <w:vMerge/>
            <w:tcBorders/>
          </w:tcPr>
          <w:p/>
        </w:tc>
      </w:tr>
      <w:tr>
        <w:trPr>
          <w:trHeight w:hRule="exact" w:val="160"/>
        </w:trPr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4" w:after="0"/>
              <w:ind w:left="128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VP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0"/>
              </w:rPr>
              <w:t>6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—Equal opportunity</w:t>
            </w:r>
          </w:p>
        </w:tc>
        <w:tc>
          <w:tcPr>
            <w:tcW w:type="dxa" w:w="1504"/>
            <w:vMerge/>
            <w:tcBorders>
              <w:top w:sz="2.3919999599456787" w:val="single" w:color="#000000"/>
            </w:tcBorders>
          </w:tcPr>
          <w:p/>
        </w:tc>
        <w:tc>
          <w:tcPr>
            <w:tcW w:type="dxa" w:w="1504"/>
            <w:vMerge/>
            <w:tcBorders>
              <w:top w:sz="2.3919999599456787" w:val="single" w:color="#000000"/>
            </w:tcBorders>
          </w:tcPr>
          <w:p/>
        </w:tc>
        <w:tc>
          <w:tcPr>
            <w:tcW w:type="dxa" w:w="3008"/>
            <w:gridSpan w:val="2"/>
            <w:vMerge/>
            <w:tcBorders/>
          </w:tcPr>
          <w:p/>
        </w:tc>
        <w:tc>
          <w:tcPr>
            <w:tcW w:type="dxa" w:w="1504"/>
            <w:vMerge/>
            <w:tcBorders>
              <w:top w:sz="2.3919999599456787" w:val="single" w:color="#000000"/>
            </w:tcBorders>
          </w:tcPr>
          <w:p/>
        </w:tc>
        <w:tc>
          <w:tcPr>
            <w:tcW w:type="dxa" w:w="1504"/>
            <w:vMerge/>
            <w:tcBorders/>
          </w:tcPr>
          <w:p/>
        </w:tc>
      </w:tr>
      <w:tr>
        <w:trPr>
          <w:trHeight w:hRule="exact" w:val="148"/>
        </w:trPr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" w:after="0"/>
              <w:ind w:left="128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of all</w:t>
            </w:r>
          </w:p>
        </w:tc>
        <w:tc>
          <w:tcPr>
            <w:tcW w:type="dxa" w:w="1504"/>
            <w:vMerge/>
            <w:tcBorders>
              <w:top w:sz="2.3919999599456787" w:val="single" w:color="#000000"/>
            </w:tcBorders>
          </w:tcPr>
          <w:p/>
        </w:tc>
        <w:tc>
          <w:tcPr>
            <w:tcW w:type="dxa" w:w="1504"/>
            <w:vMerge/>
            <w:tcBorders>
              <w:top w:sz="2.3919999599456787" w:val="single" w:color="#000000"/>
            </w:tcBorders>
          </w:tcPr>
          <w:p/>
        </w:tc>
        <w:tc>
          <w:tcPr>
            <w:tcW w:type="dxa" w:w="3008"/>
            <w:gridSpan w:val="2"/>
            <w:vMerge/>
            <w:tcBorders/>
          </w:tcPr>
          <w:p/>
        </w:tc>
        <w:tc>
          <w:tcPr>
            <w:tcW w:type="dxa" w:w="1504"/>
            <w:vMerge/>
            <w:tcBorders>
              <w:top w:sz="2.3919999599456787" w:val="single" w:color="#000000"/>
            </w:tcBorders>
          </w:tcPr>
          <w:p/>
        </w:tc>
        <w:tc>
          <w:tcPr>
            <w:tcW w:type="dxa" w:w="1504"/>
            <w:vMerge/>
            <w:tcBorders/>
          </w:tcPr>
          <w:p/>
        </w:tc>
      </w:tr>
      <w:tr>
        <w:trPr>
          <w:trHeight w:hRule="exact" w:val="168"/>
        </w:trPr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16" w:after="0"/>
              <w:ind w:left="128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VP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0"/>
              </w:rPr>
              <w:t>7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—Self-respect</w:t>
            </w:r>
          </w:p>
        </w:tc>
        <w:tc>
          <w:tcPr>
            <w:tcW w:type="dxa" w:w="1504"/>
            <w:vMerge/>
            <w:tcBorders>
              <w:top w:sz="2.3919999599456787" w:val="single" w:color="#000000"/>
            </w:tcBorders>
          </w:tcPr>
          <w:p/>
        </w:tc>
        <w:tc>
          <w:tcPr>
            <w:tcW w:type="dxa" w:w="1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13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0.762913</w:t>
            </w:r>
          </w:p>
        </w:tc>
        <w:tc>
          <w:tcPr>
            <w:tcW w:type="dxa" w:w="27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6" w:after="0"/>
              <w:ind w:left="0" w:right="462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0.583479</w:t>
            </w:r>
          </w:p>
        </w:tc>
        <w:tc>
          <w:tcPr>
            <w:tcW w:type="dxa" w:w="1504"/>
            <w:vMerge/>
            <w:tcBorders>
              <w:top w:sz="2.3919999599456787" w:val="single" w:color="#000000"/>
            </w:tcBorders>
          </w:tcPr>
          <w:p/>
        </w:tc>
        <w:tc>
          <w:tcPr>
            <w:tcW w:type="dxa" w:w="1504"/>
            <w:vMerge/>
            <w:tcBorders/>
          </w:tcPr>
          <w:p/>
        </w:tc>
      </w:tr>
      <w:tr>
        <w:trPr>
          <w:trHeight w:hRule="exact" w:val="76"/>
        </w:trPr>
        <w:tc>
          <w:tcPr>
            <w:tcW w:type="dxa" w:w="1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6" w:after="0"/>
              <w:ind w:left="128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VP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0"/>
              </w:rPr>
              <w:t>8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—Social recognition</w:t>
            </w:r>
          </w:p>
        </w:tc>
        <w:tc>
          <w:tcPr>
            <w:tcW w:type="dxa" w:w="1504"/>
            <w:vMerge/>
            <w:tcBorders>
              <w:top w:sz="2.3919999599456787" w:val="single" w:color="#000000"/>
            </w:tcBorders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3008"/>
            <w:gridSpan w:val="2"/>
            <w:vMerge/>
            <w:tcBorders/>
          </w:tcPr>
          <w:p/>
        </w:tc>
        <w:tc>
          <w:tcPr>
            <w:tcW w:type="dxa" w:w="1504"/>
            <w:vMerge/>
            <w:tcBorders>
              <w:top w:sz="2.3919999599456787" w:val="single" w:color="#000000"/>
            </w:tcBorders>
          </w:tcPr>
          <w:p/>
        </w:tc>
        <w:tc>
          <w:tcPr>
            <w:tcW w:type="dxa" w:w="1504"/>
            <w:vMerge/>
            <w:tcBorders/>
          </w:tcPr>
          <w:p/>
        </w:tc>
      </w:tr>
      <w:tr>
        <w:trPr>
          <w:trHeight w:hRule="exact" w:val="84"/>
        </w:trPr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>
              <w:top w:sz="2.3919999599456787" w:val="single" w:color="#000000"/>
            </w:tcBorders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27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90" w:after="0"/>
              <w:ind w:left="0" w:right="462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0.532125</w:t>
            </w:r>
          </w:p>
        </w:tc>
        <w:tc>
          <w:tcPr>
            <w:tcW w:type="dxa" w:w="1504"/>
            <w:vMerge/>
            <w:tcBorders>
              <w:top w:sz="2.3919999599456787" w:val="single" w:color="#000000"/>
            </w:tcBorders>
          </w:tcPr>
          <w:p/>
        </w:tc>
        <w:tc>
          <w:tcPr>
            <w:tcW w:type="dxa" w:w="1504"/>
            <w:vMerge/>
            <w:tcBorders/>
          </w:tcPr>
          <w:p/>
        </w:tc>
      </w:tr>
      <w:tr>
        <w:trPr>
          <w:trHeight w:hRule="exact" w:val="158"/>
        </w:trPr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6" w:after="0"/>
              <w:ind w:left="128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VP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0"/>
              </w:rPr>
              <w:t>9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—World of beauty</w:t>
            </w:r>
          </w:p>
        </w:tc>
        <w:tc>
          <w:tcPr>
            <w:tcW w:type="dxa" w:w="1504"/>
            <w:vMerge/>
            <w:tcBorders>
              <w:top w:sz="2.3919999599456787" w:val="single" w:color="#000000"/>
            </w:tcBorders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3008"/>
            <w:gridSpan w:val="2"/>
            <w:vMerge/>
            <w:tcBorders/>
          </w:tcPr>
          <w:p/>
        </w:tc>
        <w:tc>
          <w:tcPr>
            <w:tcW w:type="dxa" w:w="1504"/>
            <w:vMerge/>
            <w:tcBorders>
              <w:top w:sz="2.3919999599456787" w:val="single" w:color="#000000"/>
            </w:tcBorders>
          </w:tcPr>
          <w:p/>
        </w:tc>
        <w:tc>
          <w:tcPr>
            <w:tcW w:type="dxa" w:w="1504"/>
            <w:vMerge/>
            <w:tcBorders/>
          </w:tcPr>
          <w:p/>
        </w:tc>
      </w:tr>
      <w:tr>
        <w:trPr>
          <w:trHeight w:hRule="exact" w:val="160"/>
        </w:trPr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8" w:after="0"/>
              <w:ind w:left="128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VP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0"/>
              </w:rPr>
              <w:t>10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—Freedom</w:t>
            </w:r>
          </w:p>
        </w:tc>
        <w:tc>
          <w:tcPr>
            <w:tcW w:type="dxa" w:w="1504"/>
            <w:vMerge/>
            <w:tcBorders>
              <w:top w:sz="2.3919999599456787" w:val="single" w:color="#000000"/>
            </w:tcBorders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27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" w:after="0"/>
              <w:ind w:left="0" w:right="462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0.584544</w:t>
            </w:r>
          </w:p>
        </w:tc>
        <w:tc>
          <w:tcPr>
            <w:tcW w:type="dxa" w:w="1504"/>
            <w:vMerge/>
            <w:tcBorders>
              <w:top w:sz="2.3919999599456787" w:val="single" w:color="#000000"/>
            </w:tcBorders>
          </w:tcPr>
          <w:p/>
        </w:tc>
        <w:tc>
          <w:tcPr>
            <w:tcW w:type="dxa" w:w="1504"/>
            <w:vMerge/>
            <w:tcBorders/>
          </w:tcPr>
          <w:p/>
        </w:tc>
      </w:tr>
      <w:tr>
        <w:trPr>
          <w:trHeight w:hRule="exact" w:val="76"/>
        </w:trPr>
        <w:tc>
          <w:tcPr>
            <w:tcW w:type="dxa" w:w="1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6" w:after="0"/>
              <w:ind w:left="128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VP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0"/>
              </w:rPr>
              <w:t>11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—Happiness</w:t>
            </w:r>
          </w:p>
        </w:tc>
        <w:tc>
          <w:tcPr>
            <w:tcW w:type="dxa" w:w="1504"/>
            <w:vMerge/>
            <w:tcBorders>
              <w:top w:sz="2.3919999599456787" w:val="single" w:color="#000000"/>
            </w:tcBorders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3008"/>
            <w:gridSpan w:val="2"/>
            <w:vMerge/>
            <w:tcBorders/>
          </w:tcPr>
          <w:p/>
        </w:tc>
        <w:tc>
          <w:tcPr>
            <w:tcW w:type="dxa" w:w="1504"/>
            <w:vMerge/>
            <w:tcBorders>
              <w:top w:sz="2.3919999599456787" w:val="single" w:color="#000000"/>
            </w:tcBorders>
          </w:tcPr>
          <w:p/>
        </w:tc>
        <w:tc>
          <w:tcPr>
            <w:tcW w:type="dxa" w:w="1504"/>
            <w:vMerge/>
            <w:tcBorders/>
          </w:tcPr>
          <w:p/>
        </w:tc>
      </w:tr>
      <w:tr>
        <w:trPr>
          <w:trHeight w:hRule="exact" w:val="84"/>
        </w:trPr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>
              <w:top w:sz="2.3919999599456787" w:val="single" w:color="#000000"/>
            </w:tcBorders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27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90" w:after="0"/>
              <w:ind w:left="372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0.848416</w:t>
            </w:r>
          </w:p>
        </w:tc>
        <w:tc>
          <w:tcPr>
            <w:tcW w:type="dxa" w:w="1504"/>
            <w:vMerge/>
            <w:tcBorders>
              <w:top w:sz="2.3919999599456787" w:val="single" w:color="#000000"/>
            </w:tcBorders>
          </w:tcPr>
          <w:p/>
        </w:tc>
        <w:tc>
          <w:tcPr>
            <w:tcW w:type="dxa" w:w="1504"/>
            <w:vMerge/>
            <w:tcBorders/>
          </w:tcPr>
          <w:p/>
        </w:tc>
      </w:tr>
      <w:tr>
        <w:trPr>
          <w:trHeight w:hRule="exact" w:val="158"/>
        </w:trPr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6" w:after="0"/>
              <w:ind w:left="128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VP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0"/>
              </w:rPr>
              <w:t>12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—Eternal life</w:t>
            </w:r>
          </w:p>
        </w:tc>
        <w:tc>
          <w:tcPr>
            <w:tcW w:type="dxa" w:w="1504"/>
            <w:vMerge/>
            <w:tcBorders>
              <w:top w:sz="2.3919999599456787" w:val="single" w:color="#000000"/>
            </w:tcBorders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3008"/>
            <w:gridSpan w:val="2"/>
            <w:vMerge/>
            <w:tcBorders/>
          </w:tcPr>
          <w:p/>
        </w:tc>
        <w:tc>
          <w:tcPr>
            <w:tcW w:type="dxa" w:w="1504"/>
            <w:vMerge/>
            <w:tcBorders>
              <w:top w:sz="2.3919999599456787" w:val="single" w:color="#000000"/>
            </w:tcBorders>
          </w:tcPr>
          <w:p/>
        </w:tc>
        <w:tc>
          <w:tcPr>
            <w:tcW w:type="dxa" w:w="1504"/>
            <w:vMerge/>
            <w:tcBorders/>
          </w:tcPr>
          <w:p/>
        </w:tc>
      </w:tr>
      <w:tr>
        <w:trPr>
          <w:trHeight w:hRule="exact" w:val="160"/>
        </w:trPr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8" w:after="0"/>
              <w:ind w:left="128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VP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0"/>
              </w:rPr>
              <w:t>13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—Inner harmony</w:t>
            </w:r>
          </w:p>
        </w:tc>
        <w:tc>
          <w:tcPr>
            <w:tcW w:type="dxa" w:w="1504"/>
            <w:vMerge/>
            <w:tcBorders>
              <w:top w:sz="2.3919999599456787" w:val="single" w:color="#000000"/>
            </w:tcBorders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27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" w:after="0"/>
              <w:ind w:left="372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0.502199</w:t>
            </w:r>
          </w:p>
        </w:tc>
        <w:tc>
          <w:tcPr>
            <w:tcW w:type="dxa" w:w="1504"/>
            <w:vMerge/>
            <w:tcBorders>
              <w:top w:sz="2.3919999599456787" w:val="single" w:color="#000000"/>
            </w:tcBorders>
          </w:tcPr>
          <w:p/>
        </w:tc>
        <w:tc>
          <w:tcPr>
            <w:tcW w:type="dxa" w:w="1504"/>
            <w:vMerge/>
            <w:tcBorders/>
          </w:tcPr>
          <w:p/>
        </w:tc>
      </w:tr>
      <w:tr>
        <w:trPr>
          <w:trHeight w:hRule="exact" w:val="160"/>
        </w:trPr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6" w:after="0"/>
              <w:ind w:left="128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VP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0"/>
              </w:rPr>
              <w:t>14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—Exciting life</w:t>
            </w:r>
          </w:p>
        </w:tc>
        <w:tc>
          <w:tcPr>
            <w:tcW w:type="dxa" w:w="1504"/>
            <w:vMerge/>
            <w:tcBorders>
              <w:top w:sz="2.3919999599456787" w:val="single" w:color="#000000"/>
            </w:tcBorders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3008"/>
            <w:gridSpan w:val="2"/>
            <w:vMerge/>
            <w:tcBorders/>
          </w:tcPr>
          <w:p/>
        </w:tc>
        <w:tc>
          <w:tcPr>
            <w:tcW w:type="dxa" w:w="1504"/>
            <w:vMerge/>
            <w:tcBorders>
              <w:top w:sz="2.3919999599456787" w:val="single" w:color="#000000"/>
            </w:tcBorders>
          </w:tcPr>
          <w:p/>
        </w:tc>
        <w:tc>
          <w:tcPr>
            <w:tcW w:type="dxa" w:w="150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50" w:lineRule="exact" w:before="0" w:after="10"/>
        <w:ind w:left="124" w:right="9216" w:firstLine="4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14"/>
        </w:rPr>
        <w:t>VP</w:t>
      </w:r>
      <w:r>
        <w:rPr>
          <w:rFonts w:ascii="URWPalladioL" w:hAnsi="URWPalladioL" w:eastAsia="URWPalladioL"/>
          <w:b w:val="0"/>
          <w:i w:val="0"/>
          <w:color w:val="000000"/>
          <w:sz w:val="10"/>
        </w:rPr>
        <w:t>15</w:t>
      </w:r>
      <w:r>
        <w:rPr>
          <w:rFonts w:ascii="URWPalladioL" w:hAnsi="URWPalladioL" w:eastAsia="URWPalladioL"/>
          <w:b w:val="0"/>
          <w:i w:val="0"/>
          <w:color w:val="000000"/>
          <w:sz w:val="14"/>
        </w:rPr>
        <w:t xml:space="preserve">—Economic </w:t>
      </w:r>
      <w:r>
        <w:br/>
      </w:r>
      <w:r>
        <w:rPr>
          <w:rFonts w:ascii="URWPalladioL" w:hAnsi="URWPalladioL" w:eastAsia="URWPalladioL"/>
          <w:b w:val="0"/>
          <w:i w:val="0"/>
          <w:color w:val="000000"/>
          <w:sz w:val="14"/>
        </w:rPr>
        <w:t>prosperity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7.99999999999997" w:type="dxa"/>
      </w:tblPr>
      <w:tblGrid>
        <w:gridCol w:w="3509"/>
        <w:gridCol w:w="3509"/>
        <w:gridCol w:w="3509"/>
      </w:tblGrid>
      <w:tr>
        <w:trPr>
          <w:trHeight w:hRule="exact" w:val="140"/>
        </w:trPr>
        <w:tc>
          <w:tcPr>
            <w:tcW w:type="dxa" w:w="3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0" w:after="0"/>
              <w:ind w:left="8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VP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0"/>
              </w:rPr>
              <w:t>16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—Independent</w:t>
            </w:r>
          </w:p>
        </w:tc>
        <w:tc>
          <w:tcPr>
            <w:tcW w:type="dxa" w:w="4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" w:after="0"/>
              <w:ind w:left="0" w:right="1162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0.542398</w:t>
            </w:r>
          </w:p>
        </w:tc>
        <w:tc>
          <w:tcPr>
            <w:tcW w:type="dxa" w:w="1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68" w:after="0"/>
              <w:ind w:left="0" w:right="260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0.601934</w:t>
            </w:r>
          </w:p>
        </w:tc>
      </w:tr>
      <w:tr>
        <w:trPr>
          <w:trHeight w:hRule="exact" w:val="182"/>
        </w:trPr>
        <w:tc>
          <w:tcPr>
            <w:tcW w:type="dxa" w:w="3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28" w:after="0"/>
              <w:ind w:left="8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VP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0"/>
              </w:rPr>
              <w:t>17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—Responsible</w:t>
            </w:r>
          </w:p>
        </w:tc>
        <w:tc>
          <w:tcPr>
            <w:tcW w:type="dxa" w:w="4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80" w:after="0"/>
              <w:ind w:left="0" w:right="1162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0.585795</w:t>
            </w:r>
          </w:p>
        </w:tc>
        <w:tc>
          <w:tcPr>
            <w:tcW w:type="dxa" w:w="3509"/>
            <w:vMerge/>
            <w:tcBorders/>
          </w:tcPr>
          <w:p/>
        </w:tc>
      </w:tr>
      <w:tr>
        <w:trPr>
          <w:trHeight w:hRule="exact" w:val="138"/>
        </w:trPr>
        <w:tc>
          <w:tcPr>
            <w:tcW w:type="dxa" w:w="3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0" w:after="0"/>
              <w:ind w:left="8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VP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0"/>
              </w:rPr>
              <w:t>18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—Assertive</w:t>
            </w:r>
          </w:p>
        </w:tc>
        <w:tc>
          <w:tcPr>
            <w:tcW w:type="dxa" w:w="3509"/>
            <w:vMerge/>
            <w:tcBorders/>
          </w:tcPr>
          <w:p/>
        </w:tc>
        <w:tc>
          <w:tcPr>
            <w:tcW w:type="dxa" w:w="3509"/>
            <w:vMerge/>
            <w:tcBorders/>
          </w:tcPr>
          <w:p/>
        </w:tc>
      </w:tr>
      <w:tr>
        <w:trPr>
          <w:trHeight w:hRule="exact" w:val="160"/>
        </w:trPr>
        <w:tc>
          <w:tcPr>
            <w:tcW w:type="dxa" w:w="3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12" w:after="0"/>
              <w:ind w:left="8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VP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0"/>
              </w:rPr>
              <w:t>19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—Open minded</w:t>
            </w:r>
          </w:p>
        </w:tc>
        <w:tc>
          <w:tcPr>
            <w:tcW w:type="dxa" w:w="4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2" w:after="0"/>
              <w:ind w:left="0" w:right="1162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0.671969</w:t>
            </w:r>
          </w:p>
        </w:tc>
        <w:tc>
          <w:tcPr>
            <w:tcW w:type="dxa" w:w="3509"/>
            <w:vMerge/>
            <w:tcBorders/>
          </w:tcPr>
          <w:p/>
        </w:tc>
      </w:tr>
      <w:tr>
        <w:trPr>
          <w:trHeight w:hRule="exact" w:val="182"/>
        </w:trPr>
        <w:tc>
          <w:tcPr>
            <w:tcW w:type="dxa" w:w="3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26" w:after="0"/>
              <w:ind w:left="8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VP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0"/>
              </w:rPr>
              <w:t>20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—Self-control</w:t>
            </w:r>
          </w:p>
        </w:tc>
        <w:tc>
          <w:tcPr>
            <w:tcW w:type="dxa" w:w="4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6" w:after="0"/>
              <w:ind w:left="0" w:right="1162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0.540978</w:t>
            </w:r>
          </w:p>
        </w:tc>
        <w:tc>
          <w:tcPr>
            <w:tcW w:type="dxa" w:w="350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50" w:lineRule="exact" w:before="4" w:after="6"/>
        <w:ind w:left="128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14"/>
        </w:rPr>
        <w:t>VP</w:t>
      </w:r>
      <w:r>
        <w:rPr>
          <w:rFonts w:ascii="URWPalladioL" w:hAnsi="URWPalladioL" w:eastAsia="URWPalladioL"/>
          <w:b w:val="0"/>
          <w:i w:val="0"/>
          <w:color w:val="000000"/>
          <w:sz w:val="10"/>
        </w:rPr>
        <w:t>21</w:t>
      </w:r>
      <w:r>
        <w:rPr>
          <w:rFonts w:ascii="URWPalladioL" w:hAnsi="URWPalladioL" w:eastAsia="URWPalladioL"/>
          <w:b w:val="0"/>
          <w:i w:val="0"/>
          <w:color w:val="000000"/>
          <w:sz w:val="14"/>
        </w:rPr>
        <w:t>—Capable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7.99999999999997" w:type="dxa"/>
      </w:tblPr>
      <w:tblGrid>
        <w:gridCol w:w="1754"/>
        <w:gridCol w:w="1754"/>
        <w:gridCol w:w="1754"/>
        <w:gridCol w:w="1754"/>
        <w:gridCol w:w="1754"/>
        <w:gridCol w:w="1754"/>
      </w:tblGrid>
      <w:tr>
        <w:trPr>
          <w:trHeight w:hRule="exact" w:val="138"/>
        </w:trPr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0" w:after="0"/>
              <w:ind w:left="8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VP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0"/>
              </w:rPr>
              <w:t>22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—Faith</w:t>
            </w:r>
          </w:p>
        </w:tc>
        <w:tc>
          <w:tcPr>
            <w:tcW w:type="dxa" w:w="1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6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0.541606</w:t>
            </w:r>
          </w:p>
        </w:tc>
        <w:tc>
          <w:tcPr>
            <w:tcW w:type="dxa" w:w="1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95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0.754728</w:t>
            </w:r>
          </w:p>
        </w:tc>
        <w:tc>
          <w:tcPr>
            <w:tcW w:type="dxa" w:w="1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0.838601</w:t>
            </w:r>
          </w:p>
        </w:tc>
        <w:tc>
          <w:tcPr>
            <w:tcW w:type="dxa" w:w="1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0.483877</w:t>
            </w:r>
          </w:p>
        </w:tc>
        <w:tc>
          <w:tcPr>
            <w:tcW w:type="dxa" w:w="1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2" w:after="0"/>
              <w:ind w:left="458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0.603383</w:t>
            </w:r>
          </w:p>
        </w:tc>
      </w:tr>
      <w:tr>
        <w:trPr>
          <w:trHeight w:hRule="exact" w:val="160"/>
        </w:trPr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0" w:after="0"/>
              <w:ind w:left="8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VP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0"/>
              </w:rPr>
              <w:t>23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—Polite</w:t>
            </w:r>
          </w:p>
        </w:tc>
        <w:tc>
          <w:tcPr>
            <w:tcW w:type="dxa" w:w="1754"/>
            <w:vMerge/>
            <w:tcBorders/>
          </w:tcPr>
          <w:p/>
        </w:tc>
        <w:tc>
          <w:tcPr>
            <w:tcW w:type="dxa" w:w="1754"/>
            <w:vMerge/>
            <w:tcBorders/>
          </w:tcPr>
          <w:p/>
        </w:tc>
        <w:tc>
          <w:tcPr>
            <w:tcW w:type="dxa" w:w="1754"/>
            <w:vMerge/>
            <w:tcBorders/>
          </w:tcPr>
          <w:p/>
        </w:tc>
        <w:tc>
          <w:tcPr>
            <w:tcW w:type="dxa" w:w="1754"/>
            <w:vMerge/>
            <w:tcBorders/>
          </w:tcPr>
          <w:p/>
        </w:tc>
        <w:tc>
          <w:tcPr>
            <w:tcW w:type="dxa" w:w="1754"/>
            <w:vMerge/>
            <w:tcBorders/>
          </w:tcPr>
          <w:p/>
        </w:tc>
      </w:tr>
      <w:tr>
        <w:trPr>
          <w:trHeight w:hRule="exact" w:val="178"/>
        </w:trPr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24" w:after="0"/>
              <w:ind w:left="8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VP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0"/>
              </w:rPr>
              <w:t>24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—Intellectual</w:t>
            </w:r>
          </w:p>
        </w:tc>
        <w:tc>
          <w:tcPr>
            <w:tcW w:type="dxa" w:w="1754"/>
            <w:vMerge/>
            <w:tcBorders/>
          </w:tcPr>
          <w:p/>
        </w:tc>
        <w:tc>
          <w:tcPr>
            <w:tcW w:type="dxa" w:w="1754"/>
            <w:vMerge/>
            <w:tcBorders/>
          </w:tcPr>
          <w:p/>
        </w:tc>
        <w:tc>
          <w:tcPr>
            <w:tcW w:type="dxa" w:w="1754"/>
            <w:vMerge/>
            <w:tcBorders/>
          </w:tcPr>
          <w:p/>
        </w:tc>
        <w:tc>
          <w:tcPr>
            <w:tcW w:type="dxa" w:w="1754"/>
            <w:vMerge/>
            <w:tcBorders/>
          </w:tcPr>
          <w:p/>
        </w:tc>
        <w:tc>
          <w:tcPr>
            <w:tcW w:type="dxa" w:w="1754"/>
            <w:vMerge/>
            <w:tcBorders/>
          </w:tcPr>
          <w:p/>
        </w:tc>
      </w:tr>
      <w:tr>
        <w:trPr>
          <w:trHeight w:hRule="exact" w:val="177"/>
        </w:trPr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6" w:after="0"/>
              <w:ind w:left="8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VP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0"/>
              </w:rPr>
              <w:t>25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—Ambitious</w:t>
            </w:r>
          </w:p>
        </w:tc>
        <w:tc>
          <w:tcPr>
            <w:tcW w:type="dxa" w:w="1754"/>
            <w:vMerge/>
            <w:tcBorders/>
          </w:tcPr>
          <w:p/>
        </w:tc>
        <w:tc>
          <w:tcPr>
            <w:tcW w:type="dxa" w:w="1754"/>
            <w:vMerge/>
            <w:tcBorders/>
          </w:tcPr>
          <w:p/>
        </w:tc>
        <w:tc>
          <w:tcPr>
            <w:tcW w:type="dxa" w:w="1754"/>
            <w:vMerge/>
            <w:tcBorders/>
          </w:tcPr>
          <w:p/>
        </w:tc>
        <w:tc>
          <w:tcPr>
            <w:tcW w:type="dxa" w:w="1754"/>
            <w:vMerge/>
            <w:tcBorders/>
          </w:tcPr>
          <w:p/>
        </w:tc>
        <w:tc>
          <w:tcPr>
            <w:tcW w:type="dxa" w:w="1754"/>
            <w:vMerge/>
            <w:tcBorders/>
          </w:tcPr>
          <w:p/>
        </w:tc>
      </w:tr>
      <w:tr>
        <w:trPr>
          <w:trHeight w:hRule="exact" w:val="143"/>
        </w:trPr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0" w:after="0"/>
              <w:ind w:left="8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VP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0"/>
              </w:rPr>
              <w:t>26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—Authoritative</w:t>
            </w:r>
          </w:p>
        </w:tc>
        <w:tc>
          <w:tcPr>
            <w:tcW w:type="dxa" w:w="1754"/>
            <w:vMerge/>
            <w:tcBorders/>
          </w:tcPr>
          <w:p/>
        </w:tc>
        <w:tc>
          <w:tcPr>
            <w:tcW w:type="dxa" w:w="1754"/>
            <w:vMerge/>
            <w:tcBorders/>
          </w:tcPr>
          <w:p/>
        </w:tc>
        <w:tc>
          <w:tcPr>
            <w:tcW w:type="dxa" w:w="1754"/>
            <w:vMerge/>
            <w:tcBorders/>
          </w:tcPr>
          <w:p/>
        </w:tc>
        <w:tc>
          <w:tcPr>
            <w:tcW w:type="dxa" w:w="1754"/>
            <w:vMerge/>
            <w:tcBorders/>
          </w:tcPr>
          <w:p/>
        </w:tc>
        <w:tc>
          <w:tcPr>
            <w:tcW w:type="dxa" w:w="1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458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0.660592</w:t>
            </w:r>
          </w:p>
        </w:tc>
      </w:tr>
      <w:tr>
        <w:trPr>
          <w:trHeight w:hRule="exact" w:val="154"/>
        </w:trPr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" w:after="0"/>
              <w:ind w:left="74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(socially powered)</w:t>
            </w:r>
          </w:p>
        </w:tc>
        <w:tc>
          <w:tcPr>
            <w:tcW w:type="dxa" w:w="1754"/>
            <w:vMerge/>
            <w:tcBorders/>
          </w:tcPr>
          <w:p/>
        </w:tc>
        <w:tc>
          <w:tcPr>
            <w:tcW w:type="dxa" w:w="1754"/>
            <w:vMerge/>
            <w:tcBorders/>
          </w:tcPr>
          <w:p/>
        </w:tc>
        <w:tc>
          <w:tcPr>
            <w:tcW w:type="dxa" w:w="1754"/>
            <w:vMerge/>
            <w:tcBorders/>
          </w:tcPr>
          <w:p/>
        </w:tc>
        <w:tc>
          <w:tcPr>
            <w:tcW w:type="dxa" w:w="1754"/>
            <w:vMerge/>
            <w:tcBorders/>
          </w:tcPr>
          <w:p/>
        </w:tc>
        <w:tc>
          <w:tcPr>
            <w:tcW w:type="dxa" w:w="1754"/>
            <w:vMerge/>
            <w:tcBorders/>
          </w:tcPr>
          <w:p/>
        </w:tc>
      </w:tr>
      <w:tr>
        <w:trPr>
          <w:trHeight w:hRule="exact" w:val="148"/>
        </w:trPr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0" w:after="0"/>
              <w:ind w:left="8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VP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0"/>
              </w:rPr>
              <w:t>27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—Enjoying life</w:t>
            </w:r>
          </w:p>
        </w:tc>
        <w:tc>
          <w:tcPr>
            <w:tcW w:type="dxa" w:w="1754"/>
            <w:vMerge/>
            <w:tcBorders/>
          </w:tcPr>
          <w:p/>
        </w:tc>
        <w:tc>
          <w:tcPr>
            <w:tcW w:type="dxa" w:w="1754"/>
            <w:vMerge/>
            <w:tcBorders/>
          </w:tcPr>
          <w:p/>
        </w:tc>
        <w:tc>
          <w:tcPr>
            <w:tcW w:type="dxa" w:w="1754"/>
            <w:vMerge/>
            <w:tcBorders/>
          </w:tcPr>
          <w:p/>
        </w:tc>
        <w:tc>
          <w:tcPr>
            <w:tcW w:type="dxa" w:w="1754"/>
            <w:vMerge/>
            <w:tcBorders/>
          </w:tcPr>
          <w:p/>
        </w:tc>
        <w:tc>
          <w:tcPr>
            <w:tcW w:type="dxa" w:w="1754"/>
            <w:vMerge/>
            <w:tcBorders/>
          </w:tcPr>
          <w:p/>
        </w:tc>
      </w:tr>
      <w:tr>
        <w:trPr>
          <w:trHeight w:hRule="exact" w:val="176"/>
        </w:trPr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22" w:after="0"/>
              <w:ind w:left="8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VP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0"/>
              </w:rPr>
              <w:t>28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—Courageous</w:t>
            </w:r>
          </w:p>
        </w:tc>
        <w:tc>
          <w:tcPr>
            <w:tcW w:type="dxa" w:w="1754"/>
            <w:vMerge/>
            <w:tcBorders/>
          </w:tcPr>
          <w:p/>
        </w:tc>
        <w:tc>
          <w:tcPr>
            <w:tcW w:type="dxa" w:w="1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0.715958</w:t>
            </w:r>
          </w:p>
        </w:tc>
        <w:tc>
          <w:tcPr>
            <w:tcW w:type="dxa" w:w="1754"/>
            <w:vMerge/>
            <w:tcBorders/>
          </w:tcPr>
          <w:p/>
        </w:tc>
        <w:tc>
          <w:tcPr>
            <w:tcW w:type="dxa" w:w="1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8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0.583571</w:t>
            </w:r>
          </w:p>
        </w:tc>
        <w:tc>
          <w:tcPr>
            <w:tcW w:type="dxa" w:w="1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40" w:after="0"/>
              <w:ind w:left="458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0.543216</w:t>
            </w:r>
          </w:p>
        </w:tc>
      </w:tr>
      <w:tr>
        <w:trPr>
          <w:trHeight w:hRule="exact" w:val="160"/>
        </w:trPr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4" w:after="0"/>
              <w:ind w:left="8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VP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0"/>
              </w:rPr>
              <w:t>29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—Creative</w:t>
            </w:r>
          </w:p>
        </w:tc>
        <w:tc>
          <w:tcPr>
            <w:tcW w:type="dxa" w:w="1754"/>
            <w:vMerge/>
            <w:tcBorders/>
          </w:tcPr>
          <w:p/>
        </w:tc>
        <w:tc>
          <w:tcPr>
            <w:tcW w:type="dxa" w:w="1754"/>
            <w:vMerge/>
            <w:tcBorders/>
          </w:tcPr>
          <w:p/>
        </w:tc>
        <w:tc>
          <w:tcPr>
            <w:tcW w:type="dxa" w:w="1754"/>
            <w:vMerge/>
            <w:tcBorders/>
          </w:tcPr>
          <w:p/>
        </w:tc>
        <w:tc>
          <w:tcPr>
            <w:tcW w:type="dxa" w:w="1754"/>
            <w:vMerge/>
            <w:tcBorders/>
          </w:tcPr>
          <w:p/>
        </w:tc>
        <w:tc>
          <w:tcPr>
            <w:tcW w:type="dxa" w:w="1754"/>
            <w:vMerge/>
            <w:tcBorders/>
          </w:tcPr>
          <w:p/>
        </w:tc>
      </w:tr>
      <w:tr>
        <w:trPr>
          <w:trHeight w:hRule="exact" w:val="160"/>
        </w:trPr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4" w:after="0"/>
              <w:ind w:left="8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VP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0"/>
              </w:rPr>
              <w:t>30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—Obedient</w:t>
            </w:r>
          </w:p>
        </w:tc>
        <w:tc>
          <w:tcPr>
            <w:tcW w:type="dxa" w:w="1754"/>
            <w:vMerge/>
            <w:tcBorders/>
          </w:tcPr>
          <w:p/>
        </w:tc>
        <w:tc>
          <w:tcPr>
            <w:tcW w:type="dxa" w:w="1754"/>
            <w:vMerge/>
            <w:tcBorders/>
          </w:tcPr>
          <w:p/>
        </w:tc>
        <w:tc>
          <w:tcPr>
            <w:tcW w:type="dxa" w:w="1754"/>
            <w:vMerge/>
            <w:tcBorders/>
          </w:tcPr>
          <w:p/>
        </w:tc>
        <w:tc>
          <w:tcPr>
            <w:tcW w:type="dxa" w:w="1754"/>
            <w:vMerge/>
            <w:tcBorders/>
          </w:tcPr>
          <w:p/>
        </w:tc>
        <w:tc>
          <w:tcPr>
            <w:tcW w:type="dxa" w:w="175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8" w:lineRule="exact" w:before="4" w:after="4"/>
        <w:ind w:left="128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14"/>
        </w:rPr>
        <w:t>VP</w:t>
      </w:r>
      <w:r>
        <w:rPr>
          <w:rFonts w:ascii="URWPalladioL" w:hAnsi="URWPalladioL" w:eastAsia="URWPalladioL"/>
          <w:b w:val="0"/>
          <w:i w:val="0"/>
          <w:color w:val="000000"/>
          <w:sz w:val="10"/>
        </w:rPr>
        <w:t>31</w:t>
      </w:r>
      <w:r>
        <w:rPr>
          <w:rFonts w:ascii="URWPalladioL" w:hAnsi="URWPalladioL" w:eastAsia="URWPalladioL"/>
          <w:b w:val="0"/>
          <w:i w:val="0"/>
          <w:color w:val="000000"/>
          <w:sz w:val="14"/>
        </w:rPr>
        <w:t>—Clean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7.99999999999997" w:type="dxa"/>
      </w:tblPr>
      <w:tblGrid>
        <w:gridCol w:w="5263"/>
        <w:gridCol w:w="5263"/>
      </w:tblGrid>
      <w:tr>
        <w:trPr>
          <w:trHeight w:hRule="exact" w:val="640"/>
        </w:trPr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0" w:after="0"/>
              <w:ind w:left="80" w:right="144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VP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0"/>
              </w:rPr>
              <w:t>32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 xml:space="preserve">—Respect for parents 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 xml:space="preserve">and the elderly 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VP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0"/>
              </w:rPr>
              <w:t>33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 xml:space="preserve">—National security 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VP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0"/>
              </w:rPr>
              <w:t>34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—Family security</w:t>
            </w:r>
          </w:p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286" w:right="3832" w:firstLine="0"/>
              <w:jc w:val="both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 xml:space="preserve">0.590510 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 xml:space="preserve">0.599107 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0.612122</w:t>
            </w:r>
          </w:p>
        </w:tc>
      </w:tr>
    </w:tbl>
    <w:p>
      <w:pPr>
        <w:autoSpaceDN w:val="0"/>
        <w:autoSpaceDE w:val="0"/>
        <w:widowControl/>
        <w:spacing w:line="150" w:lineRule="exact" w:before="4" w:after="10"/>
        <w:ind w:left="128" w:right="9216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14"/>
        </w:rPr>
        <w:t>VP</w:t>
      </w:r>
      <w:r>
        <w:rPr>
          <w:rFonts w:ascii="URWPalladioL" w:hAnsi="URWPalladioL" w:eastAsia="URWPalladioL"/>
          <w:b w:val="0"/>
          <w:i w:val="0"/>
          <w:color w:val="000000"/>
          <w:sz w:val="10"/>
        </w:rPr>
        <w:t>35</w:t>
      </w:r>
      <w:r>
        <w:rPr>
          <w:rFonts w:ascii="URWPalladioL" w:hAnsi="URWPalladioL" w:eastAsia="URWPalladioL"/>
          <w:b w:val="0"/>
          <w:i w:val="0"/>
          <w:color w:val="000000"/>
          <w:sz w:val="14"/>
        </w:rPr>
        <w:t xml:space="preserve">—Acceptance, </w:t>
      </w:r>
      <w:r>
        <w:br/>
      </w:r>
      <w:r>
        <w:rPr>
          <w:rFonts w:ascii="URWPalladioL" w:hAnsi="URWPalladioL" w:eastAsia="URWPalladioL"/>
          <w:b w:val="0"/>
          <w:i w:val="0"/>
          <w:color w:val="000000"/>
          <w:sz w:val="14"/>
        </w:rPr>
        <w:t>belongingness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63"/>
        <w:gridCol w:w="5263"/>
      </w:tblGrid>
      <w:tr>
        <w:trPr>
          <w:trHeight w:hRule="exact" w:val="200"/>
        </w:trPr>
        <w:tc>
          <w:tcPr>
            <w:tcW w:type="dxa" w:w="1648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10" w:after="0"/>
              <w:ind w:left="128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VP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0"/>
              </w:rPr>
              <w:t>36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—Health</w:t>
            </w:r>
          </w:p>
        </w:tc>
        <w:tc>
          <w:tcPr>
            <w:tcW w:type="dxa" w:w="8834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0" w:after="0"/>
              <w:ind w:left="666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0.632394</w:t>
            </w:r>
          </w:p>
        </w:tc>
      </w:tr>
    </w:tbl>
    <w:p>
      <w:pPr>
        <w:autoSpaceDN w:val="0"/>
        <w:autoSpaceDE w:val="0"/>
        <w:widowControl/>
        <w:spacing w:line="250" w:lineRule="exact" w:before="302" w:after="0"/>
        <w:ind w:left="2634" w:right="20" w:firstLine="424"/>
        <w:jc w:val="both"/>
      </w:pP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When we obtained factor loads, we could use them in Formulas (8) and (9) and assign 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the closest value type to each respondent.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This assignment had two consequences.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The first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and the most important is that we derived the second variable (second factor) needed for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 model calculation as we declared before.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second consequence is we can recognize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 frequencies of value types in the population of the Czech Republic.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These frequencies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are shown in Table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 xml:space="preserve"> 5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 and the key message it brings us is there exists quite a big disbalance 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among the numbers assigned to value types.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We can highlight that there are two types that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represent over 80% of population: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conservative and prosocial.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Other types have got much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lower frequencies while the lowest one is the power type (less than 1% of the population).</w:t>
      </w:r>
    </w:p>
    <w:p>
      <w:pPr>
        <w:autoSpaceDN w:val="0"/>
        <w:autoSpaceDE w:val="0"/>
        <w:widowControl/>
        <w:spacing w:line="182" w:lineRule="exact" w:before="308" w:after="146"/>
        <w:ind w:left="0" w:right="0" w:firstLine="0"/>
        <w:jc w:val="center"/>
      </w:pPr>
      <w:r>
        <w:rPr>
          <w:rFonts w:ascii="URWPalladioL" w:hAnsi="URWPalladioL" w:eastAsia="URWPalladioL"/>
          <w:b/>
          <w:i w:val="0"/>
          <w:color w:val="000000"/>
          <w:sz w:val="18"/>
        </w:rPr>
        <w:t>Table 5.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Distribution of value types among the Czech population.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26.0" w:type="dxa"/>
      </w:tblPr>
      <w:tblGrid>
        <w:gridCol w:w="2631"/>
        <w:gridCol w:w="2631"/>
        <w:gridCol w:w="2631"/>
        <w:gridCol w:w="2631"/>
      </w:tblGrid>
      <w:tr>
        <w:trPr>
          <w:trHeight w:hRule="exact" w:val="318"/>
        </w:trPr>
        <w:tc>
          <w:tcPr>
            <w:tcW w:type="dxa" w:w="2222"/>
            <w:tcBorders>
              <w:top w:sz="6.375999927520752" w:val="single" w:color="#000000"/>
              <w:bottom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530" w:right="0" w:firstLine="0"/>
              <w:jc w:val="left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18"/>
              </w:rPr>
              <w:t>Value Type</w:t>
            </w:r>
          </w:p>
        </w:tc>
        <w:tc>
          <w:tcPr>
            <w:tcW w:type="dxa" w:w="1620"/>
            <w:tcBorders>
              <w:top w:sz="6.375999927520752" w:val="single" w:color="#000000"/>
              <w:bottom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6" w:after="0"/>
              <w:ind w:left="0" w:right="844" w:firstLine="0"/>
              <w:jc w:val="right"/>
            </w:pPr>
            <w:r>
              <w:rPr>
                <w:rFonts w:ascii="URWPalladioL" w:hAnsi="URWPalladioL" w:eastAsia="URWPalladioL"/>
                <w:b/>
                <w:i/>
                <w:color w:val="000000"/>
                <w:sz w:val="18"/>
              </w:rPr>
              <w:t>n</w:t>
            </w:r>
          </w:p>
        </w:tc>
        <w:tc>
          <w:tcPr>
            <w:tcW w:type="dxa" w:w="2100"/>
            <w:tcBorders>
              <w:top w:sz="6.375999927520752" w:val="single" w:color="#000000"/>
              <w:bottom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/>
                <w:i/>
                <w:color w:val="000000"/>
                <w:sz w:val="18"/>
              </w:rPr>
              <w:t>f</w:t>
            </w:r>
          </w:p>
        </w:tc>
        <w:tc>
          <w:tcPr>
            <w:tcW w:type="dxa" w:w="1914"/>
            <w:tcBorders>
              <w:top w:sz="6.375999927520752" w:val="single" w:color="#000000"/>
              <w:bottom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/>
                <w:i/>
                <w:color w:val="000000"/>
                <w:sz w:val="18"/>
              </w:rPr>
              <w:t>c</w:t>
            </w:r>
          </w:p>
        </w:tc>
      </w:tr>
      <w:tr>
        <w:trPr>
          <w:trHeight w:hRule="exact" w:val="270"/>
        </w:trPr>
        <w:tc>
          <w:tcPr>
            <w:tcW w:type="dxa" w:w="2222"/>
            <w:tcBorders>
              <w:top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30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CONSERVATIVE</w:t>
            </w:r>
          </w:p>
        </w:tc>
        <w:tc>
          <w:tcPr>
            <w:tcW w:type="dxa" w:w="1620"/>
            <w:tcBorders>
              <w:top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716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1339</w:t>
            </w:r>
          </w:p>
        </w:tc>
        <w:tc>
          <w:tcPr>
            <w:tcW w:type="dxa" w:w="2100"/>
            <w:tcBorders>
              <w:top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35.54%</w:t>
            </w:r>
          </w:p>
        </w:tc>
        <w:tc>
          <w:tcPr>
            <w:tcW w:type="dxa" w:w="1914"/>
            <w:tcBorders>
              <w:top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1339</w:t>
            </w:r>
          </w:p>
        </w:tc>
      </w:tr>
      <w:tr>
        <w:trPr>
          <w:trHeight w:hRule="exact" w:val="220"/>
        </w:trPr>
        <w:tc>
          <w:tcPr>
            <w:tcW w:type="dxa" w:w="22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296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VENTURESOME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760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199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5.28%</w:t>
            </w:r>
          </w:p>
        </w:tc>
        <w:tc>
          <w:tcPr>
            <w:tcW w:type="dxa" w:w="19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1538</w:t>
            </w:r>
          </w:p>
        </w:tc>
      </w:tr>
      <w:tr>
        <w:trPr>
          <w:trHeight w:hRule="exact" w:val="220"/>
        </w:trPr>
        <w:tc>
          <w:tcPr>
            <w:tcW w:type="dxa" w:w="22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502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RELIGIOUS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760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308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8.17%</w:t>
            </w:r>
          </w:p>
        </w:tc>
        <w:tc>
          <w:tcPr>
            <w:tcW w:type="dxa" w:w="19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1846</w:t>
            </w:r>
          </w:p>
        </w:tc>
      </w:tr>
      <w:tr>
        <w:trPr>
          <w:trHeight w:hRule="exact" w:val="220"/>
        </w:trPr>
        <w:tc>
          <w:tcPr>
            <w:tcW w:type="dxa" w:w="22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856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LIBERAL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760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136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3.61%</w:t>
            </w:r>
          </w:p>
        </w:tc>
        <w:tc>
          <w:tcPr>
            <w:tcW w:type="dxa" w:w="19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1982</w:t>
            </w:r>
          </w:p>
        </w:tc>
      </w:tr>
      <w:tr>
        <w:trPr>
          <w:trHeight w:hRule="exact" w:val="220"/>
        </w:trPr>
        <w:tc>
          <w:tcPr>
            <w:tcW w:type="dxa" w:w="22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906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POWER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804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33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0.88%</w:t>
            </w:r>
          </w:p>
        </w:tc>
        <w:tc>
          <w:tcPr>
            <w:tcW w:type="dxa" w:w="19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2015</w:t>
            </w:r>
          </w:p>
        </w:tc>
      </w:tr>
      <w:tr>
        <w:trPr>
          <w:trHeight w:hRule="exact" w:val="262"/>
        </w:trPr>
        <w:tc>
          <w:tcPr>
            <w:tcW w:type="dxa" w:w="2222"/>
            <w:tcBorders>
              <w:bottom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466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PROSOCIAL</w:t>
            </w:r>
          </w:p>
        </w:tc>
        <w:tc>
          <w:tcPr>
            <w:tcW w:type="dxa" w:w="1620"/>
            <w:tcBorders>
              <w:bottom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716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1753</w:t>
            </w:r>
          </w:p>
        </w:tc>
        <w:tc>
          <w:tcPr>
            <w:tcW w:type="dxa" w:w="2100"/>
            <w:tcBorders>
              <w:bottom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46.52%</w:t>
            </w:r>
          </w:p>
        </w:tc>
        <w:tc>
          <w:tcPr>
            <w:tcW w:type="dxa" w:w="1914"/>
            <w:tcBorders>
              <w:bottom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3768</w:t>
            </w:r>
          </w:p>
        </w:tc>
      </w:tr>
      <w:tr>
        <w:trPr>
          <w:trHeight w:hRule="exact" w:val="300"/>
        </w:trPr>
        <w:tc>
          <w:tcPr>
            <w:tcW w:type="dxa" w:w="2222"/>
            <w:tcBorders>
              <w:top w:sz="2.3919999599456787" w:val="single" w:color="#000000"/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1038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Total</w:t>
            </w:r>
          </w:p>
        </w:tc>
        <w:tc>
          <w:tcPr>
            <w:tcW w:type="dxa" w:w="1620"/>
            <w:tcBorders>
              <w:top w:sz="2.3919999599456787" w:val="single" w:color="#000000"/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716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3768</w:t>
            </w:r>
          </w:p>
        </w:tc>
        <w:tc>
          <w:tcPr>
            <w:tcW w:type="dxa" w:w="2100"/>
            <w:tcBorders>
              <w:top w:sz="2.3919999599456787" w:val="single" w:color="#000000"/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100.00%</w:t>
            </w:r>
          </w:p>
        </w:tc>
        <w:tc>
          <w:tcPr>
            <w:tcW w:type="dxa" w:w="1914"/>
            <w:tcBorders>
              <w:top w:sz="2.3919999599456787" w:val="single" w:color="#000000"/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38" w:right="668" w:bottom="984" w:left="7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147" w:type="dxa"/>
      </w:tblPr>
      <w:tblGrid>
        <w:gridCol w:w="5263"/>
        <w:gridCol w:w="5263"/>
      </w:tblGrid>
      <w:tr>
        <w:trPr>
          <w:trHeight w:hRule="exact" w:val="272"/>
        </w:trPr>
        <w:tc>
          <w:tcPr>
            <w:tcW w:type="dxa" w:w="554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0" w:after="0"/>
              <w:ind w:left="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/>
                <w:color w:val="000000"/>
                <w:sz w:val="16"/>
              </w:rPr>
              <w:t>Risks</w:t>
            </w:r>
            <w:r>
              <w:rPr>
                <w:rFonts w:ascii="URWPalladioL" w:hAnsi="URWPalladioL" w:eastAsia="URWPalladioL"/>
                <w:b/>
                <w:i w:val="0"/>
                <w:color w:val="000000"/>
                <w:sz w:val="16"/>
              </w:rPr>
              <w:t xml:space="preserve"> 2021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,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6"/>
              </w:rPr>
              <w:t xml:space="preserve"> 9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, 205</w:t>
            </w:r>
          </w:p>
        </w:tc>
        <w:tc>
          <w:tcPr>
            <w:tcW w:type="dxa" w:w="493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" w:after="0"/>
              <w:ind w:left="0" w:right="4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15 of 24</w:t>
            </w:r>
          </w:p>
        </w:tc>
      </w:tr>
    </w:tbl>
    <w:p>
      <w:pPr>
        <w:autoSpaceDN w:val="0"/>
        <w:autoSpaceDE w:val="0"/>
        <w:widowControl/>
        <w:spacing w:line="200" w:lineRule="exact" w:before="614" w:after="0"/>
        <w:ind w:left="0" w:right="3734" w:firstLine="0"/>
        <w:jc w:val="right"/>
      </w:pPr>
      <w:r>
        <w:rPr>
          <w:rFonts w:ascii="URWPalladioL" w:hAnsi="URWPalladioL" w:eastAsia="URWPalladioL"/>
          <w:b w:val="0"/>
          <w:i/>
          <w:color w:val="000000"/>
          <w:sz w:val="20"/>
        </w:rPr>
        <w:t>4.4.</w:t>
      </w:r>
      <w:r>
        <w:rPr>
          <w:rFonts w:ascii="URWPalladioL" w:hAnsi="URWPalladioL" w:eastAsia="URWPalladioL"/>
          <w:b w:val="0"/>
          <w:i/>
          <w:color w:val="000000"/>
          <w:sz w:val="20"/>
        </w:rPr>
        <w:t>Hypotheses Testing and Value Types Risk Level</w:t>
      </w:r>
    </w:p>
    <w:p>
      <w:pPr>
        <w:autoSpaceDN w:val="0"/>
        <w:autoSpaceDE w:val="0"/>
        <w:widowControl/>
        <w:spacing w:line="252" w:lineRule="exact" w:before="62" w:after="0"/>
        <w:ind w:left="2624" w:right="0" w:firstLine="424"/>
        <w:jc w:val="left"/>
      </w:pP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In Table</w:t>
      </w:r>
      <w:r>
        <w:rPr>
          <w:w w:val="98.62470626831055"/>
          <w:rFonts w:ascii="URWPalladioL" w:hAnsi="URWPalladioL" w:eastAsia="URWPalladioL"/>
          <w:b w:val="0"/>
          <w:i w:val="0"/>
          <w:color w:val="0875B7"/>
          <w:sz w:val="20"/>
        </w:rPr>
        <w:t xml:space="preserve"> 6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, the</w:t>
      </w:r>
      <w:r>
        <w:rPr>
          <w:w w:val="98.62470626831055"/>
          <w:rFonts w:ascii="URWPalladioL" w:hAnsi="URWPalladioL" w:eastAsia="URWPalladioL"/>
          <w:b w:val="0"/>
          <w:i/>
          <w:color w:val="000000"/>
          <w:sz w:val="20"/>
        </w:rPr>
        <w:t xml:space="preserve"> ES/PVT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 relationship in the population is shown.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The result of statistical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testing using C</w:t>
      </w:r>
      <w:r>
        <w:rPr>
          <w:w w:val="98.86761619931175"/>
          <w:rFonts w:ascii="CMSY10" w:hAnsi="CMSY10" w:eastAsia="CMSY10"/>
          <w:b w:val="0"/>
          <w:i/>
          <w:color w:val="000000"/>
          <w:sz w:val="21"/>
        </w:rPr>
        <w:t xml:space="preserve"> ×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 R</w:t>
      </w:r>
      <w:r>
        <w:rPr>
          <w:rFonts w:ascii="PazoMath" w:hAnsi="PazoMath" w:eastAsia="PazoMath"/>
          <w:b w:val="0"/>
          <w:i/>
          <w:color w:val="000000"/>
          <w:sz w:val="20"/>
        </w:rPr>
        <w:t xml:space="preserve"> χ</w:t>
      </w:r>
      <w:r>
        <w:rPr>
          <w:rFonts w:ascii="URWPalladioL" w:hAnsi="URWPalladioL" w:eastAsia="URWPalladioL"/>
          <w:b w:val="0"/>
          <w:i w:val="0"/>
          <w:color w:val="000000"/>
          <w:sz w:val="15"/>
        </w:rPr>
        <w:t>2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test of independence (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Sheskin 2011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) showed the null hypothesis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could be rejected (</w:t>
      </w:r>
      <w:r>
        <w:rPr>
          <w:rFonts w:ascii="URWPalladioL" w:hAnsi="URWPalladioL" w:eastAsia="URWPalladioL"/>
          <w:b w:val="0"/>
          <w:i/>
          <w:color w:val="000000"/>
          <w:sz w:val="20"/>
        </w:rPr>
        <w:t>n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 = 3768, df = 15,</w:t>
      </w:r>
      <w:r>
        <w:rPr>
          <w:rFonts w:ascii="PazoMath" w:hAnsi="PazoMath" w:eastAsia="PazoMath"/>
          <w:b w:val="0"/>
          <w:i/>
          <w:color w:val="000000"/>
          <w:sz w:val="20"/>
        </w:rPr>
        <w:t xml:space="preserve"> χ</w:t>
      </w:r>
      <w:r>
        <w:rPr>
          <w:rFonts w:ascii="URWPalladioL" w:hAnsi="URWPalladioL" w:eastAsia="URWPalladioL"/>
          <w:b w:val="0"/>
          <w:i w:val="0"/>
          <w:color w:val="000000"/>
          <w:sz w:val="15"/>
        </w:rPr>
        <w:t>2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= 77.77,</w:t>
      </w:r>
      <w:r>
        <w:rPr>
          <w:rFonts w:ascii="URWPalladioL" w:hAnsi="URWPalladioL" w:eastAsia="URWPalladioL"/>
          <w:b w:val="0"/>
          <w:i/>
          <w:color w:val="000000"/>
          <w:sz w:val="20"/>
        </w:rPr>
        <w:t xml:space="preserve"> p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 &lt; 0.001) and there are significant differ-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ences among the numbers of individuals in different</w:t>
      </w:r>
      <w:r>
        <w:rPr>
          <w:rFonts w:ascii="URWPalladioL" w:hAnsi="URWPalladioL" w:eastAsia="URWPalladioL"/>
          <w:b w:val="0"/>
          <w:i/>
          <w:color w:val="000000"/>
          <w:sz w:val="20"/>
        </w:rPr>
        <w:t xml:space="preserve"> ES/PVT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conditions counted using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standardized (adjusted) residuals (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Agresti 2007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;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 xml:space="preserve"> Azen and Walker 2011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).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This allows us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to consider the first hypothesis (H</w:t>
      </w:r>
      <w:r>
        <w:rPr>
          <w:rFonts w:ascii="URWPalladioL" w:hAnsi="URWPalladioL" w:eastAsia="URWPalladioL"/>
          <w:b w:val="0"/>
          <w:i w:val="0"/>
          <w:color w:val="000000"/>
          <w:sz w:val="15"/>
        </w:rPr>
        <w:t>1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) to be confirmed.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For each specific condition, we can 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describe the predicted financial decision-making and calculate the financial risk level based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on values, as well.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Particularly noteworthy is the prosocial type in a negative economic 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situation with a higher level of risk, where the z-score reaches</w:t>
      </w:r>
      <w:r>
        <w:rPr>
          <w:w w:val="98.86761619931175"/>
          <w:rFonts w:ascii="CMSY10" w:hAnsi="CMSY10" w:eastAsia="CMSY10"/>
          <w:b w:val="0"/>
          <w:i/>
          <w:color w:val="000000"/>
          <w:sz w:val="21"/>
        </w:rPr>
        <w:t xml:space="preserve"> −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6.2036***.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It is evident from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result that people in this group are burdened with the lowest probability of arising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problems compared to others, even in case of a sudden deterioration of the situation, and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even when their initial situation is not good.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In contrast, the group of people classified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as venturesome appears to be particularly problematic in a positive economic situation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with a high level of risk (z: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3.5208***).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In the same situation are also people in the group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of religious in a negative economic situation with a higher level of risk (z: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3.8921***).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In 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terms of assessment in the helping professions and intervention planning, these two groups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should be given increased attention.</w:t>
      </w:r>
    </w:p>
    <w:p>
      <w:pPr>
        <w:autoSpaceDN w:val="0"/>
        <w:autoSpaceDE w:val="0"/>
        <w:widowControl/>
        <w:spacing w:line="182" w:lineRule="exact" w:before="286" w:after="0"/>
        <w:ind w:left="0" w:right="0" w:firstLine="0"/>
        <w:jc w:val="center"/>
      </w:pPr>
      <w:r>
        <w:rPr>
          <w:rFonts w:ascii="URWPalladioL" w:hAnsi="URWPalladioL" w:eastAsia="URWPalladioL"/>
          <w:b/>
          <w:i w:val="0"/>
          <w:color w:val="000000"/>
          <w:sz w:val="18"/>
        </w:rPr>
        <w:t>Table 6.</w:t>
      </w:r>
      <w:r>
        <w:rPr>
          <w:rFonts w:ascii="URWPalladioL" w:hAnsi="URWPalladioL" w:eastAsia="URWPalladioL"/>
          <w:b w:val="0"/>
          <w:i/>
          <w:color w:val="000000"/>
          <w:sz w:val="18"/>
        </w:rPr>
        <w:t>ES/PVT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 and standardized residuals (z-score) for each condition.</w:t>
      </w:r>
    </w:p>
    <w:p>
      <w:pPr>
        <w:autoSpaceDN w:val="0"/>
        <w:autoSpaceDE w:val="0"/>
        <w:widowControl/>
        <w:spacing w:line="180" w:lineRule="exact" w:before="240" w:after="54"/>
        <w:ind w:left="0" w:right="3440" w:firstLine="0"/>
        <w:jc w:val="right"/>
      </w:pPr>
      <w:r>
        <w:rPr>
          <w:rFonts w:ascii="URWPalladioL" w:hAnsi="URWPalladioL" w:eastAsia="URWPalladioL"/>
          <w:b/>
          <w:i w:val="0"/>
          <w:color w:val="000000"/>
          <w:sz w:val="18"/>
        </w:rPr>
        <w:t>Economic Situation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105"/>
        <w:gridCol w:w="2105"/>
        <w:gridCol w:w="2105"/>
        <w:gridCol w:w="2105"/>
        <w:gridCol w:w="2105"/>
      </w:tblGrid>
      <w:tr>
        <w:trPr>
          <w:trHeight w:hRule="exact" w:val="262"/>
        </w:trPr>
        <w:tc>
          <w:tcPr>
            <w:tcW w:type="dxa" w:w="2092"/>
            <w:vMerge w:val="restart"/>
            <w:tcBorders>
              <w:top w:sz="2.3919999599456787" w:val="single" w:color="#000000"/>
              <w:bottom w:sz="2.391999959945678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3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18"/>
              </w:rPr>
              <w:t>Value Type</w:t>
            </w:r>
          </w:p>
        </w:tc>
        <w:tc>
          <w:tcPr>
            <w:tcW w:type="dxa" w:w="2130"/>
            <w:tcBorders>
              <w:top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18"/>
              </w:rPr>
              <w:t>Neutral Economic</w:t>
            </w:r>
          </w:p>
        </w:tc>
        <w:tc>
          <w:tcPr>
            <w:tcW w:type="dxa" w:w="2020"/>
            <w:tcBorders>
              <w:top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18"/>
              </w:rPr>
              <w:t>Positive Economic</w:t>
            </w:r>
          </w:p>
        </w:tc>
        <w:tc>
          <w:tcPr>
            <w:tcW w:type="dxa" w:w="2180"/>
            <w:tcBorders>
              <w:top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18"/>
              </w:rPr>
              <w:t>Negative Economic</w:t>
            </w:r>
          </w:p>
        </w:tc>
        <w:tc>
          <w:tcPr>
            <w:tcW w:type="dxa" w:w="2048"/>
            <w:tcBorders>
              <w:top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18"/>
              </w:rPr>
              <w:t>Positive Economic</w:t>
            </w:r>
          </w:p>
        </w:tc>
      </w:tr>
      <w:tr>
        <w:trPr>
          <w:trHeight w:hRule="exact" w:val="220"/>
        </w:trPr>
        <w:tc>
          <w:tcPr>
            <w:tcW w:type="dxa" w:w="2105"/>
            <w:vMerge/>
            <w:tcBorders>
              <w:top w:sz="2.3919999599456787" w:val="single" w:color="#000000"/>
              <w:bottom w:sz="2.3919999599456787" w:val="single" w:color="#000000"/>
            </w:tcBorders>
          </w:tcPr>
          <w:p/>
        </w:tc>
        <w:tc>
          <w:tcPr>
            <w:tcW w:type="dxa" w:w="21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18"/>
              </w:rPr>
              <w:t>Situation with Higher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18"/>
              </w:rPr>
              <w:t>Situation with High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18"/>
              </w:rPr>
              <w:t>Situation with Higher</w:t>
            </w:r>
          </w:p>
        </w:tc>
        <w:tc>
          <w:tcPr>
            <w:tcW w:type="dxa" w:w="20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18"/>
              </w:rPr>
              <w:t>Situation with Low</w:t>
            </w:r>
          </w:p>
        </w:tc>
      </w:tr>
      <w:tr>
        <w:trPr>
          <w:trHeight w:hRule="exact" w:val="270"/>
        </w:trPr>
        <w:tc>
          <w:tcPr>
            <w:tcW w:type="dxa" w:w="2105"/>
            <w:vMerge/>
            <w:tcBorders>
              <w:top w:sz="2.3919999599456787" w:val="single" w:color="#000000"/>
              <w:bottom w:sz="2.3919999599456787" w:val="single" w:color="#000000"/>
            </w:tcBorders>
          </w:tcPr>
          <w:p/>
        </w:tc>
        <w:tc>
          <w:tcPr>
            <w:tcW w:type="dxa" w:w="2130"/>
            <w:tcBorders>
              <w:bottom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18"/>
              </w:rPr>
              <w:t>Level of Risk</w:t>
            </w:r>
          </w:p>
        </w:tc>
        <w:tc>
          <w:tcPr>
            <w:tcW w:type="dxa" w:w="2020"/>
            <w:tcBorders>
              <w:bottom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18"/>
              </w:rPr>
              <w:t>Level of Risk</w:t>
            </w:r>
          </w:p>
        </w:tc>
        <w:tc>
          <w:tcPr>
            <w:tcW w:type="dxa" w:w="2180"/>
            <w:tcBorders>
              <w:bottom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18"/>
              </w:rPr>
              <w:t>Level of Risk</w:t>
            </w:r>
          </w:p>
        </w:tc>
        <w:tc>
          <w:tcPr>
            <w:tcW w:type="dxa" w:w="2048"/>
            <w:tcBorders>
              <w:bottom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18"/>
              </w:rPr>
              <w:t>Level of Risk</w:t>
            </w:r>
          </w:p>
        </w:tc>
      </w:tr>
      <w:tr>
        <w:trPr>
          <w:trHeight w:hRule="exact" w:val="270"/>
        </w:trPr>
        <w:tc>
          <w:tcPr>
            <w:tcW w:type="dxa" w:w="2092"/>
            <w:vMerge w:val="restart"/>
            <w:tcBorders>
              <w:top w:sz="2.391999959945678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8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PVT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2130"/>
            <w:tcBorders>
              <w:top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406</w:t>
            </w:r>
          </w:p>
        </w:tc>
        <w:tc>
          <w:tcPr>
            <w:tcW w:type="dxa" w:w="2020"/>
            <w:tcBorders>
              <w:top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357</w:t>
            </w:r>
          </w:p>
        </w:tc>
        <w:tc>
          <w:tcPr>
            <w:tcW w:type="dxa" w:w="2180"/>
            <w:tcBorders>
              <w:top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169</w:t>
            </w:r>
          </w:p>
        </w:tc>
        <w:tc>
          <w:tcPr>
            <w:tcW w:type="dxa" w:w="2048"/>
            <w:tcBorders>
              <w:top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407</w:t>
            </w:r>
          </w:p>
        </w:tc>
      </w:tr>
      <w:tr>
        <w:trPr>
          <w:trHeight w:hRule="exact" w:val="120"/>
        </w:trPr>
        <w:tc>
          <w:tcPr>
            <w:tcW w:type="dxa" w:w="2105"/>
            <w:vMerge/>
            <w:tcBorders>
              <w:top w:sz="2.3919999599456787" w:val="single" w:color="#000000"/>
            </w:tcBorders>
          </w:tcPr>
          <w:p/>
        </w:tc>
        <w:tc>
          <w:tcPr>
            <w:tcW w:type="dxa" w:w="213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10.77%</w:t>
            </w:r>
          </w:p>
        </w:tc>
        <w:tc>
          <w:tcPr>
            <w:tcW w:type="dxa" w:w="2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9.47%</w:t>
            </w:r>
          </w:p>
        </w:tc>
        <w:tc>
          <w:tcPr>
            <w:tcW w:type="dxa" w:w="2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4.49%</w:t>
            </w:r>
          </w:p>
        </w:tc>
        <w:tc>
          <w:tcPr>
            <w:tcW w:type="dxa" w:w="204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10.80%</w:t>
            </w:r>
          </w:p>
        </w:tc>
      </w:tr>
      <w:tr>
        <w:trPr>
          <w:trHeight w:hRule="exact" w:val="100"/>
        </w:trPr>
        <w:tc>
          <w:tcPr>
            <w:tcW w:type="dxa" w:w="2092"/>
            <w:vMerge w:val="restart"/>
            <w:tcBorders>
              <w:bottom w:sz="2.391999959945678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CONSERVATIVE</w:t>
            </w:r>
          </w:p>
        </w:tc>
        <w:tc>
          <w:tcPr>
            <w:tcW w:type="dxa" w:w="2105"/>
            <w:vMerge/>
            <w:tcBorders/>
          </w:tcPr>
          <w:p/>
        </w:tc>
        <w:tc>
          <w:tcPr>
            <w:tcW w:type="dxa" w:w="2105"/>
            <w:vMerge/>
            <w:tcBorders/>
          </w:tcPr>
          <w:p/>
        </w:tc>
        <w:tc>
          <w:tcPr>
            <w:tcW w:type="dxa" w:w="2105"/>
            <w:vMerge/>
            <w:tcBorders/>
          </w:tcPr>
          <w:p/>
        </w:tc>
        <w:tc>
          <w:tcPr>
            <w:tcW w:type="dxa" w:w="2105"/>
            <w:vMerge/>
            <w:tcBorders/>
          </w:tcPr>
          <w:p/>
        </w:tc>
      </w:tr>
      <w:tr>
        <w:trPr>
          <w:trHeight w:hRule="exact" w:val="262"/>
        </w:trPr>
        <w:tc>
          <w:tcPr>
            <w:tcW w:type="dxa" w:w="2105"/>
            <w:vMerge/>
            <w:tcBorders>
              <w:bottom w:sz="2.3919999599456787" w:val="single" w:color="#000000"/>
            </w:tcBorders>
          </w:tcPr>
          <w:p/>
        </w:tc>
        <w:tc>
          <w:tcPr>
            <w:tcW w:type="dxa" w:w="2130"/>
            <w:tcBorders>
              <w:bottom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z: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1.1576</w:t>
            </w:r>
          </w:p>
        </w:tc>
        <w:tc>
          <w:tcPr>
            <w:tcW w:type="dxa" w:w="2020"/>
            <w:tcBorders>
              <w:bottom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z:</w:t>
            </w:r>
            <w:r>
              <w:rPr>
                <w:w w:val="98.3473727577611"/>
                <w:rFonts w:ascii="CMSY10" w:hAnsi="CMSY10" w:eastAsia="CMSY10"/>
                <w:b w:val="0"/>
                <w:i/>
                <w:color w:val="000000"/>
                <w:sz w:val="19"/>
              </w:rPr>
              <w:t>−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0.7159</w:t>
            </w:r>
          </w:p>
        </w:tc>
        <w:tc>
          <w:tcPr>
            <w:tcW w:type="dxa" w:w="2180"/>
            <w:tcBorders>
              <w:bottom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z: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2.5055 *</w:t>
            </w:r>
          </w:p>
        </w:tc>
        <w:tc>
          <w:tcPr>
            <w:tcW w:type="dxa" w:w="2048"/>
            <w:tcBorders>
              <w:bottom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z:</w:t>
            </w:r>
            <w:r>
              <w:rPr>
                <w:w w:val="98.3473727577611"/>
                <w:rFonts w:ascii="CMSY10" w:hAnsi="CMSY10" w:eastAsia="CMSY10"/>
                <w:b w:val="0"/>
                <w:i/>
                <w:color w:val="000000"/>
                <w:sz w:val="19"/>
              </w:rPr>
              <w:t>−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2.1084 *</w:t>
            </w:r>
          </w:p>
        </w:tc>
      </w:tr>
      <w:tr>
        <w:trPr>
          <w:trHeight w:hRule="exact" w:val="278"/>
        </w:trPr>
        <w:tc>
          <w:tcPr>
            <w:tcW w:type="dxa" w:w="2092"/>
            <w:vMerge w:val="restart"/>
            <w:tcBorders>
              <w:top w:sz="2.391999959945678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9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PVT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2130"/>
            <w:tcBorders>
              <w:top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44</w:t>
            </w:r>
          </w:p>
        </w:tc>
        <w:tc>
          <w:tcPr>
            <w:tcW w:type="dxa" w:w="2020"/>
            <w:tcBorders>
              <w:top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76</w:t>
            </w:r>
          </w:p>
        </w:tc>
        <w:tc>
          <w:tcPr>
            <w:tcW w:type="dxa" w:w="2180"/>
            <w:tcBorders>
              <w:top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33</w:t>
            </w:r>
          </w:p>
        </w:tc>
        <w:tc>
          <w:tcPr>
            <w:tcW w:type="dxa" w:w="2048"/>
            <w:tcBorders>
              <w:top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46</w:t>
            </w:r>
          </w:p>
        </w:tc>
      </w:tr>
      <w:tr>
        <w:trPr>
          <w:trHeight w:hRule="exact" w:val="120"/>
        </w:trPr>
        <w:tc>
          <w:tcPr>
            <w:tcW w:type="dxa" w:w="2105"/>
            <w:vMerge/>
            <w:tcBorders>
              <w:top w:sz="2.3919999599456787" w:val="single" w:color="#000000"/>
            </w:tcBorders>
          </w:tcPr>
          <w:p/>
        </w:tc>
        <w:tc>
          <w:tcPr>
            <w:tcW w:type="dxa" w:w="213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1.17%</w:t>
            </w:r>
          </w:p>
        </w:tc>
        <w:tc>
          <w:tcPr>
            <w:tcW w:type="dxa" w:w="2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2.02%</w:t>
            </w:r>
          </w:p>
        </w:tc>
        <w:tc>
          <w:tcPr>
            <w:tcW w:type="dxa" w:w="2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0.88%</w:t>
            </w:r>
          </w:p>
        </w:tc>
        <w:tc>
          <w:tcPr>
            <w:tcW w:type="dxa" w:w="204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1.22%</w:t>
            </w:r>
          </w:p>
        </w:tc>
      </w:tr>
      <w:tr>
        <w:trPr>
          <w:trHeight w:hRule="exact" w:val="80"/>
        </w:trPr>
        <w:tc>
          <w:tcPr>
            <w:tcW w:type="dxa" w:w="2092"/>
            <w:vMerge w:val="restart"/>
            <w:tcBorders>
              <w:bottom w:sz="2.391999959945678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VENTURESOME</w:t>
            </w:r>
          </w:p>
        </w:tc>
        <w:tc>
          <w:tcPr>
            <w:tcW w:type="dxa" w:w="2105"/>
            <w:vMerge/>
            <w:tcBorders/>
          </w:tcPr>
          <w:p/>
        </w:tc>
        <w:tc>
          <w:tcPr>
            <w:tcW w:type="dxa" w:w="2105"/>
            <w:vMerge/>
            <w:tcBorders/>
          </w:tcPr>
          <w:p/>
        </w:tc>
        <w:tc>
          <w:tcPr>
            <w:tcW w:type="dxa" w:w="2105"/>
            <w:vMerge/>
            <w:tcBorders/>
          </w:tcPr>
          <w:p/>
        </w:tc>
        <w:tc>
          <w:tcPr>
            <w:tcW w:type="dxa" w:w="2105"/>
            <w:vMerge/>
            <w:tcBorders/>
          </w:tcPr>
          <w:p/>
        </w:tc>
      </w:tr>
      <w:tr>
        <w:trPr>
          <w:trHeight w:hRule="exact" w:val="278"/>
        </w:trPr>
        <w:tc>
          <w:tcPr>
            <w:tcW w:type="dxa" w:w="2105"/>
            <w:vMerge/>
            <w:tcBorders>
              <w:bottom w:sz="2.3919999599456787" w:val="single" w:color="#000000"/>
            </w:tcBorders>
          </w:tcPr>
          <w:p/>
        </w:tc>
        <w:tc>
          <w:tcPr>
            <w:tcW w:type="dxa" w:w="2130"/>
            <w:tcBorders>
              <w:bottom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z:</w:t>
            </w:r>
            <w:r>
              <w:rPr>
                <w:w w:val="98.3473727577611"/>
                <w:rFonts w:ascii="CMSY10" w:hAnsi="CMSY10" w:eastAsia="CMSY10"/>
                <w:b w:val="0"/>
                <w:i/>
                <w:color w:val="000000"/>
                <w:sz w:val="19"/>
              </w:rPr>
              <w:t>−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2.2502 *</w:t>
            </w:r>
          </w:p>
        </w:tc>
        <w:tc>
          <w:tcPr>
            <w:tcW w:type="dxa" w:w="2020"/>
            <w:tcBorders>
              <w:bottom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z: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3.5208 ***</w:t>
            </w:r>
          </w:p>
        </w:tc>
        <w:tc>
          <w:tcPr>
            <w:tcW w:type="dxa" w:w="2180"/>
            <w:tcBorders>
              <w:bottom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z: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2.6388 **</w:t>
            </w:r>
          </w:p>
        </w:tc>
        <w:tc>
          <w:tcPr>
            <w:tcW w:type="dxa" w:w="2048"/>
            <w:tcBorders>
              <w:bottom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z:</w:t>
            </w:r>
            <w:r>
              <w:rPr>
                <w:w w:val="98.3473727577611"/>
                <w:rFonts w:ascii="CMSY10" w:hAnsi="CMSY10" w:eastAsia="CMSY10"/>
                <w:b w:val="0"/>
                <w:i/>
                <w:color w:val="000000"/>
                <w:sz w:val="19"/>
              </w:rPr>
              <w:t>−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2.9224 **</w:t>
            </w:r>
          </w:p>
        </w:tc>
      </w:tr>
      <w:tr>
        <w:trPr>
          <w:trHeight w:hRule="exact" w:val="282"/>
        </w:trPr>
        <w:tc>
          <w:tcPr>
            <w:tcW w:type="dxa" w:w="2092"/>
            <w:vMerge w:val="restart"/>
            <w:tcBorders>
              <w:top w:sz="2.391999959945678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9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PVT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2130"/>
            <w:tcBorders>
              <w:top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91</w:t>
            </w:r>
          </w:p>
        </w:tc>
        <w:tc>
          <w:tcPr>
            <w:tcW w:type="dxa" w:w="2020"/>
            <w:tcBorders>
              <w:top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70</w:t>
            </w:r>
          </w:p>
        </w:tc>
        <w:tc>
          <w:tcPr>
            <w:tcW w:type="dxa" w:w="2180"/>
            <w:tcBorders>
              <w:top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54</w:t>
            </w:r>
          </w:p>
        </w:tc>
        <w:tc>
          <w:tcPr>
            <w:tcW w:type="dxa" w:w="2048"/>
            <w:tcBorders>
              <w:top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93</w:t>
            </w:r>
          </w:p>
        </w:tc>
      </w:tr>
      <w:tr>
        <w:trPr>
          <w:trHeight w:hRule="exact" w:val="120"/>
        </w:trPr>
        <w:tc>
          <w:tcPr>
            <w:tcW w:type="dxa" w:w="2105"/>
            <w:vMerge/>
            <w:tcBorders>
              <w:top w:sz="2.3919999599456787" w:val="single" w:color="#000000"/>
            </w:tcBorders>
          </w:tcPr>
          <w:p/>
        </w:tc>
        <w:tc>
          <w:tcPr>
            <w:tcW w:type="dxa" w:w="213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2.42%</w:t>
            </w:r>
          </w:p>
        </w:tc>
        <w:tc>
          <w:tcPr>
            <w:tcW w:type="dxa" w:w="2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1.86%</w:t>
            </w:r>
          </w:p>
        </w:tc>
        <w:tc>
          <w:tcPr>
            <w:tcW w:type="dxa" w:w="2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1.43%</w:t>
            </w:r>
          </w:p>
        </w:tc>
        <w:tc>
          <w:tcPr>
            <w:tcW w:type="dxa" w:w="204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2.47%</w:t>
            </w:r>
          </w:p>
        </w:tc>
      </w:tr>
      <w:tr>
        <w:trPr>
          <w:trHeight w:hRule="exact" w:val="80"/>
        </w:trPr>
        <w:tc>
          <w:tcPr>
            <w:tcW w:type="dxa" w:w="2092"/>
            <w:vMerge w:val="restart"/>
            <w:tcBorders>
              <w:bottom w:sz="2.391999959945678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RELIGIOUS</w:t>
            </w:r>
          </w:p>
        </w:tc>
        <w:tc>
          <w:tcPr>
            <w:tcW w:type="dxa" w:w="2105"/>
            <w:vMerge/>
            <w:tcBorders/>
          </w:tcPr>
          <w:p/>
        </w:tc>
        <w:tc>
          <w:tcPr>
            <w:tcW w:type="dxa" w:w="2105"/>
            <w:vMerge/>
            <w:tcBorders/>
          </w:tcPr>
          <w:p/>
        </w:tc>
        <w:tc>
          <w:tcPr>
            <w:tcW w:type="dxa" w:w="2105"/>
            <w:vMerge/>
            <w:tcBorders/>
          </w:tcPr>
          <w:p/>
        </w:tc>
        <w:tc>
          <w:tcPr>
            <w:tcW w:type="dxa" w:w="2105"/>
            <w:vMerge/>
            <w:tcBorders/>
          </w:tcPr>
          <w:p/>
        </w:tc>
      </w:tr>
      <w:tr>
        <w:trPr>
          <w:trHeight w:hRule="exact" w:val="270"/>
        </w:trPr>
        <w:tc>
          <w:tcPr>
            <w:tcW w:type="dxa" w:w="2105"/>
            <w:vMerge/>
            <w:tcBorders>
              <w:bottom w:sz="2.3919999599456787" w:val="single" w:color="#000000"/>
            </w:tcBorders>
          </w:tcPr>
          <w:p/>
        </w:tc>
        <w:tc>
          <w:tcPr>
            <w:tcW w:type="dxa" w:w="2130"/>
            <w:tcBorders>
              <w:bottom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z: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0.1526</w:t>
            </w:r>
          </w:p>
        </w:tc>
        <w:tc>
          <w:tcPr>
            <w:tcW w:type="dxa" w:w="2020"/>
            <w:tcBorders>
              <w:bottom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z:</w:t>
            </w:r>
            <w:r>
              <w:rPr>
                <w:w w:val="98.3473727577611"/>
                <w:rFonts w:ascii="CMSY10" w:hAnsi="CMSY10" w:eastAsia="CMSY10"/>
                <w:b w:val="0"/>
                <w:i/>
                <w:color w:val="000000"/>
                <w:sz w:val="19"/>
              </w:rPr>
              <w:t>−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1.9040</w:t>
            </w:r>
          </w:p>
        </w:tc>
        <w:tc>
          <w:tcPr>
            <w:tcW w:type="dxa" w:w="2180"/>
            <w:tcBorders>
              <w:bottom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z: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3.8921 ***</w:t>
            </w:r>
          </w:p>
        </w:tc>
        <w:tc>
          <w:tcPr>
            <w:tcW w:type="dxa" w:w="2048"/>
            <w:tcBorders>
              <w:bottom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z:</w:t>
            </w:r>
            <w:r>
              <w:rPr>
                <w:w w:val="98.3473727577611"/>
                <w:rFonts w:ascii="CMSY10" w:hAnsi="CMSY10" w:eastAsia="CMSY10"/>
                <w:b w:val="0"/>
                <w:i/>
                <w:color w:val="000000"/>
                <w:sz w:val="19"/>
              </w:rPr>
              <w:t>−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0.9258</w:t>
            </w:r>
          </w:p>
        </w:tc>
      </w:tr>
      <w:tr>
        <w:trPr>
          <w:trHeight w:hRule="exact" w:val="270"/>
        </w:trPr>
        <w:tc>
          <w:tcPr>
            <w:tcW w:type="dxa" w:w="2092"/>
            <w:vMerge w:val="restart"/>
            <w:tcBorders>
              <w:top w:sz="2.391999959945678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8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PVT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4</w:t>
            </w:r>
          </w:p>
        </w:tc>
        <w:tc>
          <w:tcPr>
            <w:tcW w:type="dxa" w:w="2130"/>
            <w:tcBorders>
              <w:top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34</w:t>
            </w:r>
          </w:p>
        </w:tc>
        <w:tc>
          <w:tcPr>
            <w:tcW w:type="dxa" w:w="2020"/>
            <w:tcBorders>
              <w:top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35</w:t>
            </w:r>
          </w:p>
        </w:tc>
        <w:tc>
          <w:tcPr>
            <w:tcW w:type="dxa" w:w="2180"/>
            <w:tcBorders>
              <w:top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15</w:t>
            </w:r>
          </w:p>
        </w:tc>
        <w:tc>
          <w:tcPr>
            <w:tcW w:type="dxa" w:w="2048"/>
            <w:tcBorders>
              <w:top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52</w:t>
            </w:r>
          </w:p>
        </w:tc>
      </w:tr>
      <w:tr>
        <w:trPr>
          <w:trHeight w:hRule="exact" w:val="120"/>
        </w:trPr>
        <w:tc>
          <w:tcPr>
            <w:tcW w:type="dxa" w:w="2105"/>
            <w:vMerge/>
            <w:tcBorders>
              <w:top w:sz="2.3919999599456787" w:val="single" w:color="#000000"/>
            </w:tcBorders>
          </w:tcPr>
          <w:p/>
        </w:tc>
        <w:tc>
          <w:tcPr>
            <w:tcW w:type="dxa" w:w="213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0.90%</w:t>
            </w:r>
          </w:p>
        </w:tc>
        <w:tc>
          <w:tcPr>
            <w:tcW w:type="dxa" w:w="2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0.93%</w:t>
            </w:r>
          </w:p>
        </w:tc>
        <w:tc>
          <w:tcPr>
            <w:tcW w:type="dxa" w:w="2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0.40%</w:t>
            </w:r>
          </w:p>
        </w:tc>
        <w:tc>
          <w:tcPr>
            <w:tcW w:type="dxa" w:w="204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1.38%</w:t>
            </w:r>
          </w:p>
        </w:tc>
      </w:tr>
      <w:tr>
        <w:trPr>
          <w:trHeight w:hRule="exact" w:val="100"/>
        </w:trPr>
        <w:tc>
          <w:tcPr>
            <w:tcW w:type="dxa" w:w="2092"/>
            <w:vMerge w:val="restart"/>
            <w:tcBorders>
              <w:bottom w:sz="2.391999959945678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LIBERAL</w:t>
            </w:r>
          </w:p>
        </w:tc>
        <w:tc>
          <w:tcPr>
            <w:tcW w:type="dxa" w:w="2105"/>
            <w:vMerge/>
            <w:tcBorders/>
          </w:tcPr>
          <w:p/>
        </w:tc>
        <w:tc>
          <w:tcPr>
            <w:tcW w:type="dxa" w:w="2105"/>
            <w:vMerge/>
            <w:tcBorders/>
          </w:tcPr>
          <w:p/>
        </w:tc>
        <w:tc>
          <w:tcPr>
            <w:tcW w:type="dxa" w:w="2105"/>
            <w:vMerge/>
            <w:tcBorders/>
          </w:tcPr>
          <w:p/>
        </w:tc>
        <w:tc>
          <w:tcPr>
            <w:tcW w:type="dxa" w:w="2105"/>
            <w:vMerge/>
            <w:tcBorders/>
          </w:tcPr>
          <w:p/>
        </w:tc>
      </w:tr>
      <w:tr>
        <w:trPr>
          <w:trHeight w:hRule="exact" w:val="264"/>
        </w:trPr>
        <w:tc>
          <w:tcPr>
            <w:tcW w:type="dxa" w:w="2105"/>
            <w:vMerge/>
            <w:tcBorders>
              <w:bottom w:sz="2.3919999599456787" w:val="single" w:color="#000000"/>
            </w:tcBorders>
          </w:tcPr>
          <w:p/>
        </w:tc>
        <w:tc>
          <w:tcPr>
            <w:tcW w:type="dxa" w:w="2130"/>
            <w:tcBorders>
              <w:bottom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z:</w:t>
            </w:r>
            <w:r>
              <w:rPr>
                <w:w w:val="98.3473727577611"/>
                <w:rFonts w:ascii="CMSY10" w:hAnsi="CMSY10" w:eastAsia="CMSY10"/>
                <w:b w:val="0"/>
                <w:i/>
                <w:color w:val="000000"/>
                <w:sz w:val="19"/>
              </w:rPr>
              <w:t>−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1.0889</w:t>
            </w:r>
          </w:p>
        </w:tc>
        <w:tc>
          <w:tcPr>
            <w:tcW w:type="dxa" w:w="2020"/>
            <w:tcBorders>
              <w:bottom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z:</w:t>
            </w:r>
            <w:r>
              <w:rPr>
                <w:w w:val="98.3473727577611"/>
                <w:rFonts w:ascii="CMSY10" w:hAnsi="CMSY10" w:eastAsia="CMSY10"/>
                <w:b w:val="0"/>
                <w:i/>
                <w:color w:val="000000"/>
                <w:sz w:val="19"/>
              </w:rPr>
              <w:t>−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0.4334</w:t>
            </w:r>
          </w:p>
        </w:tc>
        <w:tc>
          <w:tcPr>
            <w:tcW w:type="dxa" w:w="2180"/>
            <w:tcBorders>
              <w:bottom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z: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0.0464</w:t>
            </w:r>
          </w:p>
        </w:tc>
        <w:tc>
          <w:tcPr>
            <w:tcW w:type="dxa" w:w="2048"/>
            <w:tcBorders>
              <w:bottom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z: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1.4376</w:t>
            </w:r>
          </w:p>
        </w:tc>
      </w:tr>
      <w:tr>
        <w:trPr>
          <w:trHeight w:hRule="exact" w:val="276"/>
        </w:trPr>
        <w:tc>
          <w:tcPr>
            <w:tcW w:type="dxa" w:w="2092"/>
            <w:vMerge w:val="restart"/>
            <w:tcBorders>
              <w:top w:sz="2.391999959945678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9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PVT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5</w:t>
            </w:r>
          </w:p>
        </w:tc>
        <w:tc>
          <w:tcPr>
            <w:tcW w:type="dxa" w:w="2130"/>
            <w:tcBorders>
              <w:top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2020"/>
            <w:tcBorders>
              <w:top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180"/>
            <w:tcBorders>
              <w:top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2048"/>
            <w:tcBorders>
              <w:top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13</w:t>
            </w:r>
          </w:p>
        </w:tc>
      </w:tr>
      <w:tr>
        <w:trPr>
          <w:trHeight w:hRule="exact" w:val="120"/>
        </w:trPr>
        <w:tc>
          <w:tcPr>
            <w:tcW w:type="dxa" w:w="2105"/>
            <w:vMerge/>
            <w:tcBorders>
              <w:top w:sz="2.3919999599456787" w:val="single" w:color="#000000"/>
            </w:tcBorders>
          </w:tcPr>
          <w:p/>
        </w:tc>
        <w:tc>
          <w:tcPr>
            <w:tcW w:type="dxa" w:w="213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0.19%</w:t>
            </w:r>
          </w:p>
        </w:tc>
        <w:tc>
          <w:tcPr>
            <w:tcW w:type="dxa" w:w="2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0.13%</w:t>
            </w:r>
          </w:p>
        </w:tc>
        <w:tc>
          <w:tcPr>
            <w:tcW w:type="dxa" w:w="2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0.21%</w:t>
            </w:r>
          </w:p>
        </w:tc>
        <w:tc>
          <w:tcPr>
            <w:tcW w:type="dxa" w:w="204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0.35%</w:t>
            </w:r>
          </w:p>
        </w:tc>
      </w:tr>
      <w:tr>
        <w:trPr>
          <w:trHeight w:hRule="exact" w:val="80"/>
        </w:trPr>
        <w:tc>
          <w:tcPr>
            <w:tcW w:type="dxa" w:w="2092"/>
            <w:vMerge w:val="restart"/>
            <w:tcBorders>
              <w:bottom w:sz="2.391999959945678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POWER</w:t>
            </w:r>
          </w:p>
        </w:tc>
        <w:tc>
          <w:tcPr>
            <w:tcW w:type="dxa" w:w="2105"/>
            <w:vMerge/>
            <w:tcBorders/>
          </w:tcPr>
          <w:p/>
        </w:tc>
        <w:tc>
          <w:tcPr>
            <w:tcW w:type="dxa" w:w="2105"/>
            <w:vMerge/>
            <w:tcBorders/>
          </w:tcPr>
          <w:p/>
        </w:tc>
        <w:tc>
          <w:tcPr>
            <w:tcW w:type="dxa" w:w="2105"/>
            <w:vMerge/>
            <w:tcBorders/>
          </w:tcPr>
          <w:p/>
        </w:tc>
        <w:tc>
          <w:tcPr>
            <w:tcW w:type="dxa" w:w="2105"/>
            <w:vMerge/>
            <w:tcBorders/>
          </w:tcPr>
          <w:p/>
        </w:tc>
      </w:tr>
      <w:tr>
        <w:trPr>
          <w:trHeight w:hRule="exact" w:val="278"/>
        </w:trPr>
        <w:tc>
          <w:tcPr>
            <w:tcW w:type="dxa" w:w="2105"/>
            <w:vMerge/>
            <w:tcBorders>
              <w:bottom w:sz="2.3919999599456787" w:val="single" w:color="#000000"/>
            </w:tcBorders>
          </w:tcPr>
          <w:p/>
        </w:tc>
        <w:tc>
          <w:tcPr>
            <w:tcW w:type="dxa" w:w="2130"/>
            <w:tcBorders>
              <w:bottom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z:</w:t>
            </w:r>
            <w:r>
              <w:rPr>
                <w:w w:val="98.3473727577611"/>
                <w:rFonts w:ascii="CMSY10" w:hAnsi="CMSY10" w:eastAsia="CMSY10"/>
                <w:b w:val="0"/>
                <w:i/>
                <w:color w:val="000000"/>
                <w:sz w:val="19"/>
              </w:rPr>
              <w:t>−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1.0098</w:t>
            </w:r>
          </w:p>
        </w:tc>
        <w:tc>
          <w:tcPr>
            <w:tcW w:type="dxa" w:w="2020"/>
            <w:tcBorders>
              <w:bottom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z:</w:t>
            </w:r>
            <w:r>
              <w:rPr>
                <w:w w:val="98.3473727577611"/>
                <w:rFonts w:ascii="CMSY10" w:hAnsi="CMSY10" w:eastAsia="CMSY10"/>
                <w:b w:val="0"/>
                <w:i/>
                <w:color w:val="000000"/>
                <w:sz w:val="19"/>
              </w:rPr>
              <w:t>−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1.5803</w:t>
            </w:r>
          </w:p>
        </w:tc>
        <w:tc>
          <w:tcPr>
            <w:tcW w:type="dxa" w:w="2180"/>
            <w:tcBorders>
              <w:bottom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z: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2.4681 *</w:t>
            </w:r>
          </w:p>
        </w:tc>
        <w:tc>
          <w:tcPr>
            <w:tcW w:type="dxa" w:w="2048"/>
            <w:tcBorders>
              <w:bottom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z: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0.8410</w:t>
            </w:r>
          </w:p>
        </w:tc>
      </w:tr>
      <w:tr>
        <w:trPr>
          <w:trHeight w:hRule="exact" w:val="282"/>
        </w:trPr>
        <w:tc>
          <w:tcPr>
            <w:tcW w:type="dxa" w:w="2092"/>
            <w:vMerge w:val="restart"/>
            <w:tcBorders>
              <w:top w:sz="2.391999959945678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9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PVT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6</w:t>
            </w:r>
          </w:p>
        </w:tc>
        <w:tc>
          <w:tcPr>
            <w:tcW w:type="dxa" w:w="2130"/>
            <w:tcBorders>
              <w:top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517</w:t>
            </w:r>
          </w:p>
        </w:tc>
        <w:tc>
          <w:tcPr>
            <w:tcW w:type="dxa" w:w="2020"/>
            <w:tcBorders>
              <w:top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488</w:t>
            </w:r>
          </w:p>
        </w:tc>
        <w:tc>
          <w:tcPr>
            <w:tcW w:type="dxa" w:w="2180"/>
            <w:tcBorders>
              <w:top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132</w:t>
            </w:r>
          </w:p>
        </w:tc>
        <w:tc>
          <w:tcPr>
            <w:tcW w:type="dxa" w:w="2048"/>
            <w:tcBorders>
              <w:top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616</w:t>
            </w:r>
          </w:p>
        </w:tc>
      </w:tr>
      <w:tr>
        <w:trPr>
          <w:trHeight w:hRule="exact" w:val="120"/>
        </w:trPr>
        <w:tc>
          <w:tcPr>
            <w:tcW w:type="dxa" w:w="2105"/>
            <w:vMerge/>
            <w:tcBorders>
              <w:top w:sz="2.3919999599456787" w:val="single" w:color="#000000"/>
            </w:tcBorders>
          </w:tcPr>
          <w:p/>
        </w:tc>
        <w:tc>
          <w:tcPr>
            <w:tcW w:type="dxa" w:w="213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13.72%</w:t>
            </w:r>
          </w:p>
        </w:tc>
        <w:tc>
          <w:tcPr>
            <w:tcW w:type="dxa" w:w="2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12.95%</w:t>
            </w:r>
          </w:p>
        </w:tc>
        <w:tc>
          <w:tcPr>
            <w:tcW w:type="dxa" w:w="2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3.50%</w:t>
            </w:r>
          </w:p>
        </w:tc>
        <w:tc>
          <w:tcPr>
            <w:tcW w:type="dxa" w:w="204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16.35%</w:t>
            </w:r>
          </w:p>
        </w:tc>
      </w:tr>
      <w:tr>
        <w:trPr>
          <w:trHeight w:hRule="exact" w:val="80"/>
        </w:trPr>
        <w:tc>
          <w:tcPr>
            <w:tcW w:type="dxa" w:w="2092"/>
            <w:vMerge w:val="restart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PROSOCIAL</w:t>
            </w:r>
          </w:p>
        </w:tc>
        <w:tc>
          <w:tcPr>
            <w:tcW w:type="dxa" w:w="2105"/>
            <w:vMerge/>
            <w:tcBorders/>
          </w:tcPr>
          <w:p/>
        </w:tc>
        <w:tc>
          <w:tcPr>
            <w:tcW w:type="dxa" w:w="2105"/>
            <w:vMerge/>
            <w:tcBorders/>
          </w:tcPr>
          <w:p/>
        </w:tc>
        <w:tc>
          <w:tcPr>
            <w:tcW w:type="dxa" w:w="2105"/>
            <w:vMerge/>
            <w:tcBorders/>
          </w:tcPr>
          <w:p/>
        </w:tc>
        <w:tc>
          <w:tcPr>
            <w:tcW w:type="dxa" w:w="2105"/>
            <w:vMerge/>
            <w:tcBorders/>
          </w:tcPr>
          <w:p/>
        </w:tc>
      </w:tr>
      <w:tr>
        <w:trPr>
          <w:trHeight w:hRule="exact" w:val="276"/>
        </w:trPr>
        <w:tc>
          <w:tcPr>
            <w:tcW w:type="dxa" w:w="2105"/>
            <w:vMerge/>
            <w:tcBorders>
              <w:bottom w:sz="6.375999927520752" w:val="single" w:color="#000000"/>
            </w:tcBorders>
          </w:tcPr>
          <w:p/>
        </w:tc>
        <w:tc>
          <w:tcPr>
            <w:tcW w:type="dxa" w:w="2130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z: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0.4102</w:t>
            </w:r>
          </w:p>
        </w:tc>
        <w:tc>
          <w:tcPr>
            <w:tcW w:type="dxa" w:w="2020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z: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0.6113</w:t>
            </w:r>
          </w:p>
        </w:tc>
        <w:tc>
          <w:tcPr>
            <w:tcW w:type="dxa" w:w="2180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z:</w:t>
            </w:r>
            <w:r>
              <w:rPr>
                <w:w w:val="98.3473727577611"/>
                <w:rFonts w:ascii="CMSY10" w:hAnsi="CMSY10" w:eastAsia="CMSY10"/>
                <w:b w:val="0"/>
                <w:i/>
                <w:color w:val="000000"/>
                <w:sz w:val="19"/>
              </w:rPr>
              <w:t>−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6.2036 ***</w:t>
            </w:r>
          </w:p>
        </w:tc>
        <w:tc>
          <w:tcPr>
            <w:tcW w:type="dxa" w:w="2048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z: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3.1474 **</w:t>
            </w:r>
          </w:p>
        </w:tc>
      </w:tr>
    </w:tbl>
    <w:p>
      <w:pPr>
        <w:autoSpaceDN w:val="0"/>
        <w:autoSpaceDE w:val="0"/>
        <w:widowControl/>
        <w:spacing w:line="162" w:lineRule="exact" w:before="76" w:after="0"/>
        <w:ind w:left="2168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16"/>
        </w:rPr>
        <w:t>The z-score has the following statistical significance: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*</w:t>
      </w:r>
      <w:r>
        <w:rPr>
          <w:rFonts w:ascii="URWPalladioL" w:hAnsi="URWPalladioL" w:eastAsia="URWPalladioL"/>
          <w:b w:val="0"/>
          <w:i/>
          <w:color w:val="000000"/>
          <w:sz w:val="16"/>
        </w:rPr>
        <w:t xml:space="preserve"> p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 xml:space="preserve"> &lt; 0.05, **</w:t>
      </w:r>
      <w:r>
        <w:rPr>
          <w:rFonts w:ascii="URWPalladioL" w:hAnsi="URWPalladioL" w:eastAsia="URWPalladioL"/>
          <w:b w:val="0"/>
          <w:i/>
          <w:color w:val="000000"/>
          <w:sz w:val="16"/>
        </w:rPr>
        <w:t xml:space="preserve"> p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 xml:space="preserve"> &lt; 0.01, ***</w:t>
      </w:r>
      <w:r>
        <w:rPr>
          <w:rFonts w:ascii="URWPalladioL" w:hAnsi="URWPalladioL" w:eastAsia="URWPalladioL"/>
          <w:b w:val="0"/>
          <w:i/>
          <w:color w:val="000000"/>
          <w:sz w:val="16"/>
        </w:rPr>
        <w:t xml:space="preserve"> p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 xml:space="preserve"> &lt; 0.001.</w:t>
      </w:r>
    </w:p>
    <w:p>
      <w:pPr>
        <w:autoSpaceDN w:val="0"/>
        <w:autoSpaceDE w:val="0"/>
        <w:widowControl/>
        <w:spacing w:line="254" w:lineRule="exact" w:before="314" w:after="0"/>
        <w:ind w:left="2628" w:right="46" w:firstLine="430"/>
        <w:jc w:val="both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As well as in the case of the previous hypothesis, the relationship between personal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value types and categorized coherent index of economic situation can be considered as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statistically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significant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(</w:t>
      </w:r>
      <w:r>
        <w:rPr>
          <w:rFonts w:ascii="URWPalladioL" w:hAnsi="URWPalladioL" w:eastAsia="URWPalladioL"/>
          <w:b w:val="0"/>
          <w:i/>
          <w:color w:val="000000"/>
          <w:sz w:val="20"/>
        </w:rPr>
        <w:t>n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=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3768,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df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=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15,</w:t>
      </w:r>
      <w:r>
        <w:rPr>
          <w:rFonts w:ascii="PazoMath" w:hAnsi="PazoMath" w:eastAsia="PazoMath"/>
          <w:b w:val="0"/>
          <w:i/>
          <w:color w:val="000000"/>
          <w:sz w:val="20"/>
        </w:rPr>
        <w:t>χ</w:t>
      </w:r>
      <w:r>
        <w:rPr>
          <w:rFonts w:ascii="URWPalladioL" w:hAnsi="URWPalladioL" w:eastAsia="URWPalladioL"/>
          <w:b w:val="0"/>
          <w:i w:val="0"/>
          <w:color w:val="000000"/>
          <w:sz w:val="15"/>
        </w:rPr>
        <w:t>2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=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70.29,</w:t>
      </w:r>
      <w:r>
        <w:rPr>
          <w:rFonts w:ascii="URWPalladioL" w:hAnsi="URWPalladioL" w:eastAsia="URWPalladioL"/>
          <w:b w:val="0"/>
          <w:i/>
          <w:color w:val="000000"/>
          <w:sz w:val="20"/>
        </w:rPr>
        <w:t>p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&lt;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0.001)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Therefore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second 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hypothesis (H</w:t>
      </w:r>
      <w:r>
        <w:rPr>
          <w:rFonts w:ascii="URWPalladioL" w:hAnsi="URWPalladioL" w:eastAsia="URWPalladioL"/>
          <w:b w:val="0"/>
          <w:i w:val="0"/>
          <w:color w:val="000000"/>
          <w:sz w:val="15"/>
        </w:rPr>
        <w:t>2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) we stated could be confirmed.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As can be seen from Table</w:t>
      </w:r>
      <w:r>
        <w:rPr>
          <w:w w:val="98.62470626831055"/>
          <w:rFonts w:ascii="URWPalladioL" w:hAnsi="URWPalladioL" w:eastAsia="URWPalladioL"/>
          <w:b w:val="0"/>
          <w:i w:val="0"/>
          <w:color w:val="0875B7"/>
          <w:sz w:val="20"/>
        </w:rPr>
        <w:t xml:space="preserve"> 7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, the distribution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of numbers is different from the distribution of numbers in the case of the relationship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between value types and economic clusters which confirms the complex index of financial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situation</w:t>
      </w:r>
      <w:r>
        <w:rPr>
          <w:rFonts w:ascii="URWPalladioL" w:hAnsi="URWPalladioL" w:eastAsia="URWPalladioL"/>
          <w:b w:val="0"/>
          <w:i/>
          <w:color w:val="000000"/>
          <w:sz w:val="20"/>
        </w:rPr>
        <w:t xml:space="preserve"> I</w:t>
      </w:r>
      <w:r>
        <w:rPr>
          <w:rFonts w:ascii="URWPalladioL" w:hAnsi="URWPalladioL" w:eastAsia="URWPalladioL"/>
          <w:b w:val="0"/>
          <w:i/>
          <w:color w:val="000000"/>
          <w:sz w:val="15"/>
        </w:rPr>
        <w:t>es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(Equation (5)).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This difference confirms the economic situation is not the same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as the financial assurance, respectively the level of financial risk brought by the economic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situation clusters (</w:t>
      </w:r>
      <w:r>
        <w:rPr>
          <w:rFonts w:ascii="URWPalladioL" w:hAnsi="URWPalladioL" w:eastAsia="URWPalladioL"/>
          <w:b w:val="0"/>
          <w:i/>
          <w:color w:val="000000"/>
          <w:sz w:val="20"/>
        </w:rPr>
        <w:t>ES</w:t>
      </w:r>
      <w:r>
        <w:rPr>
          <w:rFonts w:ascii="URWPalladioL" w:hAnsi="URWPalladioL" w:eastAsia="URWPalladioL"/>
          <w:b w:val="0"/>
          <w:i w:val="0"/>
          <w:color w:val="000000"/>
          <w:sz w:val="15"/>
        </w:rPr>
        <w:t>1–4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).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However, the purpose of the complex economic situation index</w:t>
      </w:r>
    </w:p>
    <w:p>
      <w:pPr>
        <w:sectPr>
          <w:pgSz w:w="11906" w:h="16838"/>
          <w:pgMar w:top="538" w:right="668" w:bottom="642" w:left="7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5263"/>
        <w:gridCol w:w="5263"/>
      </w:tblGrid>
      <w:tr>
        <w:trPr>
          <w:trHeight w:hRule="exact" w:val="272"/>
        </w:trPr>
        <w:tc>
          <w:tcPr>
            <w:tcW w:type="dxa" w:w="554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0" w:after="0"/>
              <w:ind w:left="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/>
                <w:color w:val="000000"/>
                <w:sz w:val="16"/>
              </w:rPr>
              <w:t>Risks</w:t>
            </w:r>
            <w:r>
              <w:rPr>
                <w:rFonts w:ascii="URWPalladioL" w:hAnsi="URWPalladioL" w:eastAsia="URWPalladioL"/>
                <w:b/>
                <w:i w:val="0"/>
                <w:color w:val="000000"/>
                <w:sz w:val="16"/>
              </w:rPr>
              <w:t xml:space="preserve"> 2021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,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6"/>
              </w:rPr>
              <w:t xml:space="preserve"> 9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, 205</w:t>
            </w:r>
          </w:p>
        </w:tc>
        <w:tc>
          <w:tcPr>
            <w:tcW w:type="dxa" w:w="493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" w:after="0"/>
              <w:ind w:left="0" w:right="4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16 of 24</w:t>
            </w:r>
          </w:p>
        </w:tc>
      </w:tr>
    </w:tbl>
    <w:p>
      <w:pPr>
        <w:autoSpaceDN w:val="0"/>
        <w:autoSpaceDE w:val="0"/>
        <w:widowControl/>
        <w:spacing w:line="236" w:lineRule="exact" w:before="596" w:after="0"/>
        <w:ind w:left="2632" w:right="0" w:hanging="8"/>
        <w:jc w:val="left"/>
      </w:pP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(</w:t>
      </w:r>
      <w:r>
        <w:rPr>
          <w:w w:val="98.62470626831055"/>
          <w:rFonts w:ascii="URWPalladioL" w:hAnsi="URWPalladioL" w:eastAsia="URWPalladioL"/>
          <w:b w:val="0"/>
          <w:i/>
          <w:color w:val="000000"/>
          <w:sz w:val="20"/>
        </w:rPr>
        <w:t>I</w:t>
      </w:r>
      <w:r>
        <w:rPr>
          <w:rFonts w:ascii="URWPalladioL" w:hAnsi="URWPalladioL" w:eastAsia="URWPalladioL"/>
          <w:b w:val="0"/>
          <w:i/>
          <w:color w:val="000000"/>
          <w:sz w:val="15"/>
        </w:rPr>
        <w:t>es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) is different, and it is used only to express the cumulative indicator for further statistical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analyses.</w:t>
      </w:r>
    </w:p>
    <w:p>
      <w:pPr>
        <w:autoSpaceDN w:val="0"/>
        <w:autoSpaceDE w:val="0"/>
        <w:widowControl/>
        <w:spacing w:line="250" w:lineRule="exact" w:before="2" w:after="0"/>
        <w:ind w:left="2626" w:right="0" w:firstLine="424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>However, Table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 xml:space="preserve"> 7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 shows us more and for the following computation of the risk level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of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each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value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type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z-scores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which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express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standardized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residuals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for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each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cell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and allow us to analyse how each of the value types influences the economic situation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categories (</w:t>
      </w:r>
      <w:r>
        <w:rPr>
          <w:rFonts w:ascii="URWPalladioL" w:hAnsi="URWPalladioL" w:eastAsia="URWPalladioL"/>
          <w:b w:val="0"/>
          <w:i/>
          <w:color w:val="000000"/>
          <w:sz w:val="20"/>
        </w:rPr>
        <w:t>I</w:t>
      </w:r>
      <w:r>
        <w:rPr>
          <w:rFonts w:ascii="URWPalladioL" w:hAnsi="URWPalladioL" w:eastAsia="URWPalladioL"/>
          <w:b w:val="0"/>
          <w:i/>
          <w:color w:val="000000"/>
          <w:sz w:val="15"/>
        </w:rPr>
        <w:t>eccat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) and use these influences for calculation of each value type risk level.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highest risk is among the poorest in the religious group (z: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3.4454***).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Conversely, in this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same unfavourable economic situation, those in the prosocial group are at the lowest risk.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Their risk increases proportionally as the economic situation improves.</w:t>
      </w:r>
    </w:p>
    <w:p>
      <w:pPr>
        <w:autoSpaceDN w:val="0"/>
        <w:autoSpaceDE w:val="0"/>
        <w:widowControl/>
        <w:spacing w:line="198" w:lineRule="exact" w:before="306" w:after="130"/>
        <w:ind w:left="2626" w:right="0" w:firstLine="0"/>
        <w:jc w:val="left"/>
      </w:pPr>
      <w:r>
        <w:rPr>
          <w:rFonts w:ascii="URWPalladioL" w:hAnsi="URWPalladioL" w:eastAsia="URWPalladioL"/>
          <w:b/>
          <w:i w:val="0"/>
          <w:color w:val="000000"/>
          <w:sz w:val="18"/>
        </w:rPr>
        <w:t>Table 7.</w:t>
      </w:r>
      <w:r>
        <w:rPr>
          <w:rFonts w:ascii="URWPalladioL" w:hAnsi="URWPalladioL" w:eastAsia="URWPalladioL"/>
          <w:b w:val="0"/>
          <w:i/>
          <w:color w:val="000000"/>
          <w:sz w:val="18"/>
        </w:rPr>
        <w:t>I</w:t>
      </w:r>
      <w:r>
        <w:rPr>
          <w:rFonts w:ascii="URWPalladioL" w:hAnsi="URWPalladioL" w:eastAsia="URWPalladioL"/>
          <w:b w:val="0"/>
          <w:i/>
          <w:color w:val="000000"/>
          <w:sz w:val="14"/>
        </w:rPr>
        <w:t>eccat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/</w:t>
      </w:r>
      <w:r>
        <w:rPr>
          <w:rFonts w:ascii="URWPalladioL" w:hAnsi="URWPalladioL" w:eastAsia="URWPalladioL"/>
          <w:b w:val="0"/>
          <w:i/>
          <w:color w:val="000000"/>
          <w:sz w:val="18"/>
        </w:rPr>
        <w:t>PVT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 contingency table and standardized residuals (z-score) for each condition.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24.0" w:type="dxa"/>
      </w:tblPr>
      <w:tblGrid>
        <w:gridCol w:w="2105"/>
        <w:gridCol w:w="2105"/>
        <w:gridCol w:w="2105"/>
        <w:gridCol w:w="2105"/>
        <w:gridCol w:w="2105"/>
      </w:tblGrid>
      <w:tr>
        <w:trPr>
          <w:trHeight w:hRule="exact" w:val="322"/>
        </w:trPr>
        <w:tc>
          <w:tcPr>
            <w:tcW w:type="dxa" w:w="1572"/>
            <w:tcBorders>
              <w:top w:sz="6.375999927520752" w:val="single" w:color="#000000"/>
              <w:bottom w:sz="2.391999959945678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84"/>
            <w:gridSpan w:val="4"/>
            <w:tcBorders>
              <w:top w:sz="6.375999927520752" w:val="single" w:color="#000000"/>
              <w:bottom w:sz="2.391999959945678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7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18"/>
              </w:rPr>
              <w:t>Categorized Coherent Index of Economic Situation (</w:t>
            </w:r>
            <w:r>
              <w:rPr>
                <w:rFonts w:ascii="URWPalladioL" w:hAnsi="URWPalladioL" w:eastAsia="URWPalladioL"/>
                <w:b/>
                <w:i/>
                <w:color w:val="000000"/>
                <w:sz w:val="18"/>
              </w:rPr>
              <w:t>I</w:t>
            </w:r>
            <w:r>
              <w:rPr>
                <w:rFonts w:ascii="URWPalladioL" w:hAnsi="URWPalladioL" w:eastAsia="URWPalladioL"/>
                <w:b/>
                <w:i/>
                <w:color w:val="000000"/>
                <w:sz w:val="14"/>
              </w:rPr>
              <w:t>eccat</w:t>
            </w:r>
            <w:r>
              <w:rPr>
                <w:rFonts w:ascii="URWPalladioL" w:hAnsi="URWPalladioL" w:eastAsia="URWPalladioL"/>
                <w:b/>
                <w:i w:val="0"/>
                <w:color w:val="000000"/>
                <w:sz w:val="18"/>
              </w:rPr>
              <w:t>)</w:t>
            </w:r>
          </w:p>
        </w:tc>
      </w:tr>
      <w:tr>
        <w:trPr>
          <w:trHeight w:hRule="exact" w:val="262"/>
        </w:trPr>
        <w:tc>
          <w:tcPr>
            <w:tcW w:type="dxa" w:w="1572"/>
            <w:vMerge w:val="restart"/>
            <w:tcBorders>
              <w:top w:sz="2.3919999599456787" w:val="single" w:color="#000000"/>
              <w:bottom w:sz="2.391999959945678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288" w:right="288" w:firstLine="0"/>
              <w:jc w:val="center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18"/>
              </w:rPr>
              <w:t xml:space="preserve">Value Type </w:t>
            </w:r>
            <w:r>
              <w:rPr>
                <w:rFonts w:ascii="URWPalladioL" w:hAnsi="URWPalladioL" w:eastAsia="URWPalladioL"/>
                <w:b/>
                <w:i w:val="0"/>
                <w:color w:val="000000"/>
                <w:sz w:val="18"/>
              </w:rPr>
              <w:t>(</w:t>
            </w:r>
            <w:r>
              <w:rPr>
                <w:rFonts w:ascii="URWPalladioL" w:hAnsi="URWPalladioL" w:eastAsia="URWPalladioL"/>
                <w:b/>
                <w:i/>
                <w:color w:val="000000"/>
                <w:sz w:val="18"/>
              </w:rPr>
              <w:t>PVT</w:t>
            </w:r>
            <w:r>
              <w:rPr>
                <w:rFonts w:ascii="URWPalladioL" w:hAnsi="URWPalladioL" w:eastAsia="URWPalladioL"/>
                <w:b/>
                <w:i w:val="0"/>
                <w:color w:val="000000"/>
                <w:sz w:val="18"/>
              </w:rPr>
              <w:t>)</w:t>
            </w:r>
          </w:p>
        </w:tc>
        <w:tc>
          <w:tcPr>
            <w:tcW w:type="dxa" w:w="1530"/>
            <w:tcBorders>
              <w:top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620"/>
            <w:tcBorders>
              <w:top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600"/>
            <w:tcBorders>
              <w:top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534"/>
            <w:tcBorders>
              <w:top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18"/>
              </w:rPr>
              <w:t>4</w:t>
            </w:r>
          </w:p>
        </w:tc>
      </w:tr>
      <w:tr>
        <w:trPr>
          <w:trHeight w:hRule="exact" w:val="270"/>
        </w:trPr>
        <w:tc>
          <w:tcPr>
            <w:tcW w:type="dxa" w:w="2105"/>
            <w:vMerge/>
            <w:tcBorders>
              <w:top w:sz="2.3919999599456787" w:val="single" w:color="#000000"/>
              <w:bottom w:sz="2.3919999599456787" w:val="single" w:color="#000000"/>
            </w:tcBorders>
          </w:tcPr>
          <w:p/>
        </w:tc>
        <w:tc>
          <w:tcPr>
            <w:tcW w:type="dxa" w:w="1530"/>
            <w:tcBorders>
              <w:bottom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2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/>
                <w:i/>
                <w:color w:val="000000"/>
                <w:sz w:val="18"/>
              </w:rPr>
              <w:t>I</w:t>
            </w:r>
            <w:r>
              <w:rPr>
                <w:rFonts w:ascii="URWPalladioL" w:hAnsi="URWPalladioL" w:eastAsia="URWPalladioL"/>
                <w:b/>
                <w:i/>
                <w:color w:val="000000"/>
                <w:sz w:val="14"/>
              </w:rPr>
              <w:t>ec</w:t>
            </w:r>
            <w:r>
              <w:rPr>
                <w:w w:val="98.3473727577611"/>
                <w:rFonts w:ascii="CMSY10" w:hAnsi="CMSY10" w:eastAsia="CMSY10"/>
                <w:b w:val="0"/>
                <w:i/>
                <w:color w:val="000000"/>
                <w:sz w:val="19"/>
              </w:rPr>
              <w:t>≤</w:t>
            </w:r>
            <w:r>
              <w:rPr>
                <w:rFonts w:ascii="PazoMath" w:hAnsi="PazoMath" w:eastAsia="PazoMath"/>
                <w:b/>
                <w:i/>
                <w:color w:val="000000"/>
                <w:sz w:val="18"/>
              </w:rPr>
              <w:t>µ</w:t>
            </w:r>
            <w:r>
              <w:rPr>
                <w:w w:val="98.3473727577611"/>
                <w:rFonts w:ascii="CMSY10" w:hAnsi="CMSY10" w:eastAsia="CMSY10"/>
                <w:b w:val="0"/>
                <w:i/>
                <w:color w:val="000000"/>
                <w:sz w:val="19"/>
              </w:rPr>
              <w:t xml:space="preserve"> −</w:t>
            </w:r>
            <w:r>
              <w:rPr>
                <w:rFonts w:ascii="PazoMath" w:hAnsi="PazoMath" w:eastAsia="PazoMath"/>
                <w:b/>
                <w:i/>
                <w:color w:val="000000"/>
                <w:sz w:val="18"/>
              </w:rPr>
              <w:t>σ</w:t>
            </w:r>
          </w:p>
        </w:tc>
        <w:tc>
          <w:tcPr>
            <w:tcW w:type="dxa" w:w="1620"/>
            <w:tcBorders>
              <w:bottom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20" w:after="0"/>
              <w:ind w:left="0" w:right="0" w:firstLine="0"/>
              <w:jc w:val="center"/>
            </w:pPr>
            <w:r>
              <w:rPr>
                <w:rFonts w:ascii="PazoMath" w:hAnsi="PazoMath" w:eastAsia="PazoMath"/>
                <w:b/>
                <w:i/>
                <w:color w:val="000000"/>
                <w:sz w:val="18"/>
              </w:rPr>
              <w:t>µ</w:t>
            </w:r>
            <w:r>
              <w:rPr>
                <w:w w:val="98.3473727577611"/>
                <w:rFonts w:ascii="CMSY10" w:hAnsi="CMSY10" w:eastAsia="CMSY10"/>
                <w:b w:val="0"/>
                <w:i/>
                <w:color w:val="000000"/>
                <w:sz w:val="19"/>
              </w:rPr>
              <w:t xml:space="preserve"> −</w:t>
            </w:r>
            <w:r>
              <w:rPr>
                <w:rFonts w:ascii="PazoMath" w:hAnsi="PazoMath" w:eastAsia="PazoMath"/>
                <w:b/>
                <w:i/>
                <w:color w:val="000000"/>
                <w:sz w:val="18"/>
              </w:rPr>
              <w:t>σ</w:t>
            </w:r>
            <w:r>
              <w:rPr>
                <w:rFonts w:ascii="URWPalladioL" w:hAnsi="URWPalladioL" w:eastAsia="URWPalladioL"/>
                <w:b/>
                <w:i w:val="0"/>
                <w:color w:val="000000"/>
                <w:sz w:val="18"/>
              </w:rPr>
              <w:t>&lt;</w:t>
            </w:r>
            <w:r>
              <w:rPr>
                <w:rFonts w:ascii="URWPalladioL" w:hAnsi="URWPalladioL" w:eastAsia="URWPalladioL"/>
                <w:b/>
                <w:i/>
                <w:color w:val="000000"/>
                <w:sz w:val="18"/>
              </w:rPr>
              <w:t xml:space="preserve"> I</w:t>
            </w:r>
            <w:r>
              <w:rPr>
                <w:rFonts w:ascii="URWPalladioL" w:hAnsi="URWPalladioL" w:eastAsia="URWPalladioL"/>
                <w:b/>
                <w:i/>
                <w:color w:val="000000"/>
                <w:sz w:val="14"/>
              </w:rPr>
              <w:t>ec</w:t>
            </w:r>
            <w:r>
              <w:rPr>
                <w:w w:val="98.3473727577611"/>
                <w:rFonts w:ascii="CMSY10" w:hAnsi="CMSY10" w:eastAsia="CMSY10"/>
                <w:b w:val="0"/>
                <w:i/>
                <w:color w:val="000000"/>
                <w:sz w:val="19"/>
              </w:rPr>
              <w:t>≤</w:t>
            </w:r>
            <w:r>
              <w:rPr>
                <w:rFonts w:ascii="PazoMath" w:hAnsi="PazoMath" w:eastAsia="PazoMath"/>
                <w:b/>
                <w:i/>
                <w:color w:val="000000"/>
                <w:sz w:val="18"/>
              </w:rPr>
              <w:t>µ</w:t>
            </w:r>
          </w:p>
        </w:tc>
        <w:tc>
          <w:tcPr>
            <w:tcW w:type="dxa" w:w="1600"/>
            <w:tcBorders>
              <w:bottom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20" w:after="0"/>
              <w:ind w:left="0" w:right="0" w:firstLine="0"/>
              <w:jc w:val="center"/>
            </w:pPr>
            <w:r>
              <w:rPr>
                <w:rFonts w:ascii="PazoMath" w:hAnsi="PazoMath" w:eastAsia="PazoMath"/>
                <w:b/>
                <w:i/>
                <w:color w:val="000000"/>
                <w:sz w:val="18"/>
              </w:rPr>
              <w:t>µ</w:t>
            </w:r>
            <w:r>
              <w:rPr>
                <w:rFonts w:ascii="URWPalladioL" w:hAnsi="URWPalladioL" w:eastAsia="URWPalladioL"/>
                <w:b/>
                <w:i w:val="0"/>
                <w:color w:val="000000"/>
                <w:sz w:val="18"/>
              </w:rPr>
              <w:t xml:space="preserve"> &lt;</w:t>
            </w:r>
            <w:r>
              <w:rPr>
                <w:rFonts w:ascii="URWPalladioL" w:hAnsi="URWPalladioL" w:eastAsia="URWPalladioL"/>
                <w:b/>
                <w:i/>
                <w:color w:val="000000"/>
                <w:sz w:val="18"/>
              </w:rPr>
              <w:t xml:space="preserve"> I</w:t>
            </w:r>
            <w:r>
              <w:rPr>
                <w:rFonts w:ascii="URWPalladioL" w:hAnsi="URWPalladioL" w:eastAsia="URWPalladioL"/>
                <w:b/>
                <w:i/>
                <w:color w:val="000000"/>
                <w:sz w:val="14"/>
              </w:rPr>
              <w:t>ec</w:t>
            </w:r>
            <w:r>
              <w:rPr>
                <w:w w:val="98.3473727577611"/>
                <w:rFonts w:ascii="CMSY10" w:hAnsi="CMSY10" w:eastAsia="CMSY10"/>
                <w:b w:val="0"/>
                <w:i/>
                <w:color w:val="000000"/>
                <w:sz w:val="19"/>
              </w:rPr>
              <w:t>≤</w:t>
            </w:r>
            <w:r>
              <w:rPr>
                <w:rFonts w:ascii="PazoMath" w:hAnsi="PazoMath" w:eastAsia="PazoMath"/>
                <w:b/>
                <w:i/>
                <w:color w:val="000000"/>
                <w:sz w:val="18"/>
              </w:rPr>
              <w:t>µ</w:t>
            </w:r>
            <w:r>
              <w:rPr>
                <w:rFonts w:ascii="URWPalladioL" w:hAnsi="URWPalladioL" w:eastAsia="URWPalladioL"/>
                <w:b/>
                <w:i w:val="0"/>
                <w:color w:val="000000"/>
                <w:sz w:val="18"/>
              </w:rPr>
              <w:t xml:space="preserve"> +</w:t>
            </w:r>
            <w:r>
              <w:rPr>
                <w:rFonts w:ascii="PazoMath" w:hAnsi="PazoMath" w:eastAsia="PazoMath"/>
                <w:b/>
                <w:i/>
                <w:color w:val="000000"/>
                <w:sz w:val="18"/>
              </w:rPr>
              <w:t xml:space="preserve"> σ</w:t>
            </w:r>
          </w:p>
        </w:tc>
        <w:tc>
          <w:tcPr>
            <w:tcW w:type="dxa" w:w="1534"/>
            <w:tcBorders>
              <w:bottom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20" w:after="0"/>
              <w:ind w:left="0" w:right="0" w:firstLine="0"/>
              <w:jc w:val="center"/>
            </w:pPr>
            <w:r>
              <w:rPr>
                <w:rFonts w:ascii="PazoMath" w:hAnsi="PazoMath" w:eastAsia="PazoMath"/>
                <w:b/>
                <w:i/>
                <w:color w:val="000000"/>
                <w:sz w:val="18"/>
              </w:rPr>
              <w:t>µ</w:t>
            </w:r>
            <w:r>
              <w:rPr>
                <w:rFonts w:ascii="URWPalladioL" w:hAnsi="URWPalladioL" w:eastAsia="URWPalladioL"/>
                <w:b/>
                <w:i w:val="0"/>
                <w:color w:val="000000"/>
                <w:sz w:val="18"/>
              </w:rPr>
              <w:t xml:space="preserve"> +</w:t>
            </w:r>
            <w:r>
              <w:rPr>
                <w:rFonts w:ascii="PazoMath" w:hAnsi="PazoMath" w:eastAsia="PazoMath"/>
                <w:b/>
                <w:i/>
                <w:color w:val="000000"/>
                <w:sz w:val="18"/>
              </w:rPr>
              <w:t xml:space="preserve"> σ</w:t>
            </w:r>
            <w:r>
              <w:rPr>
                <w:w w:val="98.3473727577611"/>
                <w:rFonts w:ascii="CMSY10" w:hAnsi="CMSY10" w:eastAsia="CMSY10"/>
                <w:b w:val="0"/>
                <w:i/>
                <w:color w:val="000000"/>
                <w:sz w:val="19"/>
              </w:rPr>
              <w:t>≤</w:t>
            </w:r>
            <w:r>
              <w:rPr>
                <w:rFonts w:ascii="URWPalladioL" w:hAnsi="URWPalladioL" w:eastAsia="URWPalladioL"/>
                <w:b/>
                <w:i/>
                <w:color w:val="000000"/>
                <w:sz w:val="18"/>
              </w:rPr>
              <w:t>I</w:t>
            </w:r>
            <w:r>
              <w:rPr>
                <w:rFonts w:ascii="URWPalladioL" w:hAnsi="URWPalladioL" w:eastAsia="URWPalladioL"/>
                <w:b/>
                <w:i/>
                <w:color w:val="000000"/>
                <w:sz w:val="14"/>
              </w:rPr>
              <w:t>ec</w:t>
            </w:r>
          </w:p>
        </w:tc>
      </w:tr>
      <w:tr>
        <w:trPr>
          <w:trHeight w:hRule="exact" w:val="270"/>
        </w:trPr>
        <w:tc>
          <w:tcPr>
            <w:tcW w:type="dxa" w:w="1572"/>
            <w:vMerge w:val="restart"/>
            <w:tcBorders>
              <w:top w:sz="2.3919999599456787" w:val="single" w:color="#000000"/>
              <w:bottom w:sz="2.391999959945678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0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PVT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 xml:space="preserve">1 </w:t>
            </w:r>
            <w:r>
              <w:br/>
            </w:r>
            <w:r>
              <w:rPr>
                <w:w w:val="98.62537384033203"/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CONSERVATIVE</w:t>
            </w:r>
          </w:p>
        </w:tc>
        <w:tc>
          <w:tcPr>
            <w:tcW w:type="dxa" w:w="1530"/>
            <w:tcBorders>
              <w:top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206</w:t>
            </w:r>
          </w:p>
        </w:tc>
        <w:tc>
          <w:tcPr>
            <w:tcW w:type="dxa" w:w="1620"/>
            <w:tcBorders>
              <w:top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456</w:t>
            </w:r>
          </w:p>
        </w:tc>
        <w:tc>
          <w:tcPr>
            <w:tcW w:type="dxa" w:w="1600"/>
            <w:tcBorders>
              <w:top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420</w:t>
            </w:r>
          </w:p>
        </w:tc>
        <w:tc>
          <w:tcPr>
            <w:tcW w:type="dxa" w:w="1534"/>
            <w:tcBorders>
              <w:top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257</w:t>
            </w:r>
          </w:p>
        </w:tc>
      </w:tr>
      <w:tr>
        <w:trPr>
          <w:trHeight w:hRule="exact" w:val="220"/>
        </w:trPr>
        <w:tc>
          <w:tcPr>
            <w:tcW w:type="dxa" w:w="2105"/>
            <w:vMerge/>
            <w:tcBorders>
              <w:top w:sz="2.3919999599456787" w:val="single" w:color="#000000"/>
              <w:bottom w:sz="2.3919999599456787" w:val="single" w:color="#000000"/>
            </w:tcBorders>
          </w:tcPr>
          <w:p/>
        </w:tc>
        <w:tc>
          <w:tcPr>
            <w:tcW w:type="dxa" w:w="15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5.47%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12.10%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11.15%</w:t>
            </w:r>
          </w:p>
        </w:tc>
        <w:tc>
          <w:tcPr>
            <w:tcW w:type="dxa" w:w="15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6.82%</w:t>
            </w:r>
          </w:p>
        </w:tc>
      </w:tr>
      <w:tr>
        <w:trPr>
          <w:trHeight w:hRule="exact" w:val="264"/>
        </w:trPr>
        <w:tc>
          <w:tcPr>
            <w:tcW w:type="dxa" w:w="2105"/>
            <w:vMerge/>
            <w:tcBorders>
              <w:top w:sz="2.3919999599456787" w:val="single" w:color="#000000"/>
              <w:bottom w:sz="2.3919999599456787" w:val="single" w:color="#000000"/>
            </w:tcBorders>
          </w:tcPr>
          <w:p/>
        </w:tc>
        <w:tc>
          <w:tcPr>
            <w:tcW w:type="dxa" w:w="1530"/>
            <w:tcBorders>
              <w:bottom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z: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2.2779 *</w:t>
            </w:r>
          </w:p>
        </w:tc>
        <w:tc>
          <w:tcPr>
            <w:tcW w:type="dxa" w:w="1620"/>
            <w:tcBorders>
              <w:bottom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z: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1.1121</w:t>
            </w:r>
          </w:p>
        </w:tc>
        <w:tc>
          <w:tcPr>
            <w:tcW w:type="dxa" w:w="1600"/>
            <w:tcBorders>
              <w:bottom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z:</w:t>
            </w:r>
            <w:r>
              <w:rPr>
                <w:w w:val="98.3473727577611"/>
                <w:rFonts w:ascii="CMSY10" w:hAnsi="CMSY10" w:eastAsia="CMSY10"/>
                <w:b w:val="0"/>
                <w:i/>
                <w:color w:val="000000"/>
                <w:sz w:val="19"/>
              </w:rPr>
              <w:t>−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1.4193</w:t>
            </w:r>
          </w:p>
        </w:tc>
        <w:tc>
          <w:tcPr>
            <w:tcW w:type="dxa" w:w="1534"/>
            <w:tcBorders>
              <w:bottom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z:</w:t>
            </w:r>
            <w:r>
              <w:rPr>
                <w:w w:val="98.3473727577611"/>
                <w:rFonts w:ascii="CMSY10" w:hAnsi="CMSY10" w:eastAsia="CMSY10"/>
                <w:b w:val="0"/>
                <w:i/>
                <w:color w:val="000000"/>
                <w:sz w:val="19"/>
              </w:rPr>
              <w:t>−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1.5790</w:t>
            </w:r>
          </w:p>
        </w:tc>
      </w:tr>
      <w:tr>
        <w:trPr>
          <w:trHeight w:hRule="exact" w:val="276"/>
        </w:trPr>
        <w:tc>
          <w:tcPr>
            <w:tcW w:type="dxa" w:w="1572"/>
            <w:vMerge w:val="restart"/>
            <w:tcBorders>
              <w:top w:sz="2.3919999599456787" w:val="single" w:color="#000000"/>
              <w:bottom w:sz="2.391999959945678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19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PVT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 xml:space="preserve">2 </w:t>
            </w:r>
            <w:r>
              <w:br/>
            </w:r>
            <w:r>
              <w:rPr>
                <w:w w:val="98.62537384033203"/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VENTURESOME</w:t>
            </w:r>
          </w:p>
        </w:tc>
        <w:tc>
          <w:tcPr>
            <w:tcW w:type="dxa" w:w="1530"/>
            <w:tcBorders>
              <w:top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45</w:t>
            </w:r>
          </w:p>
        </w:tc>
        <w:tc>
          <w:tcPr>
            <w:tcW w:type="dxa" w:w="1620"/>
            <w:tcBorders>
              <w:top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76</w:t>
            </w:r>
          </w:p>
        </w:tc>
        <w:tc>
          <w:tcPr>
            <w:tcW w:type="dxa" w:w="1600"/>
            <w:tcBorders>
              <w:top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50</w:t>
            </w:r>
          </w:p>
        </w:tc>
        <w:tc>
          <w:tcPr>
            <w:tcW w:type="dxa" w:w="1534"/>
            <w:tcBorders>
              <w:top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28</w:t>
            </w:r>
          </w:p>
        </w:tc>
      </w:tr>
      <w:tr>
        <w:trPr>
          <w:trHeight w:hRule="exact" w:val="200"/>
        </w:trPr>
        <w:tc>
          <w:tcPr>
            <w:tcW w:type="dxa" w:w="2105"/>
            <w:vMerge/>
            <w:tcBorders>
              <w:top w:sz="2.3919999599456787" w:val="single" w:color="#000000"/>
              <w:bottom w:sz="2.3919999599456787" w:val="single" w:color="#000000"/>
            </w:tcBorders>
          </w:tcPr>
          <w:p/>
        </w:tc>
        <w:tc>
          <w:tcPr>
            <w:tcW w:type="dxa" w:w="15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1.19%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2.02%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1.33%</w:t>
            </w:r>
          </w:p>
        </w:tc>
        <w:tc>
          <w:tcPr>
            <w:tcW w:type="dxa" w:w="15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0.74%</w:t>
            </w:r>
          </w:p>
        </w:tc>
      </w:tr>
      <w:tr>
        <w:trPr>
          <w:trHeight w:hRule="exact" w:val="280"/>
        </w:trPr>
        <w:tc>
          <w:tcPr>
            <w:tcW w:type="dxa" w:w="2105"/>
            <w:vMerge/>
            <w:tcBorders>
              <w:top w:sz="2.3919999599456787" w:val="single" w:color="#000000"/>
              <w:bottom w:sz="2.3919999599456787" w:val="single" w:color="#000000"/>
            </w:tcBorders>
          </w:tcPr>
          <w:p/>
        </w:tc>
        <w:tc>
          <w:tcPr>
            <w:tcW w:type="dxa" w:w="1530"/>
            <w:tcBorders>
              <w:bottom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z: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3.7746 ***</w:t>
            </w:r>
          </w:p>
        </w:tc>
        <w:tc>
          <w:tcPr>
            <w:tcW w:type="dxa" w:w="1620"/>
            <w:tcBorders>
              <w:bottom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z: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1.6294</w:t>
            </w:r>
          </w:p>
        </w:tc>
        <w:tc>
          <w:tcPr>
            <w:tcW w:type="dxa" w:w="1600"/>
            <w:tcBorders>
              <w:bottom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z:</w:t>
            </w:r>
            <w:r>
              <w:rPr>
                <w:w w:val="98.3473727577611"/>
                <w:rFonts w:ascii="CMSY10" w:hAnsi="CMSY10" w:eastAsia="CMSY10"/>
                <w:b w:val="0"/>
                <w:i/>
                <w:color w:val="000000"/>
                <w:sz w:val="19"/>
              </w:rPr>
              <w:t>−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2.3778 *</w:t>
            </w:r>
          </w:p>
        </w:tc>
        <w:tc>
          <w:tcPr>
            <w:tcW w:type="dxa" w:w="1534"/>
            <w:tcBorders>
              <w:bottom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z:</w:t>
            </w:r>
            <w:r>
              <w:rPr>
                <w:w w:val="98.3473727577611"/>
                <w:rFonts w:ascii="CMSY10" w:hAnsi="CMSY10" w:eastAsia="CMSY10"/>
                <w:b w:val="0"/>
                <w:i/>
                <w:color w:val="000000"/>
                <w:sz w:val="19"/>
              </w:rPr>
              <w:t>−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2.3385 *</w:t>
            </w:r>
          </w:p>
        </w:tc>
      </w:tr>
      <w:tr>
        <w:trPr>
          <w:trHeight w:hRule="exact" w:val="280"/>
        </w:trPr>
        <w:tc>
          <w:tcPr>
            <w:tcW w:type="dxa" w:w="1572"/>
            <w:vMerge w:val="restart"/>
            <w:tcBorders>
              <w:top w:sz="2.3919999599456787" w:val="single" w:color="#000000"/>
              <w:bottom w:sz="2.391999959945678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196" w:after="0"/>
              <w:ind w:left="288" w:right="288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PVT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 xml:space="preserve">3 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RELIGIOUS</w:t>
            </w:r>
          </w:p>
        </w:tc>
        <w:tc>
          <w:tcPr>
            <w:tcW w:type="dxa" w:w="1530"/>
            <w:tcBorders>
              <w:top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62</w:t>
            </w:r>
          </w:p>
        </w:tc>
        <w:tc>
          <w:tcPr>
            <w:tcW w:type="dxa" w:w="1620"/>
            <w:tcBorders>
              <w:top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84</w:t>
            </w:r>
          </w:p>
        </w:tc>
        <w:tc>
          <w:tcPr>
            <w:tcW w:type="dxa" w:w="1600"/>
            <w:tcBorders>
              <w:top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109</w:t>
            </w:r>
          </w:p>
        </w:tc>
        <w:tc>
          <w:tcPr>
            <w:tcW w:type="dxa" w:w="1534"/>
            <w:tcBorders>
              <w:top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53</w:t>
            </w:r>
          </w:p>
        </w:tc>
      </w:tr>
      <w:tr>
        <w:trPr>
          <w:trHeight w:hRule="exact" w:val="200"/>
        </w:trPr>
        <w:tc>
          <w:tcPr>
            <w:tcW w:type="dxa" w:w="2105"/>
            <w:vMerge/>
            <w:tcBorders>
              <w:top w:sz="2.3919999599456787" w:val="single" w:color="#000000"/>
              <w:bottom w:sz="2.3919999599456787" w:val="single" w:color="#000000"/>
            </w:tcBorders>
          </w:tcPr>
          <w:p/>
        </w:tc>
        <w:tc>
          <w:tcPr>
            <w:tcW w:type="dxa" w:w="15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1.65%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2.23%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2.89%</w:t>
            </w:r>
          </w:p>
        </w:tc>
        <w:tc>
          <w:tcPr>
            <w:tcW w:type="dxa" w:w="15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1.41%</w:t>
            </w:r>
          </w:p>
        </w:tc>
      </w:tr>
      <w:tr>
        <w:trPr>
          <w:trHeight w:hRule="exact" w:val="270"/>
        </w:trPr>
        <w:tc>
          <w:tcPr>
            <w:tcW w:type="dxa" w:w="2105"/>
            <w:vMerge/>
            <w:tcBorders>
              <w:top w:sz="2.3919999599456787" w:val="single" w:color="#000000"/>
              <w:bottom w:sz="2.3919999599456787" w:val="single" w:color="#000000"/>
            </w:tcBorders>
          </w:tcPr>
          <w:p/>
        </w:tc>
        <w:tc>
          <w:tcPr>
            <w:tcW w:type="dxa" w:w="1530"/>
            <w:tcBorders>
              <w:bottom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z: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3.4454 ***</w:t>
            </w:r>
          </w:p>
        </w:tc>
        <w:tc>
          <w:tcPr>
            <w:tcW w:type="dxa" w:w="1620"/>
            <w:tcBorders>
              <w:bottom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z:</w:t>
            </w:r>
            <w:r>
              <w:rPr>
                <w:w w:val="98.3473727577611"/>
                <w:rFonts w:ascii="CMSY10" w:hAnsi="CMSY10" w:eastAsia="CMSY10"/>
                <w:b w:val="0"/>
                <w:i/>
                <w:color w:val="000000"/>
                <w:sz w:val="19"/>
              </w:rPr>
              <w:t>−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2.1967 *</w:t>
            </w:r>
          </w:p>
        </w:tc>
        <w:tc>
          <w:tcPr>
            <w:tcW w:type="dxa" w:w="1600"/>
            <w:tcBorders>
              <w:bottom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z: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0.9986</w:t>
            </w:r>
          </w:p>
        </w:tc>
        <w:tc>
          <w:tcPr>
            <w:tcW w:type="dxa" w:w="1534"/>
            <w:tcBorders>
              <w:bottom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z:</w:t>
            </w:r>
            <w:r>
              <w:rPr>
                <w:w w:val="98.3473727577611"/>
                <w:rFonts w:ascii="CMSY10" w:hAnsi="CMSY10" w:eastAsia="CMSY10"/>
                <w:b w:val="0"/>
                <w:i/>
                <w:color w:val="000000"/>
                <w:sz w:val="19"/>
              </w:rPr>
              <w:t>−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1.5338</w:t>
            </w:r>
          </w:p>
        </w:tc>
      </w:tr>
      <w:tr>
        <w:trPr>
          <w:trHeight w:hRule="exact" w:val="270"/>
        </w:trPr>
        <w:tc>
          <w:tcPr>
            <w:tcW w:type="dxa" w:w="1572"/>
            <w:vMerge w:val="restart"/>
            <w:tcBorders>
              <w:top w:sz="2.3919999599456787" w:val="single" w:color="#000000"/>
              <w:bottom w:sz="2.391999959945678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200" w:after="0"/>
              <w:ind w:left="288" w:right="288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PVT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 xml:space="preserve">4 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LIBERAL</w:t>
            </w:r>
          </w:p>
        </w:tc>
        <w:tc>
          <w:tcPr>
            <w:tcW w:type="dxa" w:w="1530"/>
            <w:tcBorders>
              <w:top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19</w:t>
            </w:r>
          </w:p>
        </w:tc>
        <w:tc>
          <w:tcPr>
            <w:tcW w:type="dxa" w:w="1620"/>
            <w:tcBorders>
              <w:top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39</w:t>
            </w:r>
          </w:p>
        </w:tc>
        <w:tc>
          <w:tcPr>
            <w:tcW w:type="dxa" w:w="1600"/>
            <w:tcBorders>
              <w:top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45</w:t>
            </w:r>
          </w:p>
        </w:tc>
        <w:tc>
          <w:tcPr>
            <w:tcW w:type="dxa" w:w="1534"/>
            <w:tcBorders>
              <w:top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33</w:t>
            </w:r>
          </w:p>
        </w:tc>
      </w:tr>
      <w:tr>
        <w:trPr>
          <w:trHeight w:hRule="exact" w:val="220"/>
        </w:trPr>
        <w:tc>
          <w:tcPr>
            <w:tcW w:type="dxa" w:w="2105"/>
            <w:vMerge/>
            <w:tcBorders>
              <w:top w:sz="2.3919999599456787" w:val="single" w:color="#000000"/>
              <w:bottom w:sz="2.3919999599456787" w:val="single" w:color="#000000"/>
            </w:tcBorders>
          </w:tcPr>
          <w:p/>
        </w:tc>
        <w:tc>
          <w:tcPr>
            <w:tcW w:type="dxa" w:w="15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0.50%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1.04%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1.19%</w:t>
            </w:r>
          </w:p>
        </w:tc>
        <w:tc>
          <w:tcPr>
            <w:tcW w:type="dxa" w:w="15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0.88%</w:t>
            </w:r>
          </w:p>
        </w:tc>
      </w:tr>
      <w:tr>
        <w:trPr>
          <w:trHeight w:hRule="exact" w:val="264"/>
        </w:trPr>
        <w:tc>
          <w:tcPr>
            <w:tcW w:type="dxa" w:w="2105"/>
            <w:vMerge/>
            <w:tcBorders>
              <w:top w:sz="2.3919999599456787" w:val="single" w:color="#000000"/>
              <w:bottom w:sz="2.3919999599456787" w:val="single" w:color="#000000"/>
            </w:tcBorders>
          </w:tcPr>
          <w:p/>
        </w:tc>
        <w:tc>
          <w:tcPr>
            <w:tcW w:type="dxa" w:w="1530"/>
            <w:tcBorders>
              <w:bottom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z: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0.1047</w:t>
            </w:r>
          </w:p>
        </w:tc>
        <w:tc>
          <w:tcPr>
            <w:tcW w:type="dxa" w:w="1620"/>
            <w:tcBorders>
              <w:bottom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z:</w:t>
            </w:r>
            <w:r>
              <w:rPr>
                <w:w w:val="98.3473727577611"/>
                <w:rFonts w:ascii="CMSY10" w:hAnsi="CMSY10" w:eastAsia="CMSY10"/>
                <w:b w:val="0"/>
                <w:i/>
                <w:color w:val="000000"/>
                <w:sz w:val="19"/>
              </w:rPr>
              <w:t>−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1.0699</w:t>
            </w:r>
          </w:p>
        </w:tc>
        <w:tc>
          <w:tcPr>
            <w:tcW w:type="dxa" w:w="1600"/>
            <w:tcBorders>
              <w:bottom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z: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0.0655</w:t>
            </w:r>
          </w:p>
        </w:tc>
        <w:tc>
          <w:tcPr>
            <w:tcW w:type="dxa" w:w="1534"/>
            <w:tcBorders>
              <w:bottom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z: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1.0781</w:t>
            </w:r>
          </w:p>
        </w:tc>
      </w:tr>
      <w:tr>
        <w:trPr>
          <w:trHeight w:hRule="exact" w:val="276"/>
        </w:trPr>
        <w:tc>
          <w:tcPr>
            <w:tcW w:type="dxa" w:w="1572"/>
            <w:vMerge w:val="restart"/>
            <w:tcBorders>
              <w:top w:sz="2.3919999599456787" w:val="single" w:color="#000000"/>
              <w:bottom w:sz="2.391999959945678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200" w:after="0"/>
              <w:ind w:left="432" w:right="432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PVT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 xml:space="preserve">5 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POWER</w:t>
            </w:r>
          </w:p>
        </w:tc>
        <w:tc>
          <w:tcPr>
            <w:tcW w:type="dxa" w:w="1530"/>
            <w:tcBorders>
              <w:top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620"/>
            <w:tcBorders>
              <w:top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600"/>
            <w:tcBorders>
              <w:top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1534"/>
            <w:tcBorders>
              <w:top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9</w:t>
            </w:r>
          </w:p>
        </w:tc>
      </w:tr>
      <w:tr>
        <w:trPr>
          <w:trHeight w:hRule="exact" w:val="200"/>
        </w:trPr>
        <w:tc>
          <w:tcPr>
            <w:tcW w:type="dxa" w:w="2105"/>
            <w:vMerge/>
            <w:tcBorders>
              <w:top w:sz="2.3919999599456787" w:val="single" w:color="#000000"/>
              <w:bottom w:sz="2.3919999599456787" w:val="single" w:color="#000000"/>
            </w:tcBorders>
          </w:tcPr>
          <w:p/>
        </w:tc>
        <w:tc>
          <w:tcPr>
            <w:tcW w:type="dxa" w:w="15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0.21%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0.19%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0.24%</w:t>
            </w:r>
          </w:p>
        </w:tc>
        <w:tc>
          <w:tcPr>
            <w:tcW w:type="dxa" w:w="15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0.24%</w:t>
            </w:r>
          </w:p>
        </w:tc>
      </w:tr>
      <w:tr>
        <w:trPr>
          <w:trHeight w:hRule="exact" w:val="280"/>
        </w:trPr>
        <w:tc>
          <w:tcPr>
            <w:tcW w:type="dxa" w:w="2105"/>
            <w:vMerge/>
            <w:tcBorders>
              <w:top w:sz="2.3919999599456787" w:val="single" w:color="#000000"/>
              <w:bottom w:sz="2.3919999599456787" w:val="single" w:color="#000000"/>
            </w:tcBorders>
          </w:tcPr>
          <w:p/>
        </w:tc>
        <w:tc>
          <w:tcPr>
            <w:tcW w:type="dxa" w:w="1530"/>
            <w:tcBorders>
              <w:bottom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z: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1.7762</w:t>
            </w:r>
          </w:p>
        </w:tc>
        <w:tc>
          <w:tcPr>
            <w:tcW w:type="dxa" w:w="1620"/>
            <w:tcBorders>
              <w:bottom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z:</w:t>
            </w:r>
            <w:r>
              <w:rPr>
                <w:w w:val="98.3473727577611"/>
                <w:rFonts w:ascii="CMSY10" w:hAnsi="CMSY10" w:eastAsia="CMSY10"/>
                <w:b w:val="0"/>
                <w:i/>
                <w:color w:val="000000"/>
                <w:sz w:val="19"/>
              </w:rPr>
              <w:t>−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1.4363</w:t>
            </w:r>
          </w:p>
        </w:tc>
        <w:tc>
          <w:tcPr>
            <w:tcW w:type="dxa" w:w="1600"/>
            <w:tcBorders>
              <w:bottom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z:</w:t>
            </w:r>
            <w:r>
              <w:rPr>
                <w:w w:val="98.3473727577611"/>
                <w:rFonts w:ascii="CMSY10" w:hAnsi="CMSY10" w:eastAsia="CMSY10"/>
                <w:b w:val="0"/>
                <w:i/>
                <w:color w:val="000000"/>
                <w:sz w:val="19"/>
              </w:rPr>
              <w:t>−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0.6827</w:t>
            </w:r>
          </w:p>
        </w:tc>
        <w:tc>
          <w:tcPr>
            <w:tcW w:type="dxa" w:w="1534"/>
            <w:tcBorders>
              <w:bottom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z: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0.9528</w:t>
            </w:r>
          </w:p>
        </w:tc>
      </w:tr>
      <w:tr>
        <w:trPr>
          <w:trHeight w:hRule="exact" w:val="280"/>
        </w:trPr>
        <w:tc>
          <w:tcPr>
            <w:tcW w:type="dxa" w:w="1572"/>
            <w:vMerge w:val="restart"/>
            <w:tcBorders>
              <w:top w:sz="2.3919999599456787" w:val="single" w:color="#000000"/>
              <w:bottom w:sz="6.37599992752075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00" w:after="0"/>
              <w:ind w:left="144" w:right="144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PVT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 xml:space="preserve">6 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PROSOCIAL</w:t>
            </w:r>
          </w:p>
        </w:tc>
        <w:tc>
          <w:tcPr>
            <w:tcW w:type="dxa" w:w="1530"/>
            <w:tcBorders>
              <w:top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175</w:t>
            </w:r>
          </w:p>
        </w:tc>
        <w:tc>
          <w:tcPr>
            <w:tcW w:type="dxa" w:w="1620"/>
            <w:tcBorders>
              <w:top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578</w:t>
            </w:r>
          </w:p>
        </w:tc>
        <w:tc>
          <w:tcPr>
            <w:tcW w:type="dxa" w:w="1600"/>
            <w:tcBorders>
              <w:top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604</w:t>
            </w:r>
          </w:p>
        </w:tc>
        <w:tc>
          <w:tcPr>
            <w:tcW w:type="dxa" w:w="1534"/>
            <w:tcBorders>
              <w:top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396</w:t>
            </w:r>
          </w:p>
        </w:tc>
      </w:tr>
      <w:tr>
        <w:trPr>
          <w:trHeight w:hRule="exact" w:val="200"/>
        </w:trPr>
        <w:tc>
          <w:tcPr>
            <w:tcW w:type="dxa" w:w="2105"/>
            <w:vMerge/>
            <w:tcBorders>
              <w:top w:sz="2.3919999599456787" w:val="single" w:color="#000000"/>
              <w:bottom w:sz="6.375999927520752" w:val="single" w:color="#000000"/>
            </w:tcBorders>
          </w:tcPr>
          <w:p/>
        </w:tc>
        <w:tc>
          <w:tcPr>
            <w:tcW w:type="dxa" w:w="15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4.64%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15.34%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16.03%</w:t>
            </w:r>
          </w:p>
        </w:tc>
        <w:tc>
          <w:tcPr>
            <w:tcW w:type="dxa" w:w="15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10.51%</w:t>
            </w:r>
          </w:p>
        </w:tc>
      </w:tr>
      <w:tr>
        <w:trPr>
          <w:trHeight w:hRule="exact" w:val="278"/>
        </w:trPr>
        <w:tc>
          <w:tcPr>
            <w:tcW w:type="dxa" w:w="2105"/>
            <w:vMerge/>
            <w:tcBorders>
              <w:top w:sz="2.3919999599456787" w:val="single" w:color="#000000"/>
              <w:bottom w:sz="6.375999927520752" w:val="single" w:color="#000000"/>
            </w:tcBorders>
          </w:tcPr>
          <w:p/>
        </w:tc>
        <w:tc>
          <w:tcPr>
            <w:tcW w:type="dxa" w:w="1530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z:</w:t>
            </w:r>
            <w:r>
              <w:rPr>
                <w:w w:val="98.3473727577611"/>
                <w:rFonts w:ascii="CMSY10" w:hAnsi="CMSY10" w:eastAsia="CMSY10"/>
                <w:b w:val="0"/>
                <w:i/>
                <w:color w:val="000000"/>
                <w:sz w:val="19"/>
              </w:rPr>
              <w:t>−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6.1418 ***</w:t>
            </w:r>
          </w:p>
        </w:tc>
        <w:tc>
          <w:tcPr>
            <w:tcW w:type="dxa" w:w="1620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z: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0.0772</w:t>
            </w:r>
          </w:p>
        </w:tc>
        <w:tc>
          <w:tcPr>
            <w:tcW w:type="dxa" w:w="1600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z: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1.9826 *</w:t>
            </w:r>
          </w:p>
        </w:tc>
        <w:tc>
          <w:tcPr>
            <w:tcW w:type="dxa" w:w="1534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z: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2.8251 **</w:t>
            </w:r>
          </w:p>
        </w:tc>
      </w:tr>
    </w:tbl>
    <w:p>
      <w:pPr>
        <w:autoSpaceDN w:val="0"/>
        <w:autoSpaceDE w:val="0"/>
        <w:widowControl/>
        <w:spacing w:line="162" w:lineRule="exact" w:before="18" w:after="0"/>
        <w:ind w:left="2626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16"/>
        </w:rPr>
        <w:t>The z-score has the following statistical significance: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*</w:t>
      </w:r>
      <w:r>
        <w:rPr>
          <w:rFonts w:ascii="URWPalladioL" w:hAnsi="URWPalladioL" w:eastAsia="URWPalladioL"/>
          <w:b w:val="0"/>
          <w:i/>
          <w:color w:val="000000"/>
          <w:sz w:val="16"/>
        </w:rPr>
        <w:t xml:space="preserve"> p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 xml:space="preserve"> &lt; 0.05, **</w:t>
      </w:r>
      <w:r>
        <w:rPr>
          <w:rFonts w:ascii="URWPalladioL" w:hAnsi="URWPalladioL" w:eastAsia="URWPalladioL"/>
          <w:b w:val="0"/>
          <w:i/>
          <w:color w:val="000000"/>
          <w:sz w:val="16"/>
        </w:rPr>
        <w:t xml:space="preserve"> p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 xml:space="preserve"> &lt; 0.01, ***</w:t>
      </w:r>
      <w:r>
        <w:rPr>
          <w:rFonts w:ascii="URWPalladioL" w:hAnsi="URWPalladioL" w:eastAsia="URWPalladioL"/>
          <w:b w:val="0"/>
          <w:i/>
          <w:color w:val="000000"/>
          <w:sz w:val="16"/>
        </w:rPr>
        <w:t xml:space="preserve"> p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 xml:space="preserve"> &lt; 0.001.</w:t>
      </w:r>
    </w:p>
    <w:p>
      <w:pPr>
        <w:autoSpaceDN w:val="0"/>
        <w:autoSpaceDE w:val="0"/>
        <w:widowControl/>
        <w:spacing w:line="244" w:lineRule="exact" w:before="226" w:after="0"/>
        <w:ind w:left="2632" w:right="54" w:firstLine="424"/>
        <w:jc w:val="both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>The most important result, besides the confirmation of hypothesis H</w:t>
      </w:r>
      <w:r>
        <w:rPr>
          <w:rFonts w:ascii="URWPalladioL" w:hAnsi="URWPalladioL" w:eastAsia="URWPalladioL"/>
          <w:b w:val="0"/>
          <w:i w:val="0"/>
          <w:color w:val="000000"/>
          <w:sz w:val="15"/>
        </w:rPr>
        <w:t>2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, which brings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us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contingency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table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(Table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7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),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matrix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of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z-scores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for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each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type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of</w:t>
      </w:r>
      <w:r>
        <w:rPr>
          <w:rFonts w:ascii="URWPalladioL" w:hAnsi="URWPalladioL" w:eastAsia="URWPalladioL"/>
          <w:b w:val="0"/>
          <w:i/>
          <w:color w:val="000000"/>
          <w:sz w:val="20"/>
        </w:rPr>
        <w:t>PVT/I</w:t>
      </w:r>
      <w:r>
        <w:rPr>
          <w:rFonts w:ascii="URWPalladioL" w:hAnsi="URWPalladioL" w:eastAsia="URWPalladioL"/>
          <w:b w:val="0"/>
          <w:i/>
          <w:color w:val="000000"/>
          <w:sz w:val="15"/>
        </w:rPr>
        <w:t xml:space="preserve">escat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relationship.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These scores employed in Formulas (10) and (11) allow us to determine the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influence of each value type on the economic situation.</w:t>
      </w:r>
    </w:p>
    <w:p>
      <w:pPr>
        <w:autoSpaceDN w:val="0"/>
        <w:autoSpaceDE w:val="0"/>
        <w:widowControl/>
        <w:spacing w:line="252" w:lineRule="exact" w:before="0" w:after="0"/>
        <w:ind w:left="2632" w:right="46" w:firstLine="424"/>
        <w:jc w:val="both"/>
      </w:pPr>
      <w:r>
        <w:rPr>
          <w:w w:val="98.82577896118164"/>
          <w:rFonts w:ascii="URWPalladioL" w:hAnsi="URWPalladioL" w:eastAsia="URWPalladioL"/>
          <w:b w:val="0"/>
          <w:i w:val="0"/>
          <w:color w:val="000000"/>
          <w:sz w:val="20"/>
        </w:rPr>
        <w:t>Conservatively oriented people (VT1, influence on financial risks:</w:t>
      </w:r>
      <w:r>
        <w:rPr>
          <w:w w:val="98.82577896118164"/>
          <w:rFonts w:ascii="URWPalladioL" w:hAnsi="URWPalladioL" w:eastAsia="URWPalladioL"/>
          <w:b w:val="0"/>
          <w:i w:val="0"/>
          <w:color w:val="000000"/>
          <w:sz w:val="20"/>
        </w:rPr>
        <w:t xml:space="preserve">1.2600) are strongly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connected with family and society traditions.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They are rooted in their environment, and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they are not able to manage changes easily.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Every loss of this rooting leads to instability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increases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level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of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risk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in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every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aspect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of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their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lives.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conservative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attitude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source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of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their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power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security,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but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it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also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could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be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source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of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rigidity.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In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financial decision-making, they prefer certainty and safety.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Their inability to make risky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financial decisions can protect them but it can lead to a decrease in their profits and loss of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opportunities for development.</w:t>
      </w:r>
    </w:p>
    <w:p>
      <w:pPr>
        <w:autoSpaceDN w:val="0"/>
        <w:autoSpaceDE w:val="0"/>
        <w:widowControl/>
        <w:spacing w:line="250" w:lineRule="exact" w:before="2" w:after="0"/>
        <w:ind w:left="2632" w:right="50" w:firstLine="424"/>
        <w:jc w:val="both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>Venturesome people (VT2, influence on financial risks: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1.4119) look for excitement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and pleasure.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They live to enjoy.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From the economic point of view, this value type is the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most risky one.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Their highest risk is they often use their resources limitlessly and often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do not make adequate reserves.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Any sudden or unexpected situation leads to financial 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crisis.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In the worst-case scenario, they are even willing to break the law in order to get their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excitement.</w:t>
      </w:r>
    </w:p>
    <w:p>
      <w:pPr>
        <w:autoSpaceDN w:val="0"/>
        <w:autoSpaceDE w:val="0"/>
        <w:widowControl/>
        <w:spacing w:line="252" w:lineRule="exact" w:before="0" w:after="0"/>
        <w:ind w:left="2632" w:right="0" w:firstLine="424"/>
        <w:jc w:val="left"/>
      </w:pPr>
      <w:r>
        <w:rPr>
          <w:w w:val="98.9261531829834"/>
          <w:rFonts w:ascii="URWPalladioL" w:hAnsi="URWPalladioL" w:eastAsia="URWPalladioL"/>
          <w:b w:val="0"/>
          <w:i w:val="0"/>
          <w:color w:val="000000"/>
          <w:sz w:val="20"/>
        </w:rPr>
        <w:t>For religious people (VT3, influence on financial risks:</w:t>
      </w:r>
      <w:r>
        <w:rPr>
          <w:w w:val="98.9261531829834"/>
          <w:rFonts w:ascii="URWPalladioL" w:hAnsi="URWPalladioL" w:eastAsia="URWPalladioL"/>
          <w:b w:val="0"/>
          <w:i w:val="0"/>
          <w:color w:val="000000"/>
          <w:sz w:val="20"/>
        </w:rPr>
        <w:t xml:space="preserve">1.0726) one of the highest risks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is their passive attitude to living situations.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They often tend to transfer responsibility to</w:t>
      </w:r>
    </w:p>
    <w:p>
      <w:pPr>
        <w:sectPr>
          <w:pgSz w:w="11906" w:h="16838"/>
          <w:pgMar w:top="538" w:right="666" w:bottom="616" w:left="7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5263"/>
        <w:gridCol w:w="5263"/>
      </w:tblGrid>
      <w:tr>
        <w:trPr>
          <w:trHeight w:hRule="exact" w:val="272"/>
        </w:trPr>
        <w:tc>
          <w:tcPr>
            <w:tcW w:type="dxa" w:w="554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0" w:after="0"/>
              <w:ind w:left="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/>
                <w:color w:val="000000"/>
                <w:sz w:val="16"/>
              </w:rPr>
              <w:t>Risks</w:t>
            </w:r>
            <w:r>
              <w:rPr>
                <w:rFonts w:ascii="URWPalladioL" w:hAnsi="URWPalladioL" w:eastAsia="URWPalladioL"/>
                <w:b/>
                <w:i w:val="0"/>
                <w:color w:val="000000"/>
                <w:sz w:val="16"/>
              </w:rPr>
              <w:t xml:space="preserve"> 2021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,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6"/>
              </w:rPr>
              <w:t xml:space="preserve"> 9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, 205</w:t>
            </w:r>
          </w:p>
        </w:tc>
        <w:tc>
          <w:tcPr>
            <w:tcW w:type="dxa" w:w="493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" w:after="0"/>
              <w:ind w:left="0" w:right="4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17 of 24</w:t>
            </w:r>
          </w:p>
        </w:tc>
      </w:tr>
    </w:tbl>
    <w:p>
      <w:pPr>
        <w:autoSpaceDN w:val="0"/>
        <w:autoSpaceDE w:val="0"/>
        <w:widowControl/>
        <w:spacing w:line="250" w:lineRule="exact" w:before="568" w:after="0"/>
        <w:ind w:left="2632" w:right="54" w:firstLine="0"/>
        <w:jc w:val="both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>someone/something (mostly God).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This value orientation can thus lead to blind faith and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loss of critical thinking.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Their faith could make them too trusting,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and they are able to 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believe even in bad or evil advice.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They are threatened by manipulative behaviour.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Because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of their faith, they often have a specific attitude to wealth and poverty, and they tend to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avoid the opportunities to build their wealth.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It must be mentioned this attitude is not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generally applicable to all religions and confessions.</w:t>
      </w:r>
    </w:p>
    <w:p>
      <w:pPr>
        <w:autoSpaceDN w:val="0"/>
        <w:autoSpaceDE w:val="0"/>
        <w:widowControl/>
        <w:spacing w:line="252" w:lineRule="exact" w:before="0" w:after="0"/>
        <w:ind w:left="2632" w:right="0" w:firstLine="424"/>
        <w:jc w:val="left"/>
      </w:pP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Liberally oriented people (VT4, influence on financial risks: 0.9142) value their freedom 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most and will fight against any restrictions.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This attitude influences all aspects of their lives, 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even their financial decisions.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Their social network is not so stable and flexible just because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of their unwillingness to respect others’ advice and support.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Paradoxically their inability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to bond themselves with the financial institutions or instruments can bring them to quite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similar situations as the conservatives: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decreases their profits and loss of opportunities for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development.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On the other hand, when they try to invest, they are often seduced by high 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liquidity in the connection with high potential risk.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Their financial decisions could be often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reckless, even hazardous.</w:t>
      </w:r>
    </w:p>
    <w:p>
      <w:pPr>
        <w:autoSpaceDN w:val="0"/>
        <w:autoSpaceDE w:val="0"/>
        <w:widowControl/>
        <w:spacing w:line="250" w:lineRule="exact" w:before="2" w:after="0"/>
        <w:ind w:left="2632" w:right="20" w:firstLine="424"/>
        <w:jc w:val="both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>Power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oriented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people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(VT5,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influence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on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financial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risks: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1.0028)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are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focused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on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building their image and social status.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One of the most important things for them is social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recognition.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Their financial decisions are strongly influenced by their need to keep their 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social status.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They follow the belief that leaders cannot be weak.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Because of this belief, they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are willing to spend more than they can afford to preserve and strengthen this status.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This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could lead to highly risky investments and debts.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Because the leaders—even potential or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desired—are always alone.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That is why their social network cannot save or support them.</w:t>
      </w:r>
    </w:p>
    <w:p>
      <w:pPr>
        <w:autoSpaceDN w:val="0"/>
        <w:autoSpaceDE w:val="0"/>
        <w:widowControl/>
        <w:spacing w:line="250" w:lineRule="exact" w:before="2" w:after="0"/>
        <w:ind w:left="2632" w:right="0" w:firstLine="424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>Prosocially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oriented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people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(VT6,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influence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on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financial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risks: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0.5574)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tend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to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feel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responsible for others, especially their household members.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Their social network is wide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and strong, and they are supportive as well as they expect to be supported in the case of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an emergency.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However, the failure or disintegration of their relationships can be a big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risk for them.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In the case of financial decision-making is influenced by their tendency to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support others.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This could be an advantage when the network works well.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Unfortunately, 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this could be changed to a risk when the others are taking advantage of this person and the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trust in other people is exploited.</w:t>
      </w:r>
    </w:p>
    <w:p>
      <w:pPr>
        <w:autoSpaceDN w:val="0"/>
        <w:autoSpaceDE w:val="0"/>
        <w:widowControl/>
        <w:spacing w:line="200" w:lineRule="exact" w:before="246" w:after="0"/>
        <w:ind w:left="0" w:right="4074" w:firstLine="0"/>
        <w:jc w:val="right"/>
      </w:pPr>
      <w:r>
        <w:rPr>
          <w:rFonts w:ascii="URWPalladioL" w:hAnsi="URWPalladioL" w:eastAsia="URWPalladioL"/>
          <w:b w:val="0"/>
          <w:i/>
          <w:color w:val="000000"/>
          <w:sz w:val="20"/>
        </w:rPr>
        <w:t>4.5.</w:t>
      </w:r>
      <w:r>
        <w:rPr>
          <w:rFonts w:ascii="URWPalladioL" w:hAnsi="URWPalladioL" w:eastAsia="URWPalladioL"/>
          <w:b w:val="0"/>
          <w:i/>
          <w:color w:val="000000"/>
          <w:sz w:val="20"/>
        </w:rPr>
        <w:t>Crossing Factors and Risk Level Prediction</w:t>
      </w:r>
    </w:p>
    <w:p>
      <w:pPr>
        <w:autoSpaceDN w:val="0"/>
        <w:autoSpaceDE w:val="0"/>
        <w:widowControl/>
        <w:spacing w:line="262" w:lineRule="exact" w:before="52" w:after="0"/>
        <w:ind w:left="2626" w:right="48" w:firstLine="424"/>
        <w:jc w:val="both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value-based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financial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risk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prediction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model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shows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24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possible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financial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risk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groups for helping professions’ potential clients combining the economic types</w:t>
      </w:r>
      <w:r>
        <w:rPr>
          <w:rFonts w:ascii="URWPalladioL" w:hAnsi="URWPalladioL" w:eastAsia="URWPalladioL"/>
          <w:b w:val="0"/>
          <w:i/>
          <w:color w:val="000000"/>
          <w:sz w:val="20"/>
        </w:rPr>
        <w:t xml:space="preserve"> ES</w:t>
      </w:r>
      <w:r>
        <w:rPr>
          <w:rFonts w:ascii="URWPalladioL" w:hAnsi="URWPalladioL" w:eastAsia="URWPalladioL"/>
          <w:b w:val="0"/>
          <w:i w:val="0"/>
          <w:color w:val="000000"/>
          <w:sz w:val="15"/>
        </w:rPr>
        <w:t>1–4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with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value types</w:t>
      </w:r>
      <w:r>
        <w:rPr>
          <w:rFonts w:ascii="URWPalladioL" w:hAnsi="URWPalladioL" w:eastAsia="URWPalladioL"/>
          <w:b w:val="0"/>
          <w:i/>
          <w:color w:val="000000"/>
          <w:sz w:val="20"/>
        </w:rPr>
        <w:t xml:space="preserve"> PVT</w:t>
      </w:r>
      <w:r>
        <w:rPr>
          <w:rFonts w:ascii="URWPalladioL" w:hAnsi="URWPalladioL" w:eastAsia="URWPalladioL"/>
          <w:b w:val="0"/>
          <w:i w:val="0"/>
          <w:color w:val="000000"/>
          <w:sz w:val="15"/>
        </w:rPr>
        <w:t>1–6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(Chart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 xml:space="preserve"> 2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).</w:t>
      </w:r>
    </w:p>
    <w:p>
      <w:pPr>
        <w:autoSpaceDN w:val="0"/>
        <w:autoSpaceDE w:val="0"/>
        <w:widowControl/>
        <w:spacing w:line="248" w:lineRule="exact" w:before="0" w:after="0"/>
        <w:ind w:left="2622" w:right="0" w:firstLine="424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>Six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value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types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four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economic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clusters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are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leading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to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24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anticipated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personal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financial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risk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groups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demonstrated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in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Table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8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risk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level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for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each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risk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group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is 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calculated as a product of cluster risk level (</w:t>
      </w:r>
      <w:r>
        <w:rPr>
          <w:w w:val="98.62470626831055"/>
          <w:rFonts w:ascii="URWPalladioL" w:hAnsi="URWPalladioL" w:eastAsia="URWPalladioL"/>
          <w:b w:val="0"/>
          <w:i/>
          <w:color w:val="000000"/>
          <w:sz w:val="20"/>
        </w:rPr>
        <w:t>ES</w:t>
      </w:r>
      <w:r>
        <w:rPr>
          <w:rFonts w:ascii="URWPalladioL" w:hAnsi="URWPalladioL" w:eastAsia="URWPalladioL"/>
          <w:b w:val="0"/>
          <w:i/>
          <w:color w:val="000000"/>
          <w:sz w:val="15"/>
        </w:rPr>
        <w:t>r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) and the personal value type influence level </w:t>
      </w:r>
      <w:r>
        <w:rPr>
          <w:w w:val="98.82577896118164"/>
          <w:rFonts w:ascii="URWPalladioL" w:hAnsi="URWPalladioL" w:eastAsia="URWPalladioL"/>
          <w:b w:val="0"/>
          <w:i w:val="0"/>
          <w:color w:val="000000"/>
          <w:sz w:val="20"/>
        </w:rPr>
        <w:t>(</w:t>
      </w:r>
      <w:r>
        <w:rPr>
          <w:w w:val="98.82577896118164"/>
          <w:rFonts w:ascii="URWPalladioL" w:hAnsi="URWPalladioL" w:eastAsia="URWPalladioL"/>
          <w:b w:val="0"/>
          <w:i/>
          <w:color w:val="000000"/>
          <w:sz w:val="20"/>
        </w:rPr>
        <w:t>PVT</w:t>
      </w:r>
      <w:r>
        <w:rPr>
          <w:rFonts w:ascii="URWPalladioL" w:hAnsi="URWPalladioL" w:eastAsia="URWPalladioL"/>
          <w:b w:val="0"/>
          <w:i w:val="0"/>
          <w:color w:val="000000"/>
          <w:sz w:val="15"/>
        </w:rPr>
        <w:t>infl</w:t>
      </w:r>
      <w:r>
        <w:rPr>
          <w:w w:val="98.82577896118164"/>
          <w:rFonts w:ascii="URWPalladioL" w:hAnsi="URWPalladioL" w:eastAsia="URWPalladioL"/>
          <w:b w:val="0"/>
          <w:i w:val="0"/>
          <w:color w:val="000000"/>
          <w:sz w:val="20"/>
        </w:rPr>
        <w:t>).</w:t>
      </w:r>
      <w:r>
        <w:rPr>
          <w:w w:val="98.82577896118164"/>
          <w:rFonts w:ascii="URWPalladioL" w:hAnsi="URWPalladioL" w:eastAsia="URWPalladioL"/>
          <w:b w:val="0"/>
          <w:i w:val="0"/>
          <w:color w:val="000000"/>
          <w:sz w:val="20"/>
        </w:rPr>
        <w:t>In Table</w:t>
      </w:r>
      <w:r>
        <w:rPr>
          <w:w w:val="98.82577896118164"/>
          <w:rFonts w:ascii="URWPalladioL" w:hAnsi="URWPalladioL" w:eastAsia="URWPalladioL"/>
          <w:b w:val="0"/>
          <w:i w:val="0"/>
          <w:color w:val="0875B7"/>
          <w:sz w:val="20"/>
        </w:rPr>
        <w:t xml:space="preserve"> 8</w:t>
      </w:r>
      <w:r>
        <w:rPr>
          <w:w w:val="98.82577896118164"/>
          <w:rFonts w:ascii="URWPalladioL" w:hAnsi="URWPalladioL" w:eastAsia="URWPalladioL"/>
          <w:b w:val="0"/>
          <w:i w:val="0"/>
          <w:color w:val="000000"/>
          <w:sz w:val="20"/>
        </w:rPr>
        <w:t xml:space="preserve"> and Chart</w:t>
      </w:r>
      <w:r>
        <w:rPr>
          <w:w w:val="98.82577896118164"/>
          <w:rFonts w:ascii="URWPalladioL" w:hAnsi="URWPalladioL" w:eastAsia="URWPalladioL"/>
          <w:b w:val="0"/>
          <w:i w:val="0"/>
          <w:color w:val="0875B7"/>
          <w:sz w:val="20"/>
        </w:rPr>
        <w:t xml:space="preserve"> 3</w:t>
      </w:r>
      <w:r>
        <w:rPr>
          <w:w w:val="98.82577896118164"/>
          <w:rFonts w:ascii="URWPalladioL" w:hAnsi="URWPalladioL" w:eastAsia="URWPalladioL"/>
          <w:b w:val="0"/>
          <w:i w:val="0"/>
          <w:color w:val="000000"/>
          <w:sz w:val="20"/>
        </w:rPr>
        <w:t xml:space="preserve">, you can see a value-based financial risk prediction model.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This model is based on a combination of two factors that anticipate personal financial risk.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first factor is the economic situation of an individual, which together with the value </w:t>
      </w:r>
      <w:r>
        <w:rPr>
          <w:w w:val="98.82577896118164"/>
          <w:rFonts w:ascii="URWPalladioL" w:hAnsi="URWPalladioL" w:eastAsia="URWPalladioL"/>
          <w:b w:val="0"/>
          <w:i w:val="0"/>
          <w:color w:val="000000"/>
          <w:sz w:val="20"/>
        </w:rPr>
        <w:t xml:space="preserve">orientation determines the potential risk in the financial situation of a particular person, as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well as their whole household.</w:t>
      </w:r>
    </w:p>
    <w:p>
      <w:pPr>
        <w:sectPr>
          <w:pgSz w:w="11906" w:h="16838"/>
          <w:pgMar w:top="538" w:right="666" w:bottom="1440" w:left="7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1231900</wp:posOffset>
            </wp:positionV>
            <wp:extent cx="6299200" cy="35814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3581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147" w:type="dxa"/>
      </w:tblPr>
      <w:tblGrid>
        <w:gridCol w:w="2100"/>
        <w:gridCol w:w="2100"/>
        <w:gridCol w:w="2100"/>
        <w:gridCol w:w="2100"/>
        <w:gridCol w:w="2100"/>
      </w:tblGrid>
      <w:tr>
        <w:trPr>
          <w:trHeight w:hRule="exact" w:val="272"/>
        </w:trPr>
        <w:tc>
          <w:tcPr>
            <w:tcW w:type="dxa" w:w="250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0" w:after="0"/>
              <w:ind w:left="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/>
                <w:color w:val="000000"/>
                <w:sz w:val="16"/>
              </w:rPr>
              <w:t>Risks</w:t>
            </w:r>
            <w:r>
              <w:rPr>
                <w:rFonts w:ascii="URWPalladioL" w:hAnsi="URWPalladioL" w:eastAsia="URWPalladioL"/>
                <w:b/>
                <w:i w:val="0"/>
                <w:color w:val="000000"/>
                <w:sz w:val="16"/>
              </w:rPr>
              <w:t xml:space="preserve"> 2021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,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6"/>
              </w:rPr>
              <w:t xml:space="preserve"> 9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, 205</w:t>
            </w:r>
          </w:p>
        </w:tc>
        <w:tc>
          <w:tcPr>
            <w:tcW w:type="dxa" w:w="252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878" w:after="0"/>
              <w:ind w:left="0" w:right="2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Values (</w:t>
            </w:r>
            <w:r>
              <w:rPr>
                <w:rFonts w:ascii="Calibri,Italic" w:hAnsi="Calibri,Italic" w:eastAsia="Calibri,Italic"/>
                <w:b w:val="0"/>
                <w:i/>
                <w:color w:val="000000"/>
                <w:sz w:val="20"/>
              </w:rPr>
              <w:t>V</w:t>
            </w:r>
            <w:r>
              <w:rPr>
                <w:rFonts w:ascii="Calibri,Italic" w:hAnsi="Calibri,Italic" w:eastAsia="Calibri,Italic"/>
                <w:b w:val="0"/>
                <w:i/>
                <w:color w:val="000000"/>
                <w:sz w:val="13"/>
              </w:rPr>
              <w:t>1</w:t>
            </w:r>
            <w:r>
              <w:rPr>
                <w:rFonts w:ascii="Calibri,Italic" w:hAnsi="Calibri,Italic" w:eastAsia="Calibri,Italic"/>
                <w:b w:val="0"/>
                <w:i/>
                <w:color w:val="000000"/>
                <w:sz w:val="20"/>
              </w:rPr>
              <w:t xml:space="preserve"> − V</w:t>
            </w:r>
            <w:r>
              <w:rPr>
                <w:rFonts w:ascii="Calibri,Italic" w:hAnsi="Calibri,Italic" w:eastAsia="Calibri,Italic"/>
                <w:b w:val="0"/>
                <w:i/>
                <w:color w:val="000000"/>
                <w:sz w:val="13"/>
              </w:rPr>
              <w:t>36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61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18 of 24</w:t>
            </w:r>
          </w:p>
        </w:tc>
      </w:tr>
      <w:tr>
        <w:trPr>
          <w:trHeight w:hRule="exact" w:val="1172"/>
        </w:trPr>
        <w:tc>
          <w:tcPr>
            <w:tcW w:type="dxa" w:w="250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Financial </w:t>
            </w:r>
          </w:p>
        </w:tc>
        <w:tc>
          <w:tcPr>
            <w:tcW w:type="dxa" w:w="252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96" w:after="0"/>
              <w:ind w:left="42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Index of financial </w:t>
            </w:r>
          </w:p>
        </w:tc>
        <w:tc>
          <w:tcPr>
            <w:tcW w:type="dxa" w:w="4200"/>
            <w:gridSpan w:val="2"/>
            <w:vMerge/>
            <w:tcBorders/>
          </w:tcPr>
          <w:p/>
        </w:tc>
        <w:tc>
          <w:tcPr>
            <w:tcW w:type="dxa" w:w="61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90"/>
        </w:trPr>
        <w:tc>
          <w:tcPr>
            <w:tcW w:type="dxa" w:w="250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responsibility </w:t>
            </w:r>
          </w:p>
        </w:tc>
        <w:tc>
          <w:tcPr>
            <w:tcW w:type="dxa" w:w="2100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4200"/>
            <w:gridSpan w:val="2"/>
            <w:vMerge/>
            <w:tcBorders/>
          </w:tcPr>
          <w:p/>
        </w:tc>
        <w:tc>
          <w:tcPr>
            <w:tcW w:type="dxa" w:w="2100"/>
            <w:vMerge/>
            <w:tcBorders>
              <w:top w:sz="3.184000015258789" w:val="single" w:color="#000000"/>
            </w:tcBorders>
          </w:tcPr>
          <w:p/>
        </w:tc>
      </w:tr>
      <w:tr>
        <w:trPr>
          <w:trHeight w:hRule="exact" w:val="250"/>
        </w:trPr>
        <w:tc>
          <w:tcPr>
            <w:tcW w:type="dxa" w:w="2100"/>
            <w:vMerge/>
            <w:tcBorders/>
          </w:tcPr>
          <w:p/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8" w:after="0"/>
              <w:ind w:left="5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responsibility </w:t>
            </w:r>
          </w:p>
        </w:tc>
        <w:tc>
          <w:tcPr>
            <w:tcW w:type="dxa" w:w="4200"/>
            <w:gridSpan w:val="2"/>
            <w:vMerge/>
            <w:tcBorders/>
          </w:tcPr>
          <w:p/>
        </w:tc>
        <w:tc>
          <w:tcPr>
            <w:tcW w:type="dxa" w:w="2100"/>
            <w:vMerge/>
            <w:tcBorders>
              <w:top w:sz="3.184000015258789" w:val="single" w:color="#000000"/>
            </w:tcBorders>
          </w:tcPr>
          <w:p/>
        </w:tc>
      </w:tr>
      <w:tr>
        <w:trPr>
          <w:trHeight w:hRule="exact" w:val="320"/>
        </w:trPr>
        <w:tc>
          <w:tcPr>
            <w:tcW w:type="dxa" w:w="25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questions </w:t>
            </w:r>
          </w:p>
        </w:tc>
        <w:tc>
          <w:tcPr>
            <w:tcW w:type="dxa" w:w="2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38" w:after="0"/>
              <w:ind w:left="0" w:right="12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alibri,Italic" w:hAnsi="Calibri,Italic" w:eastAsia="Calibri,Italic"/>
                <w:b w:val="0"/>
                <w:i/>
                <w:color w:val="000000"/>
                <w:sz w:val="20"/>
              </w:rPr>
              <w:t>I</w:t>
            </w:r>
            <w:r>
              <w:rPr>
                <w:rFonts w:ascii="Calibri,Italic" w:hAnsi="Calibri,Italic" w:eastAsia="Calibri,Italic"/>
                <w:b w:val="0"/>
                <w:i/>
                <w:color w:val="000000"/>
                <w:sz w:val="13"/>
              </w:rPr>
              <w:t>fr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4200"/>
            <w:gridSpan w:val="2"/>
            <w:vMerge/>
            <w:tcBorders/>
          </w:tcPr>
          <w:p/>
        </w:tc>
        <w:tc>
          <w:tcPr>
            <w:tcW w:type="dxa" w:w="2100"/>
            <w:vMerge/>
            <w:tcBorders>
              <w:top w:sz="3.184000015258789" w:val="single" w:color="#000000"/>
            </w:tcBorders>
          </w:tcPr>
          <w:p/>
        </w:tc>
      </w:tr>
      <w:tr>
        <w:trPr>
          <w:trHeight w:hRule="exact" w:val="611"/>
        </w:trPr>
        <w:tc>
          <w:tcPr>
            <w:tcW w:type="dxa" w:w="25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alibri,Italic" w:hAnsi="Calibri,Italic" w:eastAsia="Calibri,Italic"/>
                <w:b w:val="0"/>
                <w:i/>
                <w:color w:val="000000"/>
                <w:sz w:val="20"/>
              </w:rPr>
              <w:t>Q</w:t>
            </w:r>
            <w:r>
              <w:rPr>
                <w:rFonts w:ascii="Calibri,Italic" w:hAnsi="Calibri,Italic" w:eastAsia="Calibri,Italic"/>
                <w:b w:val="0"/>
                <w:i/>
                <w:color w:val="000000"/>
                <w:sz w:val="13"/>
              </w:rPr>
              <w:t>fr1</w:t>
            </w:r>
            <w:r>
              <w:rPr>
                <w:rFonts w:ascii="Calibri,Italic" w:hAnsi="Calibri,Italic" w:eastAsia="Calibri,Italic"/>
                <w:b w:val="0"/>
                <w:i/>
                <w:color w:val="000000"/>
                <w:sz w:val="20"/>
              </w:rPr>
              <w:t xml:space="preserve"> − Q</w:t>
            </w:r>
            <w:r>
              <w:rPr>
                <w:rFonts w:ascii="Calibri,Italic" w:hAnsi="Calibri,Italic" w:eastAsia="Calibri,Italic"/>
                <w:b w:val="0"/>
                <w:i/>
                <w:color w:val="000000"/>
                <w:sz w:val="13"/>
              </w:rPr>
              <w:t>fr11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2100"/>
            <w:vMerge/>
            <w:tcBorders/>
          </w:tcPr>
          <w:p/>
        </w:tc>
        <w:tc>
          <w:tcPr>
            <w:tcW w:type="dxa" w:w="2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86" w:after="0"/>
              <w:ind w:left="0" w:right="364" w:firstLine="0"/>
              <w:jc w:val="righ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 xml:space="preserve">Economic situation </w:t>
            </w:r>
          </w:p>
        </w:tc>
        <w:tc>
          <w:tcPr>
            <w:tcW w:type="dxa" w:w="2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86" w:after="0"/>
              <w:ind w:left="39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Personal value types</w:t>
            </w:r>
          </w:p>
        </w:tc>
        <w:tc>
          <w:tcPr>
            <w:tcW w:type="dxa" w:w="2100"/>
            <w:vMerge/>
            <w:tcBorders>
              <w:top w:sz="3.184000015258789" w:val="single" w:color="#000000"/>
            </w:tcBorders>
          </w:tcPr>
          <w:p/>
        </w:tc>
      </w:tr>
      <w:tr>
        <w:trPr>
          <w:trHeight w:hRule="exact" w:val="749"/>
        </w:trPr>
        <w:tc>
          <w:tcPr>
            <w:tcW w:type="dxa" w:w="25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Financial well-being </w:t>
            </w:r>
          </w:p>
        </w:tc>
        <w:tc>
          <w:tcPr>
            <w:tcW w:type="dxa" w:w="2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74" w:after="0"/>
              <w:ind w:left="42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Index of financial </w:t>
            </w:r>
          </w:p>
        </w:tc>
        <w:tc>
          <w:tcPr>
            <w:tcW w:type="dxa" w:w="2100"/>
            <w:vMerge/>
            <w:tcBorders/>
          </w:tcPr>
          <w:p/>
        </w:tc>
        <w:tc>
          <w:tcPr>
            <w:tcW w:type="dxa" w:w="2100"/>
            <w:vMerge/>
            <w:tcBorders/>
          </w:tcPr>
          <w:p/>
        </w:tc>
        <w:tc>
          <w:tcPr>
            <w:tcW w:type="dxa" w:w="2100"/>
            <w:vMerge/>
            <w:tcBorders>
              <w:top w:sz="3.184000015258789" w:val="single" w:color="#000000"/>
            </w:tcBorders>
          </w:tcPr>
          <w:p/>
        </w:tc>
      </w:tr>
      <w:tr>
        <w:trPr>
          <w:trHeight w:hRule="exact" w:val="88"/>
        </w:trPr>
        <w:tc>
          <w:tcPr>
            <w:tcW w:type="dxa" w:w="250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questions </w:t>
            </w:r>
          </w:p>
        </w:tc>
        <w:tc>
          <w:tcPr>
            <w:tcW w:type="dxa" w:w="2100"/>
            <w:vMerge/>
            <w:tcBorders/>
          </w:tcPr>
          <w:p/>
        </w:tc>
        <w:tc>
          <w:tcPr>
            <w:tcW w:type="dxa" w:w="2100"/>
            <w:vMerge/>
            <w:tcBorders/>
          </w:tcPr>
          <w:p/>
        </w:tc>
        <w:tc>
          <w:tcPr>
            <w:tcW w:type="dxa" w:w="2100"/>
            <w:vMerge/>
            <w:tcBorders/>
          </w:tcPr>
          <w:p/>
        </w:tc>
        <w:tc>
          <w:tcPr>
            <w:tcW w:type="dxa" w:w="2100"/>
            <w:vMerge/>
            <w:tcBorders>
              <w:top w:sz="3.184000015258789" w:val="single" w:color="#000000"/>
            </w:tcBorders>
          </w:tcPr>
          <w:p/>
        </w:tc>
      </w:tr>
      <w:tr>
        <w:trPr>
          <w:trHeight w:hRule="exact" w:val="252"/>
        </w:trPr>
        <w:tc>
          <w:tcPr>
            <w:tcW w:type="dxa" w:w="2100"/>
            <w:vMerge/>
            <w:tcBorders/>
          </w:tcPr>
          <w:p/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well-being 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82" w:firstLine="0"/>
              <w:jc w:val="righ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clusters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8" w:after="0"/>
              <w:ind w:left="0" w:right="356" w:firstLine="0"/>
              <w:jc w:val="righ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(</w:t>
            </w:r>
            <w:r>
              <w:rPr>
                <w:rFonts w:ascii="Calibri,BoldItalic" w:hAnsi="Calibri,BoldItalic" w:eastAsia="Calibri,BoldItalic"/>
                <w:b/>
                <w:i/>
                <w:color w:val="000000"/>
                <w:sz w:val="20"/>
              </w:rPr>
              <w:t>PVT</w:t>
            </w:r>
            <w:r>
              <w:rPr>
                <w:rFonts w:ascii="Calibri,BoldItalic" w:hAnsi="Calibri,BoldItalic" w:eastAsia="Calibri,BoldItalic"/>
                <w:b/>
                <w:i/>
                <w:color w:val="000000"/>
                <w:sz w:val="13"/>
              </w:rPr>
              <w:t>1</w:t>
            </w:r>
            <w:r>
              <w:rPr>
                <w:rFonts w:ascii="Calibri,BoldItalic" w:hAnsi="Calibri,BoldItalic" w:eastAsia="Calibri,BoldItalic"/>
                <w:b/>
                <w:i/>
                <w:color w:val="000000"/>
                <w:sz w:val="20"/>
              </w:rPr>
              <w:t xml:space="preserve"> − PVT</w:t>
            </w:r>
            <w:r>
              <w:rPr>
                <w:rFonts w:ascii="Calibri,BoldItalic" w:hAnsi="Calibri,BoldItalic" w:eastAsia="Calibri,BoldItalic"/>
                <w:b/>
                <w:i/>
                <w:color w:val="000000"/>
                <w:sz w:val="13"/>
              </w:rPr>
              <w:t>6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2100"/>
            <w:vMerge/>
            <w:tcBorders>
              <w:top w:sz="3.184000015258789" w:val="single" w:color="#000000"/>
            </w:tcBorders>
          </w:tcPr>
          <w:p/>
        </w:tc>
      </w:tr>
      <w:tr>
        <w:trPr>
          <w:trHeight w:hRule="exact" w:val="860"/>
        </w:trPr>
        <w:tc>
          <w:tcPr>
            <w:tcW w:type="dxa" w:w="25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alibri,Italic" w:hAnsi="Calibri,Italic" w:eastAsia="Calibri,Italic"/>
                <w:b w:val="0"/>
                <w:i/>
                <w:color w:val="000000"/>
                <w:sz w:val="20"/>
              </w:rPr>
              <w:t>Q</w:t>
            </w:r>
            <w:r>
              <w:rPr>
                <w:rFonts w:ascii="Calibri,Italic" w:hAnsi="Calibri,Italic" w:eastAsia="Calibri,Italic"/>
                <w:b w:val="0"/>
                <w:i/>
                <w:color w:val="000000"/>
                <w:sz w:val="13"/>
              </w:rPr>
              <w:t>fwb1</w:t>
            </w:r>
            <w:r>
              <w:rPr>
                <w:rFonts w:ascii="Calibri,Italic" w:hAnsi="Calibri,Italic" w:eastAsia="Calibri,Italic"/>
                <w:b w:val="0"/>
                <w:i/>
                <w:color w:val="000000"/>
                <w:sz w:val="20"/>
              </w:rPr>
              <w:t xml:space="preserve"> − Q</w:t>
            </w:r>
            <w:r>
              <w:rPr>
                <w:rFonts w:ascii="Calibri,Italic" w:hAnsi="Calibri,Italic" w:eastAsia="Calibri,Italic"/>
                <w:b w:val="0"/>
                <w:i/>
                <w:color w:val="000000"/>
                <w:sz w:val="13"/>
              </w:rPr>
              <w:t>fwb9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38" w:after="0"/>
              <w:ind w:left="0" w:right="12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alibri,Italic" w:hAnsi="Calibri,Italic" w:eastAsia="Calibri,Italic"/>
                <w:b w:val="0"/>
                <w:i/>
                <w:color w:val="000000"/>
                <w:sz w:val="20"/>
              </w:rPr>
              <w:t>I</w:t>
            </w:r>
            <w:r>
              <w:rPr>
                <w:rFonts w:ascii="Calibri,Italic" w:hAnsi="Calibri,Italic" w:eastAsia="Calibri,Italic"/>
                <w:b w:val="0"/>
                <w:i/>
                <w:color w:val="000000"/>
                <w:sz w:val="13"/>
              </w:rPr>
              <w:t>fwb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4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38" w:after="0"/>
              <w:ind w:left="1064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(</w:t>
            </w:r>
            <w:r>
              <w:rPr>
                <w:rFonts w:ascii="Calibri,BoldItalic" w:hAnsi="Calibri,BoldItalic" w:eastAsia="Calibri,BoldItalic"/>
                <w:b/>
                <w:i/>
                <w:color w:val="000000"/>
                <w:sz w:val="20"/>
              </w:rPr>
              <w:t>ES</w:t>
            </w:r>
            <w:r>
              <w:rPr>
                <w:rFonts w:ascii="Calibri,BoldItalic" w:hAnsi="Calibri,BoldItalic" w:eastAsia="Calibri,BoldItalic"/>
                <w:b/>
                <w:i/>
                <w:color w:val="000000"/>
                <w:sz w:val="13"/>
              </w:rPr>
              <w:t>1</w:t>
            </w:r>
            <w:r>
              <w:rPr>
                <w:rFonts w:ascii="Calibri,BoldItalic" w:hAnsi="Calibri,BoldItalic" w:eastAsia="Calibri,BoldItalic"/>
                <w:b/>
                <w:i/>
                <w:color w:val="000000"/>
                <w:sz w:val="20"/>
              </w:rPr>
              <w:t xml:space="preserve"> − ES</w:t>
            </w:r>
            <w:r>
              <w:rPr>
                <w:rFonts w:ascii="Calibri,BoldItalic" w:hAnsi="Calibri,BoldItalic" w:eastAsia="Calibri,BoldItalic"/>
                <w:b/>
                <w:i/>
                <w:color w:val="000000"/>
                <w:sz w:val="13"/>
              </w:rPr>
              <w:t>4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2100"/>
            <w:vMerge/>
            <w:tcBorders>
              <w:top w:sz="3.184000015258789" w:val="single" w:color="#000000"/>
            </w:tcBorders>
          </w:tcPr>
          <w:p/>
        </w:tc>
      </w:tr>
      <w:tr>
        <w:trPr>
          <w:trHeight w:hRule="exact" w:val="784"/>
        </w:trPr>
        <w:tc>
          <w:tcPr>
            <w:tcW w:type="dxa" w:w="25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Financial </w:t>
            </w:r>
          </w:p>
        </w:tc>
        <w:tc>
          <w:tcPr>
            <w:tcW w:type="dxa" w:w="2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8" w:after="0"/>
              <w:ind w:left="42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Index of financial </w:t>
            </w:r>
          </w:p>
        </w:tc>
        <w:tc>
          <w:tcPr>
            <w:tcW w:type="dxa" w:w="48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66" w:after="0"/>
              <w:ind w:left="0" w:right="926" w:firstLine="0"/>
              <w:jc w:val="righ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24 FINANCIAL RISK GROUPS</w:t>
            </w:r>
          </w:p>
        </w:tc>
        <w:tc>
          <w:tcPr>
            <w:tcW w:type="dxa" w:w="2100"/>
            <w:vMerge/>
            <w:tcBorders>
              <w:top w:sz="3.184000015258789" w:val="single" w:color="#000000"/>
            </w:tcBorders>
          </w:tcPr>
          <w:p/>
        </w:tc>
      </w:tr>
      <w:tr>
        <w:trPr>
          <w:trHeight w:hRule="exact" w:val="146"/>
        </w:trPr>
        <w:tc>
          <w:tcPr>
            <w:tcW w:type="dxa" w:w="250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knowledge </w:t>
            </w:r>
          </w:p>
        </w:tc>
        <w:tc>
          <w:tcPr>
            <w:tcW w:type="dxa" w:w="2100"/>
            <w:vMerge/>
            <w:tcBorders/>
          </w:tcPr>
          <w:p/>
        </w:tc>
        <w:tc>
          <w:tcPr>
            <w:tcW w:type="dxa" w:w="4200"/>
            <w:gridSpan w:val="2"/>
            <w:vMerge/>
            <w:tcBorders/>
          </w:tcPr>
          <w:p/>
        </w:tc>
        <w:tc>
          <w:tcPr>
            <w:tcW w:type="dxa" w:w="2100"/>
            <w:vMerge/>
            <w:tcBorders>
              <w:top w:sz="3.184000015258789" w:val="single" w:color="#000000"/>
            </w:tcBorders>
          </w:tcPr>
          <w:p/>
        </w:tc>
      </w:tr>
      <w:tr>
        <w:trPr>
          <w:trHeight w:hRule="exact" w:val="250"/>
        </w:trPr>
        <w:tc>
          <w:tcPr>
            <w:tcW w:type="dxa" w:w="2100"/>
            <w:vMerge/>
            <w:tcBorders/>
          </w:tcPr>
          <w:p/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knowledge </w:t>
            </w:r>
          </w:p>
        </w:tc>
        <w:tc>
          <w:tcPr>
            <w:tcW w:type="dxa" w:w="4200"/>
            <w:gridSpan w:val="2"/>
            <w:vMerge/>
            <w:tcBorders/>
          </w:tcPr>
          <w:p/>
        </w:tc>
        <w:tc>
          <w:tcPr>
            <w:tcW w:type="dxa" w:w="2100"/>
            <w:vMerge/>
            <w:tcBorders>
              <w:top w:sz="3.184000015258789" w:val="single" w:color="#000000"/>
            </w:tcBorders>
          </w:tcPr>
          <w:p/>
        </w:tc>
      </w:tr>
      <w:tr>
        <w:trPr>
          <w:trHeight w:hRule="exact" w:val="240"/>
        </w:trPr>
        <w:tc>
          <w:tcPr>
            <w:tcW w:type="dxa" w:w="25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questions </w:t>
            </w:r>
          </w:p>
        </w:tc>
        <w:tc>
          <w:tcPr>
            <w:tcW w:type="dxa" w:w="2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38" w:after="0"/>
              <w:ind w:left="0" w:right="12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alibri,Italic" w:hAnsi="Calibri,Italic" w:eastAsia="Calibri,Italic"/>
                <w:b w:val="0"/>
                <w:i/>
                <w:color w:val="000000"/>
                <w:sz w:val="20"/>
              </w:rPr>
              <w:t>I</w:t>
            </w:r>
            <w:r>
              <w:rPr>
                <w:rFonts w:ascii="Calibri,Italic" w:hAnsi="Calibri,Italic" w:eastAsia="Calibri,Italic"/>
                <w:b w:val="0"/>
                <w:i/>
                <w:color w:val="000000"/>
                <w:sz w:val="13"/>
              </w:rPr>
              <w:t>fk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4200"/>
            <w:gridSpan w:val="2"/>
            <w:vMerge/>
            <w:tcBorders/>
          </w:tcPr>
          <w:p/>
        </w:tc>
        <w:tc>
          <w:tcPr>
            <w:tcW w:type="dxa" w:w="2100"/>
            <w:vMerge/>
            <w:tcBorders>
              <w:top w:sz="3.184000015258789" w:val="single" w:color="#000000"/>
            </w:tcBorders>
          </w:tcPr>
          <w:p/>
        </w:tc>
      </w:tr>
      <w:tr>
        <w:trPr>
          <w:trHeight w:hRule="exact" w:val="342"/>
        </w:trPr>
        <w:tc>
          <w:tcPr>
            <w:tcW w:type="dxa" w:w="25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alibri,Italic" w:hAnsi="Calibri,Italic" w:eastAsia="Calibri,Italic"/>
                <w:b w:val="0"/>
                <w:i/>
                <w:color w:val="000000"/>
                <w:sz w:val="20"/>
              </w:rPr>
              <w:t>Q</w:t>
            </w:r>
            <w:r>
              <w:rPr>
                <w:rFonts w:ascii="Calibri,Italic" w:hAnsi="Calibri,Italic" w:eastAsia="Calibri,Italic"/>
                <w:b w:val="0"/>
                <w:i/>
                <w:color w:val="000000"/>
                <w:sz w:val="13"/>
              </w:rPr>
              <w:t>fk1</w:t>
            </w:r>
            <w:r>
              <w:rPr>
                <w:rFonts w:ascii="Calibri,Italic" w:hAnsi="Calibri,Italic" w:eastAsia="Calibri,Italic"/>
                <w:b w:val="0"/>
                <w:i/>
                <w:color w:val="000000"/>
                <w:sz w:val="20"/>
              </w:rPr>
              <w:t xml:space="preserve"> − Q</w:t>
            </w:r>
            <w:r>
              <w:rPr>
                <w:rFonts w:ascii="Calibri,Italic" w:hAnsi="Calibri,Italic" w:eastAsia="Calibri,Italic"/>
                <w:b w:val="0"/>
                <w:i/>
                <w:color w:val="000000"/>
                <w:sz w:val="13"/>
              </w:rPr>
              <w:t>fk8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2100"/>
            <w:vMerge/>
            <w:tcBorders/>
          </w:tcPr>
          <w:p/>
        </w:tc>
        <w:tc>
          <w:tcPr>
            <w:tcW w:type="dxa" w:w="4200"/>
            <w:gridSpan w:val="2"/>
            <w:vMerge/>
            <w:tcBorders/>
          </w:tcPr>
          <w:p/>
        </w:tc>
        <w:tc>
          <w:tcPr>
            <w:tcW w:type="dxa" w:w="2100"/>
            <w:vMerge/>
            <w:tcBorders>
              <w:top w:sz="3.184000015258789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80" w:lineRule="exact" w:before="276" w:after="0"/>
        <w:ind w:left="0" w:right="0" w:firstLine="0"/>
        <w:jc w:val="center"/>
      </w:pPr>
      <w:r>
        <w:rPr>
          <w:rFonts w:ascii="URWPalladioL" w:hAnsi="URWPalladioL" w:eastAsia="URWPalladioL"/>
          <w:b/>
          <w:i w:val="0"/>
          <w:color w:val="000000"/>
          <w:sz w:val="18"/>
        </w:rPr>
        <w:t>Chart 2.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Value-based financial risk prediction model.</w:t>
      </w:r>
    </w:p>
    <w:p>
      <w:pPr>
        <w:autoSpaceDN w:val="0"/>
        <w:autoSpaceDE w:val="0"/>
        <w:widowControl/>
        <w:spacing w:line="180" w:lineRule="exact" w:before="236" w:after="0"/>
        <w:ind w:left="0" w:right="0" w:firstLine="0"/>
        <w:jc w:val="center"/>
      </w:pPr>
      <w:r>
        <w:rPr>
          <w:rFonts w:ascii="URWPalladioL" w:hAnsi="URWPalladioL" w:eastAsia="URWPalladioL"/>
          <w:b/>
          <w:i w:val="0"/>
          <w:color w:val="000000"/>
          <w:sz w:val="18"/>
        </w:rPr>
        <w:t>Table 8.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Anticipated personal risk levels for financial risk groups.</w:t>
      </w:r>
    </w:p>
    <w:p>
      <w:pPr>
        <w:autoSpaceDN w:val="0"/>
        <w:autoSpaceDE w:val="0"/>
        <w:widowControl/>
        <w:spacing w:line="174" w:lineRule="exact" w:before="232" w:after="38"/>
        <w:ind w:left="0" w:right="2612" w:firstLine="0"/>
        <w:jc w:val="right"/>
      </w:pPr>
      <w:r>
        <w:rPr>
          <w:rFonts w:ascii="URWPalladioL" w:hAnsi="URWPalladioL" w:eastAsia="URWPalladioL"/>
          <w:b/>
          <w:i w:val="0"/>
          <w:color w:val="000000"/>
          <w:sz w:val="16"/>
        </w:rPr>
        <w:t>Economic Situation (</w:t>
      </w:r>
      <w:r>
        <w:rPr>
          <w:rFonts w:ascii="URWPalladioL" w:hAnsi="URWPalladioL" w:eastAsia="URWPalladioL"/>
          <w:b/>
          <w:i/>
          <w:color w:val="000000"/>
          <w:sz w:val="16"/>
        </w:rPr>
        <w:t>ES</w:t>
      </w:r>
      <w:r>
        <w:rPr>
          <w:rFonts w:ascii="URWPalladioL" w:hAnsi="URWPalladioL" w:eastAsia="URWPalladioL"/>
          <w:b/>
          <w:i/>
          <w:color w:val="000000"/>
          <w:sz w:val="12"/>
        </w:rPr>
        <w:t>r</w:t>
      </w:r>
      <w:r>
        <w:rPr>
          <w:rFonts w:ascii="URWPalladioL" w:hAnsi="URWPalladioL" w:eastAsia="URWPalladioL"/>
          <w:b/>
          <w:i w:val="0"/>
          <w:color w:val="000000"/>
          <w:sz w:val="16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750"/>
        <w:gridCol w:w="1750"/>
        <w:gridCol w:w="1750"/>
        <w:gridCol w:w="1750"/>
        <w:gridCol w:w="1750"/>
        <w:gridCol w:w="1750"/>
      </w:tblGrid>
      <w:tr>
        <w:trPr>
          <w:trHeight w:hRule="exact" w:val="240"/>
        </w:trPr>
        <w:tc>
          <w:tcPr>
            <w:tcW w:type="dxa" w:w="1982"/>
            <w:vMerge w:val="restart"/>
            <w:tcBorders>
              <w:top w:sz="2.391999959945678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50" w:after="0"/>
              <w:ind w:left="132" w:right="0" w:firstLine="0"/>
              <w:jc w:val="left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16"/>
              </w:rPr>
              <w:t>Personal Value Type</w:t>
            </w:r>
          </w:p>
        </w:tc>
        <w:tc>
          <w:tcPr>
            <w:tcW w:type="dxa" w:w="1506"/>
            <w:vMerge w:val="restart"/>
            <w:tcBorders>
              <w:top w:sz="2.3919999599456787" w:val="single" w:color="#000000"/>
              <w:bottom w:sz="2.391999959945678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16" w:after="0"/>
              <w:ind w:left="0" w:right="592" w:firstLine="0"/>
              <w:jc w:val="right"/>
            </w:pPr>
            <w:r>
              <w:rPr>
                <w:rFonts w:ascii="URWPalladioL" w:hAnsi="URWPalladioL" w:eastAsia="URWPalladioL"/>
                <w:b/>
                <w:i/>
                <w:color w:val="000000"/>
                <w:sz w:val="16"/>
              </w:rPr>
              <w:t>PVT</w:t>
            </w:r>
            <w:r>
              <w:rPr>
                <w:rFonts w:ascii="URWPalladioL" w:hAnsi="URWPalladioL" w:eastAsia="URWPalladioL"/>
                <w:b/>
                <w:i/>
                <w:color w:val="000000"/>
                <w:sz w:val="12"/>
              </w:rPr>
              <w:t>infl</w:t>
            </w:r>
          </w:p>
        </w:tc>
        <w:tc>
          <w:tcPr>
            <w:tcW w:type="dxa" w:w="1754"/>
            <w:tcBorders>
              <w:top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16"/>
              </w:rPr>
              <w:t>Neutral Economic</w:t>
            </w:r>
          </w:p>
        </w:tc>
        <w:tc>
          <w:tcPr>
            <w:tcW w:type="dxa" w:w="1720"/>
            <w:tcBorders>
              <w:top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16"/>
              </w:rPr>
              <w:t>Positive Economic</w:t>
            </w:r>
          </w:p>
        </w:tc>
        <w:tc>
          <w:tcPr>
            <w:tcW w:type="dxa" w:w="1780"/>
            <w:tcBorders>
              <w:top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16"/>
              </w:rPr>
              <w:t>Negative Economic</w:t>
            </w:r>
          </w:p>
        </w:tc>
        <w:tc>
          <w:tcPr>
            <w:tcW w:type="dxa" w:w="1728"/>
            <w:tcBorders>
              <w:top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16"/>
              </w:rPr>
              <w:t>Positive Economic</w:t>
            </w:r>
          </w:p>
        </w:tc>
      </w:tr>
      <w:tr>
        <w:trPr>
          <w:trHeight w:hRule="exact" w:val="80"/>
        </w:trPr>
        <w:tc>
          <w:tcPr>
            <w:tcW w:type="dxa" w:w="1750"/>
            <w:vMerge/>
            <w:tcBorders>
              <w:top w:sz="2.3919999599456787" w:val="single" w:color="#000000"/>
            </w:tcBorders>
          </w:tcPr>
          <w:p/>
        </w:tc>
        <w:tc>
          <w:tcPr>
            <w:tcW w:type="dxa" w:w="1750"/>
            <w:vMerge/>
            <w:tcBorders>
              <w:top w:sz="2.3919999599456787" w:val="single" w:color="#000000"/>
              <w:bottom w:sz="2.3919999599456787" w:val="single" w:color="#000000"/>
            </w:tcBorders>
          </w:tcPr>
          <w:p/>
        </w:tc>
        <w:tc>
          <w:tcPr>
            <w:tcW w:type="dxa" w:w="175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16"/>
              </w:rPr>
              <w:t>Situation with</w:t>
            </w:r>
          </w:p>
        </w:tc>
        <w:tc>
          <w:tcPr>
            <w:tcW w:type="dxa" w:w="1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16"/>
              </w:rPr>
              <w:t>Situation with High</w:t>
            </w:r>
          </w:p>
        </w:tc>
        <w:tc>
          <w:tcPr>
            <w:tcW w:type="dxa" w:w="1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16"/>
              </w:rPr>
              <w:t>Situation with</w:t>
            </w:r>
          </w:p>
        </w:tc>
        <w:tc>
          <w:tcPr>
            <w:tcW w:type="dxa" w:w="172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16"/>
              </w:rPr>
              <w:t>Situation with Low</w:t>
            </w:r>
          </w:p>
        </w:tc>
      </w:tr>
      <w:tr>
        <w:trPr>
          <w:trHeight w:hRule="exact" w:val="100"/>
        </w:trPr>
        <w:tc>
          <w:tcPr>
            <w:tcW w:type="dxa" w:w="1982"/>
            <w:vMerge w:val="restart"/>
            <w:tcBorders>
              <w:bottom w:sz="2.391999959945678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0" w:after="0"/>
              <w:ind w:left="0" w:right="890" w:firstLine="0"/>
              <w:jc w:val="right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16"/>
              </w:rPr>
              <w:t>(</w:t>
            </w:r>
            <w:r>
              <w:rPr>
                <w:rFonts w:ascii="URWPalladioL" w:hAnsi="URWPalladioL" w:eastAsia="URWPalladioL"/>
                <w:b/>
                <w:i/>
                <w:color w:val="000000"/>
                <w:sz w:val="16"/>
              </w:rPr>
              <w:t>PVT</w:t>
            </w:r>
            <w:r>
              <w:rPr>
                <w:rFonts w:ascii="URWPalladioL" w:hAnsi="URWPalladioL" w:eastAsia="URWPalladioL"/>
                <w:b/>
                <w:i w:val="0"/>
                <w:color w:val="000000"/>
                <w:sz w:val="16"/>
              </w:rPr>
              <w:t>)</w:t>
            </w:r>
          </w:p>
        </w:tc>
        <w:tc>
          <w:tcPr>
            <w:tcW w:type="dxa" w:w="1750"/>
            <w:vMerge/>
            <w:tcBorders>
              <w:top w:sz="2.3919999599456787" w:val="single" w:color="#000000"/>
              <w:bottom w:sz="2.3919999599456787" w:val="single" w:color="#000000"/>
            </w:tcBorders>
          </w:tcPr>
          <w:p/>
        </w:tc>
        <w:tc>
          <w:tcPr>
            <w:tcW w:type="dxa" w:w="1750"/>
            <w:vMerge/>
            <w:tcBorders/>
          </w:tcPr>
          <w:p/>
        </w:tc>
        <w:tc>
          <w:tcPr>
            <w:tcW w:type="dxa" w:w="1750"/>
            <w:vMerge/>
            <w:tcBorders/>
          </w:tcPr>
          <w:p/>
        </w:tc>
        <w:tc>
          <w:tcPr>
            <w:tcW w:type="dxa" w:w="1750"/>
            <w:vMerge/>
            <w:tcBorders/>
          </w:tcPr>
          <w:p/>
        </w:tc>
        <w:tc>
          <w:tcPr>
            <w:tcW w:type="dxa" w:w="1750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1750"/>
            <w:vMerge/>
            <w:tcBorders>
              <w:bottom w:sz="2.3919999599456787" w:val="single" w:color="#000000"/>
            </w:tcBorders>
          </w:tcPr>
          <w:p/>
        </w:tc>
        <w:tc>
          <w:tcPr>
            <w:tcW w:type="dxa" w:w="1750"/>
            <w:vMerge/>
            <w:tcBorders>
              <w:top w:sz="2.3919999599456787" w:val="single" w:color="#000000"/>
              <w:bottom w:sz="2.3919999599456787" w:val="single" w:color="#000000"/>
            </w:tcBorders>
          </w:tcPr>
          <w:p/>
        </w:tc>
        <w:tc>
          <w:tcPr>
            <w:tcW w:type="dxa" w:w="17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16"/>
              </w:rPr>
              <w:t>Higher Level of Risk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16"/>
              </w:rPr>
              <w:t>Level of Risk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16"/>
              </w:rPr>
              <w:t>Higher Level of Risk</w:t>
            </w:r>
          </w:p>
        </w:tc>
        <w:tc>
          <w:tcPr>
            <w:tcW w:type="dxa" w:w="17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16"/>
              </w:rPr>
              <w:t>Level of Risk</w:t>
            </w:r>
          </w:p>
        </w:tc>
      </w:tr>
      <w:tr>
        <w:trPr>
          <w:trHeight w:hRule="exact" w:val="230"/>
        </w:trPr>
        <w:tc>
          <w:tcPr>
            <w:tcW w:type="dxa" w:w="1750"/>
            <w:vMerge/>
            <w:tcBorders>
              <w:bottom w:sz="2.3919999599456787" w:val="single" w:color="#000000"/>
            </w:tcBorders>
          </w:tcPr>
          <w:p/>
        </w:tc>
        <w:tc>
          <w:tcPr>
            <w:tcW w:type="dxa" w:w="1750"/>
            <w:vMerge/>
            <w:tcBorders>
              <w:top w:sz="2.3919999599456787" w:val="single" w:color="#000000"/>
              <w:bottom w:sz="2.3919999599456787" w:val="single" w:color="#000000"/>
            </w:tcBorders>
          </w:tcPr>
          <w:p/>
        </w:tc>
        <w:tc>
          <w:tcPr>
            <w:tcW w:type="dxa" w:w="1754"/>
            <w:tcBorders>
              <w:bottom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16"/>
              </w:rPr>
              <w:t>59.7%</w:t>
            </w:r>
          </w:p>
        </w:tc>
        <w:tc>
          <w:tcPr>
            <w:tcW w:type="dxa" w:w="1720"/>
            <w:tcBorders>
              <w:bottom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16"/>
              </w:rPr>
              <w:t>65.71%</w:t>
            </w:r>
          </w:p>
        </w:tc>
        <w:tc>
          <w:tcPr>
            <w:tcW w:type="dxa" w:w="1780"/>
            <w:tcBorders>
              <w:bottom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16"/>
              </w:rPr>
              <w:t>58.82%</w:t>
            </w:r>
          </w:p>
        </w:tc>
        <w:tc>
          <w:tcPr>
            <w:tcW w:type="dxa" w:w="1728"/>
            <w:tcBorders>
              <w:bottom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16"/>
              </w:rPr>
              <w:t>5.66%</w:t>
            </w:r>
          </w:p>
        </w:tc>
      </w:tr>
      <w:tr>
        <w:trPr>
          <w:trHeight w:hRule="exact" w:val="250"/>
        </w:trPr>
        <w:tc>
          <w:tcPr>
            <w:tcW w:type="dxa" w:w="1982"/>
            <w:tcBorders>
              <w:top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72" w:after="0"/>
              <w:ind w:left="0" w:right="926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PVT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2"/>
              </w:rPr>
              <w:t>1</w:t>
            </w:r>
          </w:p>
        </w:tc>
        <w:tc>
          <w:tcPr>
            <w:tcW w:type="dxa" w:w="1506"/>
            <w:vMerge w:val="restart"/>
            <w:tcBorders>
              <w:top w:sz="2.3919999599456787" w:val="single" w:color="#000000"/>
              <w:bottom w:sz="2.391999959945678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72" w:after="0"/>
              <w:ind w:left="0" w:right="650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1.2600</w:t>
            </w:r>
          </w:p>
        </w:tc>
        <w:tc>
          <w:tcPr>
            <w:tcW w:type="dxa" w:w="1754"/>
            <w:vMerge w:val="restart"/>
            <w:tcBorders>
              <w:top w:sz="2.3919999599456787" w:val="single" w:color="#000000"/>
              <w:bottom w:sz="2.391999959945678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7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75.23%</w:t>
            </w:r>
          </w:p>
        </w:tc>
        <w:tc>
          <w:tcPr>
            <w:tcW w:type="dxa" w:w="1720"/>
            <w:vMerge w:val="restart"/>
            <w:tcBorders>
              <w:top w:sz="2.3919999599456787" w:val="single" w:color="#000000"/>
              <w:bottom w:sz="2.391999959945678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7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82.80%</w:t>
            </w:r>
          </w:p>
        </w:tc>
        <w:tc>
          <w:tcPr>
            <w:tcW w:type="dxa" w:w="1780"/>
            <w:vMerge w:val="restart"/>
            <w:tcBorders>
              <w:top w:sz="2.3919999599456787" w:val="single" w:color="#000000"/>
              <w:bottom w:sz="2.391999959945678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7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74.11%</w:t>
            </w:r>
          </w:p>
        </w:tc>
        <w:tc>
          <w:tcPr>
            <w:tcW w:type="dxa" w:w="1728"/>
            <w:vMerge w:val="restart"/>
            <w:tcBorders>
              <w:top w:sz="2.3919999599456787" w:val="single" w:color="#000000"/>
              <w:bottom w:sz="2.391999959945678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7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7.14%</w:t>
            </w:r>
          </w:p>
        </w:tc>
      </w:tr>
      <w:tr>
        <w:trPr>
          <w:trHeight w:hRule="exact" w:val="228"/>
        </w:trPr>
        <w:tc>
          <w:tcPr>
            <w:tcW w:type="dxa" w:w="1982"/>
            <w:tcBorders>
              <w:bottom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262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CONSERVATIVE</w:t>
            </w:r>
          </w:p>
        </w:tc>
        <w:tc>
          <w:tcPr>
            <w:tcW w:type="dxa" w:w="1750"/>
            <w:vMerge/>
            <w:tcBorders>
              <w:top w:sz="2.3919999599456787" w:val="single" w:color="#000000"/>
              <w:bottom w:sz="2.3919999599456787" w:val="single" w:color="#000000"/>
            </w:tcBorders>
          </w:tcPr>
          <w:p/>
        </w:tc>
        <w:tc>
          <w:tcPr>
            <w:tcW w:type="dxa" w:w="1750"/>
            <w:vMerge/>
            <w:tcBorders>
              <w:top w:sz="2.3919999599456787" w:val="single" w:color="#000000"/>
              <w:bottom w:sz="2.3919999599456787" w:val="single" w:color="#000000"/>
            </w:tcBorders>
          </w:tcPr>
          <w:p/>
        </w:tc>
        <w:tc>
          <w:tcPr>
            <w:tcW w:type="dxa" w:w="1750"/>
            <w:vMerge/>
            <w:tcBorders>
              <w:top w:sz="2.3919999599456787" w:val="single" w:color="#000000"/>
              <w:bottom w:sz="2.3919999599456787" w:val="single" w:color="#000000"/>
            </w:tcBorders>
          </w:tcPr>
          <w:p/>
        </w:tc>
        <w:tc>
          <w:tcPr>
            <w:tcW w:type="dxa" w:w="1750"/>
            <w:vMerge/>
            <w:tcBorders>
              <w:top w:sz="2.3919999599456787" w:val="single" w:color="#000000"/>
              <w:bottom w:sz="2.3919999599456787" w:val="single" w:color="#000000"/>
            </w:tcBorders>
          </w:tcPr>
          <w:p/>
        </w:tc>
        <w:tc>
          <w:tcPr>
            <w:tcW w:type="dxa" w:w="1750"/>
            <w:vMerge/>
            <w:tcBorders>
              <w:top w:sz="2.3919999599456787" w:val="single" w:color="#000000"/>
              <w:bottom w:sz="2.3919999599456787" w:val="single" w:color="#000000"/>
            </w:tcBorders>
          </w:tcPr>
          <w:p/>
        </w:tc>
      </w:tr>
      <w:tr>
        <w:trPr>
          <w:trHeight w:hRule="exact" w:val="252"/>
        </w:trPr>
        <w:tc>
          <w:tcPr>
            <w:tcW w:type="dxa" w:w="1982"/>
            <w:tcBorders>
              <w:top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74" w:after="0"/>
              <w:ind w:left="0" w:right="928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PVT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2"/>
              </w:rPr>
              <w:t>2</w:t>
            </w:r>
          </w:p>
        </w:tc>
        <w:tc>
          <w:tcPr>
            <w:tcW w:type="dxa" w:w="1506"/>
            <w:vMerge w:val="restart"/>
            <w:tcBorders>
              <w:top w:sz="2.3919999599456787" w:val="single" w:color="#000000"/>
              <w:bottom w:sz="2.391999959945678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8" w:after="0"/>
              <w:ind w:left="0" w:right="650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1.4119</w:t>
            </w:r>
          </w:p>
        </w:tc>
        <w:tc>
          <w:tcPr>
            <w:tcW w:type="dxa" w:w="1754"/>
            <w:vMerge w:val="restart"/>
            <w:tcBorders>
              <w:top w:sz="2.3919999599456787" w:val="single" w:color="#000000"/>
              <w:bottom w:sz="2.391999959945678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84.30%</w:t>
            </w:r>
          </w:p>
        </w:tc>
        <w:tc>
          <w:tcPr>
            <w:tcW w:type="dxa" w:w="1720"/>
            <w:vMerge w:val="restart"/>
            <w:tcBorders>
              <w:top w:sz="2.3919999599456787" w:val="single" w:color="#000000"/>
              <w:bottom w:sz="2.391999959945678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92.78%</w:t>
            </w:r>
          </w:p>
        </w:tc>
        <w:tc>
          <w:tcPr>
            <w:tcW w:type="dxa" w:w="1780"/>
            <w:vMerge w:val="restart"/>
            <w:tcBorders>
              <w:top w:sz="2.3919999599456787" w:val="single" w:color="#000000"/>
              <w:bottom w:sz="2.391999959945678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83.04%</w:t>
            </w:r>
          </w:p>
        </w:tc>
        <w:tc>
          <w:tcPr>
            <w:tcW w:type="dxa" w:w="1728"/>
            <w:vMerge w:val="restart"/>
            <w:tcBorders>
              <w:top w:sz="2.3919999599456787" w:val="single" w:color="#000000"/>
              <w:bottom w:sz="2.391999959945678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8.00%</w:t>
            </w:r>
          </w:p>
        </w:tc>
      </w:tr>
      <w:tr>
        <w:trPr>
          <w:trHeight w:hRule="exact" w:val="220"/>
        </w:trPr>
        <w:tc>
          <w:tcPr>
            <w:tcW w:type="dxa" w:w="1982"/>
            <w:tcBorders>
              <w:bottom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" w:after="0"/>
              <w:ind w:left="258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VENTURESOME</w:t>
            </w:r>
          </w:p>
        </w:tc>
        <w:tc>
          <w:tcPr>
            <w:tcW w:type="dxa" w:w="1750"/>
            <w:vMerge/>
            <w:tcBorders>
              <w:top w:sz="2.3919999599456787" w:val="single" w:color="#000000"/>
              <w:bottom w:sz="2.3919999599456787" w:val="single" w:color="#000000"/>
            </w:tcBorders>
          </w:tcPr>
          <w:p/>
        </w:tc>
        <w:tc>
          <w:tcPr>
            <w:tcW w:type="dxa" w:w="1750"/>
            <w:vMerge/>
            <w:tcBorders>
              <w:top w:sz="2.3919999599456787" w:val="single" w:color="#000000"/>
              <w:bottom w:sz="2.3919999599456787" w:val="single" w:color="#000000"/>
            </w:tcBorders>
          </w:tcPr>
          <w:p/>
        </w:tc>
        <w:tc>
          <w:tcPr>
            <w:tcW w:type="dxa" w:w="1750"/>
            <w:vMerge/>
            <w:tcBorders>
              <w:top w:sz="2.3919999599456787" w:val="single" w:color="#000000"/>
              <w:bottom w:sz="2.3919999599456787" w:val="single" w:color="#000000"/>
            </w:tcBorders>
          </w:tcPr>
          <w:p/>
        </w:tc>
        <w:tc>
          <w:tcPr>
            <w:tcW w:type="dxa" w:w="1750"/>
            <w:vMerge/>
            <w:tcBorders>
              <w:top w:sz="2.3919999599456787" w:val="single" w:color="#000000"/>
              <w:bottom w:sz="2.3919999599456787" w:val="single" w:color="#000000"/>
            </w:tcBorders>
          </w:tcPr>
          <w:p/>
        </w:tc>
        <w:tc>
          <w:tcPr>
            <w:tcW w:type="dxa" w:w="1750"/>
            <w:vMerge/>
            <w:tcBorders>
              <w:top w:sz="2.3919999599456787" w:val="single" w:color="#000000"/>
              <w:bottom w:sz="2.3919999599456787" w:val="single" w:color="#000000"/>
            </w:tcBorders>
          </w:tcPr>
          <w:p/>
        </w:tc>
      </w:tr>
      <w:tr>
        <w:trPr>
          <w:trHeight w:hRule="exact" w:val="260"/>
        </w:trPr>
        <w:tc>
          <w:tcPr>
            <w:tcW w:type="dxa" w:w="1982"/>
            <w:tcBorders>
              <w:top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76" w:after="0"/>
              <w:ind w:left="0" w:right="928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PVT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2"/>
              </w:rPr>
              <w:t>3</w:t>
            </w:r>
          </w:p>
        </w:tc>
        <w:tc>
          <w:tcPr>
            <w:tcW w:type="dxa" w:w="1506"/>
            <w:vMerge w:val="restart"/>
            <w:tcBorders>
              <w:top w:sz="2.3919999599456787" w:val="single" w:color="#000000"/>
              <w:bottom w:sz="2.391999959945678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70" w:after="0"/>
              <w:ind w:left="0" w:right="650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1.0726</w:t>
            </w:r>
          </w:p>
        </w:tc>
        <w:tc>
          <w:tcPr>
            <w:tcW w:type="dxa" w:w="1754"/>
            <w:vMerge w:val="restart"/>
            <w:tcBorders>
              <w:top w:sz="2.3919999599456787" w:val="single" w:color="#000000"/>
              <w:bottom w:sz="2.391999959945678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7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64.04%</w:t>
            </w:r>
          </w:p>
        </w:tc>
        <w:tc>
          <w:tcPr>
            <w:tcW w:type="dxa" w:w="1720"/>
            <w:vMerge w:val="restart"/>
            <w:tcBorders>
              <w:top w:sz="2.3919999599456787" w:val="single" w:color="#000000"/>
              <w:bottom w:sz="2.391999959945678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7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70.48%</w:t>
            </w:r>
          </w:p>
        </w:tc>
        <w:tc>
          <w:tcPr>
            <w:tcW w:type="dxa" w:w="1780"/>
            <w:vMerge w:val="restart"/>
            <w:tcBorders>
              <w:top w:sz="2.3919999599456787" w:val="single" w:color="#000000"/>
              <w:bottom w:sz="2.391999959945678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7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63.08%</w:t>
            </w:r>
          </w:p>
        </w:tc>
        <w:tc>
          <w:tcPr>
            <w:tcW w:type="dxa" w:w="1728"/>
            <w:vMerge w:val="restart"/>
            <w:tcBorders>
              <w:top w:sz="2.3919999599456787" w:val="single" w:color="#000000"/>
              <w:bottom w:sz="2.391999959945678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7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6.07%</w:t>
            </w:r>
          </w:p>
        </w:tc>
      </w:tr>
      <w:tr>
        <w:trPr>
          <w:trHeight w:hRule="exact" w:val="216"/>
        </w:trPr>
        <w:tc>
          <w:tcPr>
            <w:tcW w:type="dxa" w:w="1982"/>
            <w:tcBorders>
              <w:bottom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" w:after="0"/>
              <w:ind w:left="442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RELIGIOUS</w:t>
            </w:r>
          </w:p>
        </w:tc>
        <w:tc>
          <w:tcPr>
            <w:tcW w:type="dxa" w:w="1750"/>
            <w:vMerge/>
            <w:tcBorders>
              <w:top w:sz="2.3919999599456787" w:val="single" w:color="#000000"/>
              <w:bottom w:sz="2.3919999599456787" w:val="single" w:color="#000000"/>
            </w:tcBorders>
          </w:tcPr>
          <w:p/>
        </w:tc>
        <w:tc>
          <w:tcPr>
            <w:tcW w:type="dxa" w:w="1750"/>
            <w:vMerge/>
            <w:tcBorders>
              <w:top w:sz="2.3919999599456787" w:val="single" w:color="#000000"/>
              <w:bottom w:sz="2.3919999599456787" w:val="single" w:color="#000000"/>
            </w:tcBorders>
          </w:tcPr>
          <w:p/>
        </w:tc>
        <w:tc>
          <w:tcPr>
            <w:tcW w:type="dxa" w:w="1750"/>
            <w:vMerge/>
            <w:tcBorders>
              <w:top w:sz="2.3919999599456787" w:val="single" w:color="#000000"/>
              <w:bottom w:sz="2.3919999599456787" w:val="single" w:color="#000000"/>
            </w:tcBorders>
          </w:tcPr>
          <w:p/>
        </w:tc>
        <w:tc>
          <w:tcPr>
            <w:tcW w:type="dxa" w:w="1750"/>
            <w:vMerge/>
            <w:tcBorders>
              <w:top w:sz="2.3919999599456787" w:val="single" w:color="#000000"/>
              <w:bottom w:sz="2.3919999599456787" w:val="single" w:color="#000000"/>
            </w:tcBorders>
          </w:tcPr>
          <w:p/>
        </w:tc>
        <w:tc>
          <w:tcPr>
            <w:tcW w:type="dxa" w:w="1750"/>
            <w:vMerge/>
            <w:tcBorders>
              <w:top w:sz="2.3919999599456787" w:val="single" w:color="#000000"/>
              <w:bottom w:sz="2.3919999599456787" w:val="single" w:color="#000000"/>
            </w:tcBorders>
          </w:tcPr>
          <w:p/>
        </w:tc>
      </w:tr>
      <w:tr>
        <w:trPr>
          <w:trHeight w:hRule="exact" w:val="244"/>
        </w:trPr>
        <w:tc>
          <w:tcPr>
            <w:tcW w:type="dxa" w:w="1982"/>
            <w:tcBorders>
              <w:top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66" w:after="0"/>
              <w:ind w:left="0" w:right="928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PVT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2"/>
              </w:rPr>
              <w:t>4</w:t>
            </w:r>
          </w:p>
        </w:tc>
        <w:tc>
          <w:tcPr>
            <w:tcW w:type="dxa" w:w="1506"/>
            <w:vMerge w:val="restart"/>
            <w:tcBorders>
              <w:top w:sz="2.3919999599456787" w:val="single" w:color="#000000"/>
              <w:bottom w:sz="2.391999959945678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8" w:after="0"/>
              <w:ind w:left="0" w:right="650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0.9142</w:t>
            </w:r>
          </w:p>
        </w:tc>
        <w:tc>
          <w:tcPr>
            <w:tcW w:type="dxa" w:w="1754"/>
            <w:vMerge w:val="restart"/>
            <w:tcBorders>
              <w:top w:sz="2.3919999599456787" w:val="single" w:color="#000000"/>
              <w:bottom w:sz="2.391999959945678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54.58%</w:t>
            </w:r>
          </w:p>
        </w:tc>
        <w:tc>
          <w:tcPr>
            <w:tcW w:type="dxa" w:w="1720"/>
            <w:vMerge w:val="restart"/>
            <w:tcBorders>
              <w:top w:sz="2.3919999599456787" w:val="single" w:color="#000000"/>
              <w:bottom w:sz="2.391999959945678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60.07%</w:t>
            </w:r>
          </w:p>
        </w:tc>
        <w:tc>
          <w:tcPr>
            <w:tcW w:type="dxa" w:w="1780"/>
            <w:vMerge w:val="restart"/>
            <w:tcBorders>
              <w:top w:sz="2.3919999599456787" w:val="single" w:color="#000000"/>
              <w:bottom w:sz="2.391999959945678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53.77%</w:t>
            </w:r>
          </w:p>
        </w:tc>
        <w:tc>
          <w:tcPr>
            <w:tcW w:type="dxa" w:w="1728"/>
            <w:vMerge w:val="restart"/>
            <w:tcBorders>
              <w:top w:sz="2.3919999599456787" w:val="single" w:color="#000000"/>
              <w:bottom w:sz="2.391999959945678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5.18%</w:t>
            </w:r>
          </w:p>
        </w:tc>
      </w:tr>
      <w:tr>
        <w:trPr>
          <w:trHeight w:hRule="exact" w:val="230"/>
        </w:trPr>
        <w:tc>
          <w:tcPr>
            <w:tcW w:type="dxa" w:w="1982"/>
            <w:tcBorders>
              <w:bottom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2" w:after="0"/>
              <w:ind w:left="0" w:right="770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LIBERAL</w:t>
            </w:r>
          </w:p>
        </w:tc>
        <w:tc>
          <w:tcPr>
            <w:tcW w:type="dxa" w:w="1750"/>
            <w:vMerge/>
            <w:tcBorders>
              <w:top w:sz="2.3919999599456787" w:val="single" w:color="#000000"/>
              <w:bottom w:sz="2.3919999599456787" w:val="single" w:color="#000000"/>
            </w:tcBorders>
          </w:tcPr>
          <w:p/>
        </w:tc>
        <w:tc>
          <w:tcPr>
            <w:tcW w:type="dxa" w:w="1750"/>
            <w:vMerge/>
            <w:tcBorders>
              <w:top w:sz="2.3919999599456787" w:val="single" w:color="#000000"/>
              <w:bottom w:sz="2.3919999599456787" w:val="single" w:color="#000000"/>
            </w:tcBorders>
          </w:tcPr>
          <w:p/>
        </w:tc>
        <w:tc>
          <w:tcPr>
            <w:tcW w:type="dxa" w:w="1750"/>
            <w:vMerge/>
            <w:tcBorders>
              <w:top w:sz="2.3919999599456787" w:val="single" w:color="#000000"/>
              <w:bottom w:sz="2.3919999599456787" w:val="single" w:color="#000000"/>
            </w:tcBorders>
          </w:tcPr>
          <w:p/>
        </w:tc>
        <w:tc>
          <w:tcPr>
            <w:tcW w:type="dxa" w:w="1750"/>
            <w:vMerge/>
            <w:tcBorders>
              <w:top w:sz="2.3919999599456787" w:val="single" w:color="#000000"/>
              <w:bottom w:sz="2.3919999599456787" w:val="single" w:color="#000000"/>
            </w:tcBorders>
          </w:tcPr>
          <w:p/>
        </w:tc>
        <w:tc>
          <w:tcPr>
            <w:tcW w:type="dxa" w:w="1750"/>
            <w:vMerge/>
            <w:tcBorders>
              <w:top w:sz="2.3919999599456787" w:val="single" w:color="#000000"/>
              <w:bottom w:sz="2.3919999599456787" w:val="single" w:color="#000000"/>
            </w:tcBorders>
          </w:tcPr>
          <w:p/>
        </w:tc>
      </w:tr>
      <w:tr>
        <w:trPr>
          <w:trHeight w:hRule="exact" w:val="250"/>
        </w:trPr>
        <w:tc>
          <w:tcPr>
            <w:tcW w:type="dxa" w:w="1982"/>
            <w:tcBorders>
              <w:top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0" w:after="0"/>
              <w:ind w:left="0" w:right="928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PVT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2"/>
              </w:rPr>
              <w:t>5</w:t>
            </w:r>
          </w:p>
        </w:tc>
        <w:tc>
          <w:tcPr>
            <w:tcW w:type="dxa" w:w="1506"/>
            <w:vMerge w:val="restart"/>
            <w:tcBorders>
              <w:top w:sz="2.3919999599456787" w:val="single" w:color="#000000"/>
              <w:bottom w:sz="2.391999959945678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70" w:after="0"/>
              <w:ind w:left="0" w:right="650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1.0028</w:t>
            </w:r>
          </w:p>
        </w:tc>
        <w:tc>
          <w:tcPr>
            <w:tcW w:type="dxa" w:w="1754"/>
            <w:vMerge w:val="restart"/>
            <w:tcBorders>
              <w:top w:sz="2.3919999599456787" w:val="single" w:color="#000000"/>
              <w:bottom w:sz="2.391999959945678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7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59.87%</w:t>
            </w:r>
          </w:p>
        </w:tc>
        <w:tc>
          <w:tcPr>
            <w:tcW w:type="dxa" w:w="1720"/>
            <w:vMerge w:val="restart"/>
            <w:tcBorders>
              <w:top w:sz="2.3919999599456787" w:val="single" w:color="#000000"/>
              <w:bottom w:sz="2.391999959945678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7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65.90%</w:t>
            </w:r>
          </w:p>
        </w:tc>
        <w:tc>
          <w:tcPr>
            <w:tcW w:type="dxa" w:w="1780"/>
            <w:vMerge w:val="restart"/>
            <w:tcBorders>
              <w:top w:sz="2.3919999599456787" w:val="single" w:color="#000000"/>
              <w:bottom w:sz="2.391999959945678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7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58.98%</w:t>
            </w:r>
          </w:p>
        </w:tc>
        <w:tc>
          <w:tcPr>
            <w:tcW w:type="dxa" w:w="1728"/>
            <w:vMerge w:val="restart"/>
            <w:tcBorders>
              <w:top w:sz="2.3919999599456787" w:val="single" w:color="#000000"/>
              <w:bottom w:sz="2.391999959945678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7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5.68%</w:t>
            </w:r>
          </w:p>
        </w:tc>
      </w:tr>
      <w:tr>
        <w:trPr>
          <w:trHeight w:hRule="exact" w:val="224"/>
        </w:trPr>
        <w:tc>
          <w:tcPr>
            <w:tcW w:type="dxa" w:w="1982"/>
            <w:tcBorders>
              <w:bottom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" w:after="0"/>
              <w:ind w:left="0" w:right="816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POWER</w:t>
            </w:r>
          </w:p>
        </w:tc>
        <w:tc>
          <w:tcPr>
            <w:tcW w:type="dxa" w:w="1750"/>
            <w:vMerge/>
            <w:tcBorders>
              <w:top w:sz="2.3919999599456787" w:val="single" w:color="#000000"/>
              <w:bottom w:sz="2.3919999599456787" w:val="single" w:color="#000000"/>
            </w:tcBorders>
          </w:tcPr>
          <w:p/>
        </w:tc>
        <w:tc>
          <w:tcPr>
            <w:tcW w:type="dxa" w:w="1750"/>
            <w:vMerge/>
            <w:tcBorders>
              <w:top w:sz="2.3919999599456787" w:val="single" w:color="#000000"/>
              <w:bottom w:sz="2.3919999599456787" w:val="single" w:color="#000000"/>
            </w:tcBorders>
          </w:tcPr>
          <w:p/>
        </w:tc>
        <w:tc>
          <w:tcPr>
            <w:tcW w:type="dxa" w:w="1750"/>
            <w:vMerge/>
            <w:tcBorders>
              <w:top w:sz="2.3919999599456787" w:val="single" w:color="#000000"/>
              <w:bottom w:sz="2.3919999599456787" w:val="single" w:color="#000000"/>
            </w:tcBorders>
          </w:tcPr>
          <w:p/>
        </w:tc>
        <w:tc>
          <w:tcPr>
            <w:tcW w:type="dxa" w:w="1750"/>
            <w:vMerge/>
            <w:tcBorders>
              <w:top w:sz="2.3919999599456787" w:val="single" w:color="#000000"/>
              <w:bottom w:sz="2.3919999599456787" w:val="single" w:color="#000000"/>
            </w:tcBorders>
          </w:tcPr>
          <w:p/>
        </w:tc>
        <w:tc>
          <w:tcPr>
            <w:tcW w:type="dxa" w:w="1750"/>
            <w:vMerge/>
            <w:tcBorders>
              <w:top w:sz="2.3919999599456787" w:val="single" w:color="#000000"/>
              <w:bottom w:sz="2.3919999599456787" w:val="single" w:color="#000000"/>
            </w:tcBorders>
          </w:tcPr>
          <w:p/>
        </w:tc>
      </w:tr>
      <w:tr>
        <w:trPr>
          <w:trHeight w:hRule="exact" w:val="256"/>
        </w:trPr>
        <w:tc>
          <w:tcPr>
            <w:tcW w:type="dxa" w:w="1982"/>
            <w:tcBorders>
              <w:top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76" w:after="0"/>
              <w:ind w:left="0" w:right="928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PVT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2"/>
              </w:rPr>
              <w:t>6</w:t>
            </w:r>
          </w:p>
        </w:tc>
        <w:tc>
          <w:tcPr>
            <w:tcW w:type="dxa" w:w="1506"/>
            <w:vMerge w:val="restart"/>
            <w:tcBorders>
              <w:top w:sz="2.3919999599456787" w:val="single" w:color="#000000"/>
              <w:bottom w:sz="6.37599992752075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70" w:after="0"/>
              <w:ind w:left="0" w:right="650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0.5574</w:t>
            </w:r>
          </w:p>
        </w:tc>
        <w:tc>
          <w:tcPr>
            <w:tcW w:type="dxa" w:w="1754"/>
            <w:vMerge w:val="restart"/>
            <w:tcBorders>
              <w:top w:sz="2.3919999599456787" w:val="single" w:color="#000000"/>
              <w:bottom w:sz="6.37599992752075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7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33.28%</w:t>
            </w:r>
          </w:p>
        </w:tc>
        <w:tc>
          <w:tcPr>
            <w:tcW w:type="dxa" w:w="1720"/>
            <w:vMerge w:val="restart"/>
            <w:tcBorders>
              <w:top w:sz="2.3919999599456787" w:val="single" w:color="#000000"/>
              <w:bottom w:sz="6.37599992752075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7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36.63%</w:t>
            </w:r>
          </w:p>
        </w:tc>
        <w:tc>
          <w:tcPr>
            <w:tcW w:type="dxa" w:w="1780"/>
            <w:vMerge w:val="restart"/>
            <w:tcBorders>
              <w:top w:sz="2.3919999599456787" w:val="single" w:color="#000000"/>
              <w:bottom w:sz="6.37599992752075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7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32.79%</w:t>
            </w:r>
          </w:p>
        </w:tc>
        <w:tc>
          <w:tcPr>
            <w:tcW w:type="dxa" w:w="1728"/>
            <w:vMerge w:val="restart"/>
            <w:tcBorders>
              <w:top w:sz="2.3919999599456787" w:val="single" w:color="#000000"/>
              <w:bottom w:sz="6.37599992752075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7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3.16%</w:t>
            </w:r>
          </w:p>
        </w:tc>
      </w:tr>
      <w:tr>
        <w:trPr>
          <w:trHeight w:hRule="exact" w:val="204"/>
        </w:trPr>
        <w:tc>
          <w:tcPr>
            <w:tcW w:type="dxa" w:w="1982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" w:after="0"/>
              <w:ind w:left="412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PROSOCIAL</w:t>
            </w:r>
          </w:p>
        </w:tc>
        <w:tc>
          <w:tcPr>
            <w:tcW w:type="dxa" w:w="1750"/>
            <w:vMerge/>
            <w:tcBorders>
              <w:top w:sz="2.3919999599456787" w:val="single" w:color="#000000"/>
              <w:bottom w:sz="6.375999927520752" w:val="single" w:color="#000000"/>
            </w:tcBorders>
          </w:tcPr>
          <w:p/>
        </w:tc>
        <w:tc>
          <w:tcPr>
            <w:tcW w:type="dxa" w:w="1750"/>
            <w:vMerge/>
            <w:tcBorders>
              <w:top w:sz="2.3919999599456787" w:val="single" w:color="#000000"/>
              <w:bottom w:sz="6.375999927520752" w:val="single" w:color="#000000"/>
            </w:tcBorders>
          </w:tcPr>
          <w:p/>
        </w:tc>
        <w:tc>
          <w:tcPr>
            <w:tcW w:type="dxa" w:w="1750"/>
            <w:vMerge/>
            <w:tcBorders>
              <w:top w:sz="2.3919999599456787" w:val="single" w:color="#000000"/>
              <w:bottom w:sz="6.375999927520752" w:val="single" w:color="#000000"/>
            </w:tcBorders>
          </w:tcPr>
          <w:p/>
        </w:tc>
        <w:tc>
          <w:tcPr>
            <w:tcW w:type="dxa" w:w="1750"/>
            <w:vMerge/>
            <w:tcBorders>
              <w:top w:sz="2.3919999599456787" w:val="single" w:color="#000000"/>
              <w:bottom w:sz="6.375999927520752" w:val="single" w:color="#000000"/>
            </w:tcBorders>
          </w:tcPr>
          <w:p/>
        </w:tc>
        <w:tc>
          <w:tcPr>
            <w:tcW w:type="dxa" w:w="1750"/>
            <w:vMerge/>
            <w:tcBorders>
              <w:top w:sz="2.3919999599456787" w:val="single" w:color="#000000"/>
              <w:bottom w:sz="6.375999927520752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38" w:right="692" w:bottom="1440" w:left="7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5276"/>
        <w:gridCol w:w="5276"/>
      </w:tblGrid>
      <w:tr>
        <w:trPr>
          <w:trHeight w:hRule="exact" w:val="224"/>
        </w:trPr>
        <w:tc>
          <w:tcPr>
            <w:tcW w:type="dxa" w:w="554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0" w:after="0"/>
              <w:ind w:left="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/>
                <w:color w:val="000000"/>
                <w:sz w:val="16"/>
              </w:rPr>
              <w:t>Risks</w:t>
            </w:r>
            <w:r>
              <w:rPr>
                <w:rFonts w:ascii="URWPalladioL" w:hAnsi="URWPalladioL" w:eastAsia="URWPalladioL"/>
                <w:b/>
                <w:i w:val="0"/>
                <w:color w:val="000000"/>
                <w:sz w:val="16"/>
              </w:rPr>
              <w:t xml:space="preserve"> 2021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,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6"/>
              </w:rPr>
              <w:t xml:space="preserve"> 9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, 205</w:t>
            </w:r>
          </w:p>
        </w:tc>
        <w:tc>
          <w:tcPr>
            <w:tcW w:type="dxa" w:w="4986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" w:after="0"/>
              <w:ind w:left="0" w:right="60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19 of 24</w:t>
            </w:r>
          </w:p>
        </w:tc>
      </w:tr>
    </w:tbl>
    <w:p>
      <w:pPr>
        <w:autoSpaceDN w:val="0"/>
        <w:autoSpaceDE w:val="0"/>
        <w:widowControl/>
        <w:spacing w:line="240" w:lineRule="auto" w:before="48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476250</wp:posOffset>
            </wp:positionH>
            <wp:positionV relativeFrom="page">
              <wp:posOffset>1134110</wp:posOffset>
            </wp:positionV>
            <wp:extent cx="6645909" cy="415036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09" cy="41503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82" w:lineRule="exact" w:before="92" w:after="0"/>
        <w:ind w:left="0" w:right="0" w:firstLine="0"/>
        <w:jc w:val="center"/>
      </w:pPr>
      <w:r>
        <w:rPr>
          <w:rFonts w:ascii="URWPalladioL" w:hAnsi="URWPalladioL" w:eastAsia="URWPalladioL"/>
          <w:b/>
          <w:i w:val="0"/>
          <w:color w:val="000000"/>
          <w:sz w:val="18"/>
        </w:rPr>
        <w:t>Chart 3.</w:t>
      </w:r>
      <w:r>
        <w:rPr>
          <w:w w:val="98.87664582994249"/>
          <w:rFonts w:ascii="URWPalladioL" w:hAnsi="URWPalladioL" w:eastAsia="URWPalladioL"/>
          <w:b w:val="0"/>
          <w:i w:val="0"/>
          <w:color w:val="000000"/>
          <w:sz w:val="18"/>
        </w:rPr>
        <w:t>Surface projection of anticipated personal risk levels for financial risk groups value types and economic situations.</w:t>
      </w:r>
    </w:p>
    <w:p>
      <w:pPr>
        <w:autoSpaceDN w:val="0"/>
        <w:autoSpaceDE w:val="0"/>
        <w:widowControl/>
        <w:spacing w:line="198" w:lineRule="exact" w:before="350" w:after="0"/>
        <w:ind w:left="2632" w:right="0" w:firstLine="0"/>
        <w:jc w:val="left"/>
      </w:pPr>
      <w:r>
        <w:rPr>
          <w:rFonts w:ascii="URWPalladioL" w:hAnsi="URWPalladioL" w:eastAsia="URWPalladioL"/>
          <w:b/>
          <w:i w:val="0"/>
          <w:color w:val="000000"/>
          <w:sz w:val="20"/>
        </w:rPr>
        <w:t>5.</w:t>
      </w:r>
      <w:r>
        <w:rPr>
          <w:rFonts w:ascii="URWPalladioL" w:hAnsi="URWPalladioL" w:eastAsia="URWPalladioL"/>
          <w:b/>
          <w:i w:val="0"/>
          <w:color w:val="000000"/>
          <w:sz w:val="20"/>
        </w:rPr>
        <w:t>Discussion of Model Application</w:t>
      </w:r>
    </w:p>
    <w:p>
      <w:pPr>
        <w:autoSpaceDN w:val="0"/>
        <w:autoSpaceDE w:val="0"/>
        <w:widowControl/>
        <w:spacing w:line="252" w:lineRule="exact" w:before="62" w:after="0"/>
        <w:ind w:left="2624" w:right="80" w:firstLine="424"/>
        <w:jc w:val="both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Professionals have to deal with a growing number of people in need of interventions 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from psychology, counselling, social work, social pedagogy, public health and other helping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professions.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They need every tool available to be able to address precisely the challenging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situations in which their clients are today.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For this reason, the issue of client diagnostics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(especially in the helping professions) is an important topic, as the increasing number of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clients with problems primarily in the financial area makes it necessary to increase the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effectiveness of work with them (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Frey et al. 2015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).</w:t>
      </w:r>
    </w:p>
    <w:p>
      <w:pPr>
        <w:autoSpaceDN w:val="0"/>
        <w:autoSpaceDE w:val="0"/>
        <w:widowControl/>
        <w:spacing w:line="250" w:lineRule="exact" w:before="0" w:after="0"/>
        <w:ind w:left="2632" w:right="0" w:firstLine="424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>As stated by Mises: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“Economics, it is said, in its rationalistic prepossessions assumes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that men aim only or first of all at material well-being.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However, in reality, men prefer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irrational objectives to rational ones.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They are guided more by the urge to realize myths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and ideals than by the urge to enjoy a higher standard of living.” By rational objectives,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an individual’s desire for material well-being and simply a higher standard of living are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understood (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von Mises 1998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).</w:t>
      </w:r>
    </w:p>
    <w:p>
      <w:pPr>
        <w:autoSpaceDN w:val="0"/>
        <w:autoSpaceDE w:val="0"/>
        <w:widowControl/>
        <w:spacing w:line="250" w:lineRule="exact" w:before="2" w:after="0"/>
        <w:ind w:left="2622" w:right="76" w:firstLine="424"/>
        <w:jc w:val="both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In the field of helping professions, client assessment is considered one of the basic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tools,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with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large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number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of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suggestions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to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be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found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especially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in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management 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literature (</w:t>
      </w:r>
      <w:r>
        <w:rPr>
          <w:w w:val="98.62470626831055"/>
          <w:rFonts w:ascii="URWPalladioL" w:hAnsi="URWPalladioL" w:eastAsia="URWPalladioL"/>
          <w:b w:val="0"/>
          <w:i w:val="0"/>
          <w:color w:val="0875B7"/>
          <w:sz w:val="20"/>
        </w:rPr>
        <w:t>Zatloukal et al. 2011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;</w:t>
      </w:r>
      <w:r>
        <w:rPr>
          <w:w w:val="98.62470626831055"/>
          <w:rFonts w:ascii="URWPalladioL" w:hAnsi="URWPalladioL" w:eastAsia="URWPalladioL"/>
          <w:b w:val="0"/>
          <w:i w:val="0"/>
          <w:color w:val="0875B7"/>
          <w:sz w:val="20"/>
        </w:rPr>
        <w:t xml:space="preserve"> Royse et al. 2009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).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In social work, there are several different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ways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to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grasp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this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topic.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An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interesting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contribution,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which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fully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in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line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with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our 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approach as it takes into account the economic situation, is the construction of an instrument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named The Socio-Economic Empowerment Assessment (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Hawkins and Kim 2012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).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This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tool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was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constructed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for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use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in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clinical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settings,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including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agencies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primarily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serving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low-income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populations.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It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also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has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applicability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to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financial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literacy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or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management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sessions that social work agencies may offer.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To better understand the links between an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individual’s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psychological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processing,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life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experiences,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culture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in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relation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to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their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financial security, this tool uses a bio-psychosocial assessment approach and an ecological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multisystem perspective.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It examines financial learning developed across the lifespan and</w:t>
      </w:r>
    </w:p>
    <w:p>
      <w:pPr>
        <w:sectPr>
          <w:pgSz w:w="11906" w:h="16838"/>
          <w:pgMar w:top="538" w:right="640" w:bottom="678" w:left="7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5263"/>
        <w:gridCol w:w="5263"/>
      </w:tblGrid>
      <w:tr>
        <w:trPr>
          <w:trHeight w:hRule="exact" w:val="272"/>
        </w:trPr>
        <w:tc>
          <w:tcPr>
            <w:tcW w:type="dxa" w:w="554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0" w:after="0"/>
              <w:ind w:left="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/>
                <w:color w:val="000000"/>
                <w:sz w:val="16"/>
              </w:rPr>
              <w:t>Risks</w:t>
            </w:r>
            <w:r>
              <w:rPr>
                <w:rFonts w:ascii="URWPalladioL" w:hAnsi="URWPalladioL" w:eastAsia="URWPalladioL"/>
                <w:b/>
                <w:i w:val="0"/>
                <w:color w:val="000000"/>
                <w:sz w:val="16"/>
              </w:rPr>
              <w:t xml:space="preserve"> 2021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,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6"/>
              </w:rPr>
              <w:t xml:space="preserve"> 9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, 205</w:t>
            </w:r>
          </w:p>
        </w:tc>
        <w:tc>
          <w:tcPr>
            <w:tcW w:type="dxa" w:w="493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" w:after="0"/>
              <w:ind w:left="0" w:right="4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20 of 24</w:t>
            </w:r>
          </w:p>
        </w:tc>
      </w:tr>
    </w:tbl>
    <w:p>
      <w:pPr>
        <w:autoSpaceDN w:val="0"/>
        <w:autoSpaceDE w:val="0"/>
        <w:widowControl/>
        <w:spacing w:line="252" w:lineRule="exact" w:before="564" w:after="0"/>
        <w:ind w:left="2622" w:right="0" w:firstLine="6"/>
        <w:jc w:val="left"/>
      </w:pP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explores the many external and internal issues that influence financial behaviour, including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personal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achievement,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family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social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dynamics,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physical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health,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psychological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well-being.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Hawkins and Kim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’s (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2012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) concept is an approach based on the examination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of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relationship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between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retrospective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indicators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their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influence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on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current 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situation.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In contrast, our model is aimed at predicting and identifying potential risk in the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future.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model is based on a more objective assessment through statistically analysed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indicators.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results of the assessment are thus completely independent of the assessor,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thus offering a more accurate,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easier,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and thus broader application.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In this respect,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model we have presented is quite unique.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Searches conducted in the EBSCO, SCOPUS and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Web of Science databases suggest that similar approaches are emerging especially in the 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fields of computer science or engineering (</w:t>
      </w:r>
      <w:r>
        <w:rPr>
          <w:w w:val="98.62470626831055"/>
          <w:rFonts w:ascii="URWPalladioL" w:hAnsi="URWPalladioL" w:eastAsia="URWPalladioL"/>
          <w:b w:val="0"/>
          <w:i w:val="0"/>
          <w:color w:val="0875B7"/>
          <w:sz w:val="20"/>
        </w:rPr>
        <w:t>Song and Peng 2019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), economics (</w:t>
      </w:r>
      <w:r>
        <w:rPr>
          <w:w w:val="98.62470626831055"/>
          <w:rFonts w:ascii="URWPalladioL" w:hAnsi="URWPalladioL" w:eastAsia="URWPalladioL"/>
          <w:b w:val="0"/>
          <w:i w:val="0"/>
          <w:color w:val="0875B7"/>
          <w:sz w:val="20"/>
        </w:rPr>
        <w:t>Zhao 2020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;</w:t>
      </w:r>
      <w:r>
        <w:rPr>
          <w:w w:val="98.62470626831055"/>
          <w:rFonts w:ascii="URWPalladioL" w:hAnsi="URWPalladioL" w:eastAsia="URWPalladioL"/>
          <w:b w:val="0"/>
          <w:i w:val="0"/>
          <w:color w:val="0875B7"/>
          <w:sz w:val="20"/>
        </w:rPr>
        <w:t xml:space="preserve"> Yeh </w:t>
      </w:r>
      <w:r>
        <w:rPr>
          <w:w w:val="98.77554893493652"/>
          <w:rFonts w:ascii="URWPalladioL" w:hAnsi="URWPalladioL" w:eastAsia="URWPalladioL"/>
          <w:b w:val="0"/>
          <w:i w:val="0"/>
          <w:color w:val="0875B7"/>
          <w:sz w:val="20"/>
        </w:rPr>
        <w:t>et al. 2020</w:t>
      </w:r>
      <w:r>
        <w:rPr>
          <w:w w:val="98.77554893493652"/>
          <w:rFonts w:ascii="URWPalladioL" w:hAnsi="URWPalladioL" w:eastAsia="URWPalladioL"/>
          <w:b w:val="0"/>
          <w:i w:val="0"/>
          <w:color w:val="000000"/>
          <w:sz w:val="20"/>
        </w:rPr>
        <w:t>) and management (</w:t>
      </w:r>
      <w:r>
        <w:rPr>
          <w:w w:val="98.77554893493652"/>
          <w:rFonts w:ascii="URWPalladioL" w:hAnsi="URWPalladioL" w:eastAsia="URWPalladioL"/>
          <w:b w:val="0"/>
          <w:i w:val="0"/>
          <w:color w:val="0875B7"/>
          <w:sz w:val="20"/>
        </w:rPr>
        <w:t>Wang 2020</w:t>
      </w:r>
      <w:r>
        <w:rPr>
          <w:w w:val="98.77554893493652"/>
          <w:rFonts w:ascii="URWPalladioL" w:hAnsi="URWPalladioL" w:eastAsia="URWPalladioL"/>
          <w:b w:val="0"/>
          <w:i w:val="0"/>
          <w:color w:val="000000"/>
          <w:sz w:val="20"/>
        </w:rPr>
        <w:t>).</w:t>
      </w:r>
      <w:r>
        <w:rPr>
          <w:w w:val="98.77554893493652"/>
          <w:rFonts w:ascii="URWPalladioL" w:hAnsi="URWPalladioL" w:eastAsia="URWPalladioL"/>
          <w:b w:val="0"/>
          <w:i w:val="0"/>
          <w:color w:val="000000"/>
          <w:sz w:val="20"/>
        </w:rPr>
        <w:t xml:space="preserve">Specific tools include for example The Financial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Management Behavior Scale (FMBS) (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Dew and Xiao 2011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), Money Attitude Scale (MAS)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(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Yamauchi and Templer 1982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)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, the Money Beliefs and Behavior Scale (MBBS) (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 xml:space="preserve">Furnham </w:t>
      </w:r>
      <w:r>
        <w:rPr>
          <w:w w:val="98.62470626831055"/>
          <w:rFonts w:ascii="URWPalladioL" w:hAnsi="URWPalladioL" w:eastAsia="URWPalladioL"/>
          <w:b w:val="0"/>
          <w:i w:val="0"/>
          <w:color w:val="0875B7"/>
          <w:sz w:val="20"/>
        </w:rPr>
        <w:t>1984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), the Money Ethic Behavior Scale (MES) (</w:t>
      </w:r>
      <w:r>
        <w:rPr>
          <w:w w:val="98.62470626831055"/>
          <w:rFonts w:ascii="URWPalladioL" w:hAnsi="URWPalladioL" w:eastAsia="URWPalladioL"/>
          <w:b w:val="0"/>
          <w:i w:val="0"/>
          <w:color w:val="0875B7"/>
          <w:sz w:val="20"/>
        </w:rPr>
        <w:t>Tang 1992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) or the Financial Threat Scale (FTS)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(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Marjanovic et al. 2013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).</w:t>
      </w:r>
    </w:p>
    <w:p>
      <w:pPr>
        <w:autoSpaceDN w:val="0"/>
        <w:autoSpaceDE w:val="0"/>
        <w:widowControl/>
        <w:spacing w:line="252" w:lineRule="exact" w:before="0" w:after="0"/>
        <w:ind w:left="2622" w:right="0" w:firstLine="424"/>
        <w:jc w:val="left"/>
      </w:pP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The presented model serves to financial profiling of individuals based on which we are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able to assign any individual to one of four predefined clusters (through their individual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profiles) and on dominant value type (out of six) and understand how to address one’s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issues through any helping profession interventions in the most effective way.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model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is unique in the combination of personal values projected into six generalized value types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and developed economic indexes, clustered in four types of economic situations.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For each 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clustered economic situation, the base risk of worsening of an individual financial situation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was calculated.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riskiness of each value type increases or decreases the riskiness of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each economic situation.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It is important to note the level of a base risk does not express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degree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of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probability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with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which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financial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situation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will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necessarily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get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worse.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Rather,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it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expresses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risk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level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of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worsening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of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financial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situation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if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any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sudden 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negative change in living conditions happens.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With this logic, 24 financial risk groups were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constructed and presented in Table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 xml:space="preserve"> 8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 and Chart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 xml:space="preserve"> 3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50" w:lineRule="exact" w:before="0" w:after="0"/>
        <w:ind w:left="2622" w:right="50" w:firstLine="424"/>
        <w:jc w:val="both"/>
      </w:pP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The lowest level of risk (very low level of risk) is shown in green in the Chart</w:t>
      </w:r>
      <w:r>
        <w:rPr>
          <w:w w:val="98.62470626831055"/>
          <w:rFonts w:ascii="URWPalladioL" w:hAnsi="URWPalladioL" w:eastAsia="URWPalladioL"/>
          <w:b w:val="0"/>
          <w:i w:val="0"/>
          <w:color w:val="0875B7"/>
          <w:sz w:val="20"/>
        </w:rPr>
        <w:t xml:space="preserve"> 3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.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Lower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level of risk is shown in yellow, high level of risk in orange and very high level of risk in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red.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Based on the level of riskiness of the value type (see Table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 xml:space="preserve"> 8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), the risk of the default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financial situation is increased or decreased.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level of risk in all aspects of life increases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with each loss of rootedness (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Schomerus and Angermeyer 2021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).</w:t>
      </w:r>
    </w:p>
    <w:p>
      <w:pPr>
        <w:autoSpaceDN w:val="0"/>
        <w:autoSpaceDE w:val="0"/>
        <w:widowControl/>
        <w:spacing w:line="250" w:lineRule="exact" w:before="2" w:after="0"/>
        <w:ind w:left="2626" w:right="0" w:firstLine="424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>Liberal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prosocial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value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types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reduce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riskiness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of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situation,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religious,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conservative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venturesome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increase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riskiness,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power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value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type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does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not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affect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 calculated risk upwards or downwards.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Because of their faith, religious people often 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have a specific attitude to finances (</w:t>
      </w:r>
      <w:r>
        <w:rPr>
          <w:w w:val="98.62470626831055"/>
          <w:rFonts w:ascii="URWPalladioL" w:hAnsi="URWPalladioL" w:eastAsia="URWPalladioL"/>
          <w:b w:val="0"/>
          <w:i w:val="0"/>
          <w:color w:val="0875B7"/>
          <w:sz w:val="20"/>
        </w:rPr>
        <w:t>Marks et al. 2010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), wealth and poverty and they tend to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avoid the opportunities to build their wealth (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Tahiri Jouti 2018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).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Conservatively oriented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people are strongly connected with family and social traditions (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Florescu 2020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), which can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also affect their flexibility in case of unexpected situations.</w:t>
      </w:r>
    </w:p>
    <w:p>
      <w:pPr>
        <w:autoSpaceDN w:val="0"/>
        <w:autoSpaceDE w:val="0"/>
        <w:widowControl/>
        <w:spacing w:line="250" w:lineRule="exact" w:before="2" w:after="0"/>
        <w:ind w:left="2622" w:right="0" w:firstLine="424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>As presented,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 venturesome value type is the most problematic one—in combi-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nation with any economic situation it will be always problematic.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most problematic 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situation happens in the case of combining this value type with a positive financial situation 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with a high level of risk.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Venturesome people live to enjoy and have a characteristic way of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shopping (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Park et al. 2010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) or travelling (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Gretzel et al. 2012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).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Contrary to the venturesome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value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type,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there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prosocial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type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with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lowest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level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of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risk.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Combination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with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a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positive financial situation with a very low level of risk is the least risky.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Their least risky 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situation is related to a strong social network that supports them in case of trouble (</w:t>
      </w:r>
      <w:r>
        <w:rPr>
          <w:w w:val="98.62470626831055"/>
          <w:rFonts w:ascii="URWPalladioL" w:hAnsi="URWPalladioL" w:eastAsia="URWPalladioL"/>
          <w:b w:val="0"/>
          <w:i w:val="0"/>
          <w:color w:val="0875B7"/>
          <w:sz w:val="20"/>
        </w:rPr>
        <w:t>Vacul</w:t>
      </w:r>
      <w:r>
        <w:rPr>
          <w:w w:val="98.62470626831055"/>
          <w:rFonts w:ascii="VnURWPalladioL" w:hAnsi="VnURWPalladioL" w:eastAsia="VnURWPalladioL"/>
          <w:b w:val="0"/>
          <w:i w:val="0"/>
          <w:color w:val="0875B7"/>
          <w:sz w:val="20"/>
        </w:rPr>
        <w:t>í</w:t>
      </w:r>
      <w:r>
        <w:rPr>
          <w:w w:val="98.62470626831055"/>
          <w:rFonts w:ascii="URWPalladioL" w:hAnsi="URWPalladioL" w:eastAsia="URWPalladioL"/>
          <w:b w:val="0"/>
          <w:i w:val="0"/>
          <w:color w:val="0875B7"/>
          <w:sz w:val="20"/>
        </w:rPr>
        <w:t xml:space="preserve">k 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et al. 2007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).</w:t>
      </w:r>
    </w:p>
    <w:p>
      <w:pPr>
        <w:autoSpaceDN w:val="0"/>
        <w:autoSpaceDE w:val="0"/>
        <w:widowControl/>
        <w:spacing w:line="200" w:lineRule="exact" w:before="246" w:after="0"/>
        <w:ind w:left="0" w:right="6266" w:firstLine="0"/>
        <w:jc w:val="right"/>
      </w:pPr>
      <w:r>
        <w:rPr>
          <w:rFonts w:ascii="URWPalladioL" w:hAnsi="URWPalladioL" w:eastAsia="URWPalladioL"/>
          <w:b/>
          <w:i w:val="0"/>
          <w:color w:val="000000"/>
          <w:sz w:val="20"/>
        </w:rPr>
        <w:t>6.</w:t>
      </w:r>
      <w:r>
        <w:rPr>
          <w:rFonts w:ascii="URWPalladioL" w:hAnsi="URWPalladioL" w:eastAsia="URWPalladioL"/>
          <w:b/>
          <w:i w:val="0"/>
          <w:color w:val="000000"/>
          <w:sz w:val="20"/>
        </w:rPr>
        <w:t>Limits of Study</w:t>
      </w:r>
    </w:p>
    <w:p>
      <w:pPr>
        <w:autoSpaceDN w:val="0"/>
        <w:autoSpaceDE w:val="0"/>
        <w:widowControl/>
        <w:spacing w:line="252" w:lineRule="exact" w:before="60" w:after="0"/>
        <w:ind w:left="2632" w:right="0" w:firstLine="424"/>
        <w:jc w:val="left"/>
      </w:pP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The research and the model have several limits.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The data used for model building and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modelling were only collected in the Czech Republic and could be slightly different for</w:t>
      </w:r>
    </w:p>
    <w:p>
      <w:pPr>
        <w:sectPr>
          <w:pgSz w:w="11906" w:h="16838"/>
          <w:pgMar w:top="538" w:right="666" w:bottom="680" w:left="7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147" w:type="dxa"/>
      </w:tblPr>
      <w:tblGrid>
        <w:gridCol w:w="5262"/>
        <w:gridCol w:w="5262"/>
      </w:tblGrid>
      <w:tr>
        <w:trPr>
          <w:trHeight w:hRule="exact" w:val="272"/>
        </w:trPr>
        <w:tc>
          <w:tcPr>
            <w:tcW w:type="dxa" w:w="554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0" w:after="0"/>
              <w:ind w:left="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/>
                <w:color w:val="000000"/>
                <w:sz w:val="16"/>
              </w:rPr>
              <w:t>Risks</w:t>
            </w:r>
            <w:r>
              <w:rPr>
                <w:rFonts w:ascii="URWPalladioL" w:hAnsi="URWPalladioL" w:eastAsia="URWPalladioL"/>
                <w:b/>
                <w:i w:val="0"/>
                <w:color w:val="000000"/>
                <w:sz w:val="16"/>
              </w:rPr>
              <w:t xml:space="preserve"> 2021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,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6"/>
              </w:rPr>
              <w:t xml:space="preserve"> 9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, 205</w:t>
            </w:r>
          </w:p>
        </w:tc>
        <w:tc>
          <w:tcPr>
            <w:tcW w:type="dxa" w:w="493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" w:after="0"/>
              <w:ind w:left="0" w:right="4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21 of 24</w:t>
            </w:r>
          </w:p>
        </w:tc>
      </w:tr>
    </w:tbl>
    <w:p>
      <w:pPr>
        <w:autoSpaceDN w:val="0"/>
        <w:autoSpaceDE w:val="0"/>
        <w:widowControl/>
        <w:spacing w:line="250" w:lineRule="exact" w:before="568" w:after="0"/>
        <w:ind w:left="2634" w:right="46" w:firstLine="0"/>
        <w:jc w:val="both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>other countries.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We do not suppose these differences will have a strong influence on the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model application.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methods used for the clustering and factoring led to recognizing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generalized types where no individual could be assigned to more than one type, although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other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types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could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be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very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close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to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his/her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personality.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Some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may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eschew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cluster </w:t>
      </w:r>
      <w:r>
        <w:rPr>
          <w:w w:val="98.87598037719727"/>
          <w:rFonts w:ascii="URWPalladioL" w:hAnsi="URWPalladioL" w:eastAsia="URWPalladioL"/>
          <w:b w:val="0"/>
          <w:i w:val="0"/>
          <w:color w:val="000000"/>
          <w:sz w:val="20"/>
        </w:rPr>
        <w:t xml:space="preserve">analysis because there is a degree of subjectivity not found in other statistical analyses and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 results are non-inferential.</w:t>
      </w:r>
    </w:p>
    <w:p>
      <w:pPr>
        <w:autoSpaceDN w:val="0"/>
        <w:autoSpaceDE w:val="0"/>
        <w:widowControl/>
        <w:spacing w:line="200" w:lineRule="exact" w:before="248" w:after="0"/>
        <w:ind w:left="0" w:right="6550" w:firstLine="0"/>
        <w:jc w:val="right"/>
      </w:pPr>
      <w:r>
        <w:rPr>
          <w:rFonts w:ascii="URWPalladioL" w:hAnsi="URWPalladioL" w:eastAsia="URWPalladioL"/>
          <w:b/>
          <w:i w:val="0"/>
          <w:color w:val="000000"/>
          <w:sz w:val="20"/>
        </w:rPr>
        <w:t>7.</w:t>
      </w:r>
      <w:r>
        <w:rPr>
          <w:rFonts w:ascii="URWPalladioL" w:hAnsi="URWPalladioL" w:eastAsia="URWPalladioL"/>
          <w:b/>
          <w:i w:val="0"/>
          <w:color w:val="000000"/>
          <w:sz w:val="20"/>
        </w:rPr>
        <w:t>Conclusions</w:t>
      </w:r>
    </w:p>
    <w:p>
      <w:pPr>
        <w:autoSpaceDN w:val="0"/>
        <w:autoSpaceDE w:val="0"/>
        <w:widowControl/>
        <w:spacing w:line="200" w:lineRule="exact" w:before="112" w:after="0"/>
        <w:ind w:left="0" w:right="3318" w:firstLine="0"/>
        <w:jc w:val="right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>The model has three fundamental applications:</w:t>
      </w:r>
    </w:p>
    <w:p>
      <w:pPr>
        <w:autoSpaceDN w:val="0"/>
        <w:tabs>
          <w:tab w:pos="3094" w:val="left"/>
        </w:tabs>
        <w:autoSpaceDE w:val="0"/>
        <w:widowControl/>
        <w:spacing w:line="252" w:lineRule="exact" w:before="58" w:after="0"/>
        <w:ind w:left="2624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1.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as a source for development of a diagnostic tool in helping professions </w:t>
      </w:r>
      <w:r>
        <w:br/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2. </w:t>
      </w:r>
      <w:r>
        <w:tab/>
      </w:r>
      <w:r>
        <w:rPr>
          <w:w w:val="98.77554893493652"/>
          <w:rFonts w:ascii="URWPalladioL" w:hAnsi="URWPalladioL" w:eastAsia="URWPalladioL"/>
          <w:b w:val="0"/>
          <w:i w:val="0"/>
          <w:color w:val="000000"/>
          <w:sz w:val="20"/>
        </w:rPr>
        <w:t xml:space="preserve">as a source for development of an auto diagnostic tool in process of self-development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3.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as a research instrument leading to various hypotheses and to the enhancement of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theories concerning economic behaviour.</w:t>
      </w:r>
    </w:p>
    <w:p>
      <w:pPr>
        <w:autoSpaceDN w:val="0"/>
        <w:autoSpaceDE w:val="0"/>
        <w:widowControl/>
        <w:spacing w:line="250" w:lineRule="exact" w:before="60" w:after="0"/>
        <w:ind w:left="2634" w:right="46" w:firstLine="424"/>
        <w:jc w:val="both"/>
      </w:pPr>
      <w:r>
        <w:rPr>
          <w:w w:val="98.77554893493652"/>
          <w:rFonts w:ascii="URWPalladioL" w:hAnsi="URWPalladioL" w:eastAsia="URWPalladioL"/>
          <w:b w:val="0"/>
          <w:i w:val="0"/>
          <w:color w:val="000000"/>
          <w:sz w:val="20"/>
        </w:rPr>
        <w:t xml:space="preserve">Due to its illustrativeness, the surface projection of anticipated personal risk levels for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 financial risk group in Chart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 xml:space="preserve"> 3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 allows easy interpretation of a specific client’s situation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and makes the model user friendly for helping professionals and their clients.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logic of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model implies that none of the clients can be profiled into a pure value type only, and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 limits of the riskiness of a given client depend on their situation as well.</w:t>
      </w:r>
    </w:p>
    <w:p>
      <w:pPr>
        <w:autoSpaceDN w:val="0"/>
        <w:autoSpaceDE w:val="0"/>
        <w:widowControl/>
        <w:spacing w:line="250" w:lineRule="exact" w:before="2" w:after="0"/>
        <w:ind w:left="2634" w:right="50" w:firstLine="424"/>
        <w:jc w:val="both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authors consider it crucial to validate the model for use in all three recognised 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applications.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In addition to the validation process, it would be beneficial to analyse specific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economic situations in relation to specific value types, focusing on each of the 24 financial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risk groups, to provide a platform for the use of the model and the interpretation of the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results by practitioners and individuals.</w:t>
      </w:r>
    </w:p>
    <w:p>
      <w:pPr>
        <w:autoSpaceDN w:val="0"/>
        <w:autoSpaceDE w:val="0"/>
        <w:widowControl/>
        <w:spacing w:line="234" w:lineRule="exact" w:before="234" w:after="0"/>
        <w:ind w:left="2634" w:right="0" w:hanging="8"/>
        <w:jc w:val="left"/>
      </w:pPr>
      <w:r>
        <w:rPr>
          <w:rFonts w:ascii="URWPalladioL" w:hAnsi="URWPalladioL" w:eastAsia="URWPalladioL"/>
          <w:b/>
          <w:i w:val="0"/>
          <w:color w:val="000000"/>
          <w:sz w:val="18"/>
        </w:rPr>
        <w:t>Author</w:t>
      </w:r>
      <w:r>
        <w:rPr>
          <w:rFonts w:ascii="URWPalladioL" w:hAnsi="URWPalladioL" w:eastAsia="URWPalladioL"/>
          <w:b/>
          <w:i w:val="0"/>
          <w:color w:val="000000"/>
          <w:sz w:val="18"/>
        </w:rPr>
        <w:t>Contributions: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Conceptualization,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J.P.;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Data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curation,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J.P.,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N.M.,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P.M.,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P.J.,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I.O.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H.P.; 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Formal analysis, J.P.; Investigation, J.P., N.M., P.M. and P.J.; Methodology, J.P.; Project administration, 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I.O. and H.P.; Supervision, J.P.; Validation, P.M., P.J., I.O. and H.P.; Writing—original draft, J.P., N.M., 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P.M. and P.J.; Writing—review and editing, I.O. and H.P. All authors have read and agreed to the 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published version of the manuscript.</w:t>
      </w:r>
    </w:p>
    <w:p>
      <w:pPr>
        <w:autoSpaceDN w:val="0"/>
        <w:autoSpaceDE w:val="0"/>
        <w:widowControl/>
        <w:spacing w:line="182" w:lineRule="exact" w:before="172" w:after="0"/>
        <w:ind w:left="0" w:right="36" w:firstLine="0"/>
        <w:jc w:val="right"/>
      </w:pPr>
      <w:r>
        <w:rPr>
          <w:rFonts w:ascii="URWPalladioL" w:hAnsi="URWPalladioL" w:eastAsia="URWPalladioL"/>
          <w:b/>
          <w:i w:val="0"/>
          <w:color w:val="000000"/>
          <w:sz w:val="18"/>
        </w:rPr>
        <w:t>Funding: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This research was funded by IGA_CMTF_2021_007 Values context of social functioning I.</w:t>
      </w:r>
    </w:p>
    <w:p>
      <w:pPr>
        <w:autoSpaceDN w:val="0"/>
        <w:autoSpaceDE w:val="0"/>
        <w:widowControl/>
        <w:spacing w:line="236" w:lineRule="exact" w:before="116" w:after="0"/>
        <w:ind w:left="2634" w:right="0" w:firstLine="0"/>
        <w:jc w:val="left"/>
      </w:pPr>
      <w:r>
        <w:rPr>
          <w:rFonts w:ascii="URWPalladioL" w:hAnsi="URWPalladioL" w:eastAsia="URWPalladioL"/>
          <w:b/>
          <w:i w:val="0"/>
          <w:color w:val="000000"/>
          <w:sz w:val="18"/>
        </w:rPr>
        <w:t>Institutional Review Board Statement:</w:t>
      </w:r>
      <w:r>
        <w:rPr>
          <w:w w:val="98.62537384033203"/>
          <w:rFonts w:ascii="URWPalladioL" w:hAnsi="URWPalladioL" w:eastAsia="URWPalladioL"/>
          <w:b w:val="0"/>
          <w:i w:val="0"/>
          <w:color w:val="000000"/>
          <w:sz w:val="18"/>
        </w:rPr>
        <w:t xml:space="preserve">Ethical review and approval were waived for this study, due 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to informed consent obtained from all subjects involved in the study.</w:t>
      </w:r>
    </w:p>
    <w:p>
      <w:pPr>
        <w:autoSpaceDN w:val="0"/>
        <w:autoSpaceDE w:val="0"/>
        <w:widowControl/>
        <w:spacing w:line="180" w:lineRule="exact" w:before="172" w:after="0"/>
        <w:ind w:left="0" w:right="20" w:firstLine="0"/>
        <w:jc w:val="right"/>
      </w:pPr>
      <w:r>
        <w:rPr>
          <w:rFonts w:ascii="URWPalladioL" w:hAnsi="URWPalladioL" w:eastAsia="URWPalladioL"/>
          <w:b/>
          <w:i w:val="0"/>
          <w:color w:val="000000"/>
          <w:sz w:val="18"/>
        </w:rPr>
        <w:t>Informed Consent Statement:</w:t>
      </w:r>
      <w:r>
        <w:rPr>
          <w:w w:val="98.62537384033203"/>
          <w:rFonts w:ascii="URWPalladioL" w:hAnsi="URWPalladioL" w:eastAsia="URWPalladioL"/>
          <w:b w:val="0"/>
          <w:i w:val="0"/>
          <w:color w:val="000000"/>
          <w:sz w:val="18"/>
        </w:rPr>
        <w:t xml:space="preserve"> Informed consent was obtained from all subjects involved in the study.</w:t>
      </w:r>
    </w:p>
    <w:p>
      <w:pPr>
        <w:autoSpaceDN w:val="0"/>
        <w:autoSpaceDE w:val="0"/>
        <w:widowControl/>
        <w:spacing w:line="182" w:lineRule="exact" w:before="174" w:after="0"/>
        <w:ind w:left="0" w:right="858" w:firstLine="0"/>
        <w:jc w:val="right"/>
      </w:pPr>
      <w:r>
        <w:rPr>
          <w:rFonts w:ascii="URWPalladioL" w:hAnsi="URWPalladioL" w:eastAsia="URWPalladioL"/>
          <w:b/>
          <w:i w:val="0"/>
          <w:color w:val="000000"/>
          <w:sz w:val="18"/>
        </w:rPr>
        <w:t>Data Availability Statement: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Research data are available from the authors upon request.</w:t>
      </w:r>
    </w:p>
    <w:p>
      <w:pPr>
        <w:autoSpaceDN w:val="0"/>
        <w:autoSpaceDE w:val="0"/>
        <w:widowControl/>
        <w:spacing w:line="180" w:lineRule="exact" w:before="172" w:after="0"/>
        <w:ind w:left="0" w:right="2856" w:firstLine="0"/>
        <w:jc w:val="right"/>
      </w:pPr>
      <w:r>
        <w:rPr>
          <w:rFonts w:ascii="URWPalladioL" w:hAnsi="URWPalladioL" w:eastAsia="URWPalladioL"/>
          <w:b/>
          <w:i w:val="0"/>
          <w:color w:val="000000"/>
          <w:sz w:val="18"/>
        </w:rPr>
        <w:t>Conflicts of Interest: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The authors declare no conflict of interest.</w:t>
      </w:r>
    </w:p>
    <w:p>
      <w:pPr>
        <w:autoSpaceDN w:val="0"/>
        <w:autoSpaceDE w:val="0"/>
        <w:widowControl/>
        <w:spacing w:line="200" w:lineRule="exact" w:before="254" w:after="0"/>
        <w:ind w:left="8" w:right="0" w:firstLine="0"/>
        <w:jc w:val="left"/>
      </w:pPr>
      <w:r>
        <w:rPr>
          <w:rFonts w:ascii="URWPalladioL" w:hAnsi="URWPalladioL" w:eastAsia="URWPalladioL"/>
          <w:b/>
          <w:i w:val="0"/>
          <w:color w:val="000000"/>
          <w:sz w:val="20"/>
        </w:rPr>
        <w:t>References</w:t>
      </w:r>
    </w:p>
    <w:p>
      <w:pPr>
        <w:autoSpaceDN w:val="0"/>
        <w:tabs>
          <w:tab w:pos="438" w:val="left"/>
        </w:tabs>
        <w:autoSpaceDE w:val="0"/>
        <w:widowControl/>
        <w:spacing w:line="230" w:lineRule="exact" w:before="56" w:after="0"/>
        <w:ind w:left="2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18"/>
        </w:rPr>
        <w:t>Agresti,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Alan.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2007.</w:t>
      </w:r>
      <w:r>
        <w:rPr>
          <w:rFonts w:ascii="URWPalladioL" w:hAnsi="URWPalladioL" w:eastAsia="URWPalladioL"/>
          <w:b w:val="0"/>
          <w:i/>
          <w:color w:val="000000"/>
          <w:sz w:val="18"/>
        </w:rPr>
        <w:t>An</w:t>
      </w:r>
      <w:r>
        <w:rPr>
          <w:rFonts w:ascii="URWPalladioL" w:hAnsi="URWPalladioL" w:eastAsia="URWPalladioL"/>
          <w:b w:val="0"/>
          <w:i/>
          <w:color w:val="000000"/>
          <w:sz w:val="18"/>
        </w:rPr>
        <w:t>Introduction</w:t>
      </w:r>
      <w:r>
        <w:rPr>
          <w:rFonts w:ascii="URWPalladioL" w:hAnsi="URWPalladioL" w:eastAsia="URWPalladioL"/>
          <w:b w:val="0"/>
          <w:i/>
          <w:color w:val="000000"/>
          <w:sz w:val="18"/>
        </w:rPr>
        <w:t>to</w:t>
      </w:r>
      <w:r>
        <w:rPr>
          <w:rFonts w:ascii="URWPalladioL" w:hAnsi="URWPalladioL" w:eastAsia="URWPalladioL"/>
          <w:b w:val="0"/>
          <w:i/>
          <w:color w:val="000000"/>
          <w:sz w:val="18"/>
        </w:rPr>
        <w:t>Categorical</w:t>
      </w:r>
      <w:r>
        <w:rPr>
          <w:rFonts w:ascii="URWPalladioL" w:hAnsi="URWPalladioL" w:eastAsia="URWPalladioL"/>
          <w:b w:val="0"/>
          <w:i/>
          <w:color w:val="000000"/>
          <w:sz w:val="18"/>
        </w:rPr>
        <w:t>Data</w:t>
      </w:r>
      <w:r>
        <w:rPr>
          <w:rFonts w:ascii="URWPalladioL" w:hAnsi="URWPalladioL" w:eastAsia="URWPalladioL"/>
          <w:b w:val="0"/>
          <w:i/>
          <w:color w:val="000000"/>
          <w:sz w:val="18"/>
        </w:rPr>
        <w:t>Analysis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,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2nd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ed.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Wiley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Series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in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Probability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Mathematical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Statistics; 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Hoboken and Chichester: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Wiley.</w:t>
      </w:r>
    </w:p>
    <w:p>
      <w:pPr>
        <w:autoSpaceDN w:val="0"/>
        <w:tabs>
          <w:tab w:pos="416" w:val="left"/>
          <w:tab w:pos="438" w:val="left"/>
        </w:tabs>
        <w:autoSpaceDE w:val="0"/>
        <w:widowControl/>
        <w:spacing w:line="230" w:lineRule="exact" w:before="0" w:after="0"/>
        <w:ind w:left="0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18"/>
        </w:rPr>
        <w:t>Allport, Gordon W., Philip Ewart Vernon, and Gardner Lindzey.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1960.</w:t>
      </w:r>
      <w:r>
        <w:rPr>
          <w:rFonts w:ascii="URWPalladioL" w:hAnsi="URWPalladioL" w:eastAsia="URWPalladioL"/>
          <w:b w:val="0"/>
          <w:i/>
          <w:color w:val="000000"/>
          <w:sz w:val="18"/>
        </w:rPr>
        <w:t>Study of Values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, 3rd ed.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Boston: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Houghton Mifflin. 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Anderberg,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Michael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R.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2014.</w:t>
      </w:r>
      <w:r>
        <w:rPr>
          <w:rFonts w:ascii="URWPalladioL" w:hAnsi="URWPalladioL" w:eastAsia="URWPalladioL"/>
          <w:b w:val="0"/>
          <w:i/>
          <w:color w:val="000000"/>
          <w:sz w:val="18"/>
        </w:rPr>
        <w:t>Cluster</w:t>
      </w:r>
      <w:r>
        <w:rPr>
          <w:rFonts w:ascii="URWPalladioL" w:hAnsi="URWPalladioL" w:eastAsia="URWPalladioL"/>
          <w:b w:val="0"/>
          <w:i/>
          <w:color w:val="000000"/>
          <w:sz w:val="18"/>
        </w:rPr>
        <w:t>Analysis</w:t>
      </w:r>
      <w:r>
        <w:rPr>
          <w:rFonts w:ascii="URWPalladioL" w:hAnsi="URWPalladioL" w:eastAsia="URWPalladioL"/>
          <w:b w:val="0"/>
          <w:i/>
          <w:color w:val="000000"/>
          <w:sz w:val="18"/>
        </w:rPr>
        <w:t>for</w:t>
      </w:r>
      <w:r>
        <w:rPr>
          <w:rFonts w:ascii="URWPalladioL" w:hAnsi="URWPalladioL" w:eastAsia="URWPalladioL"/>
          <w:b w:val="0"/>
          <w:i/>
          <w:color w:val="000000"/>
          <w:sz w:val="18"/>
        </w:rPr>
        <w:t>Applications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Burlington: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Academic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Press/Elsevier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Science.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Available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online:</w:t>
      </w:r>
      <w:r>
        <w:rPr>
          <w:rFonts w:ascii="URWPalladioL" w:hAnsi="URWPalladioL" w:eastAsia="URWPalladioL"/>
          <w:b w:val="0"/>
          <w:i w:val="0"/>
          <w:color w:val="0875B7"/>
          <w:sz w:val="18"/>
        </w:rPr>
        <w:hyperlink r:id="rId24" w:history="1">
          <w:r>
            <w:rPr>
              <w:rStyle w:val="Hyperlink"/>
            </w:rPr>
            <w:t xml:space="preserve">https: </w:t>
          </w:r>
        </w:hyperlink>
      </w:r>
      <w:r>
        <w:rPr>
          <w:rFonts w:ascii="URWPalladioL" w:hAnsi="URWPalladioL" w:eastAsia="URWPalladioL"/>
          <w:b w:val="0"/>
          <w:i w:val="0"/>
          <w:color w:val="0875B7"/>
          <w:sz w:val="18"/>
        </w:rPr>
        <w:hyperlink r:id="rId24" w:history="1">
          <w:r>
            <w:rPr>
              <w:rStyle w:val="Hyperlink"/>
            </w:rPr>
            <w:t>//search.ebscohost.com/login.aspx?direct=true&amp;scope=site&amp;db=nlebk&amp;db=nlabk&amp;AN=931378</w:t>
          </w:r>
        </w:hyperlink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 (accessed on 16 May 2021). </w:t>
      </w:r>
      <w:r>
        <w:rPr>
          <w:w w:val="98.62537384033203"/>
          <w:rFonts w:ascii="URWPalladioL" w:hAnsi="URWPalladioL" w:eastAsia="URWPalladioL"/>
          <w:b w:val="0"/>
          <w:i w:val="0"/>
          <w:color w:val="000000"/>
          <w:sz w:val="18"/>
        </w:rPr>
        <w:t>Arabie, Phipps, Lawrence J. Hubert, and J. Douglas Carroll.</w:t>
      </w:r>
      <w:r>
        <w:rPr>
          <w:w w:val="98.62537384033203"/>
          <w:rFonts w:ascii="URWPalladioL" w:hAnsi="URWPalladioL" w:eastAsia="URWPalladioL"/>
          <w:b w:val="0"/>
          <w:i w:val="0"/>
          <w:color w:val="000000"/>
          <w:sz w:val="18"/>
        </w:rPr>
        <w:t>2005.</w:t>
      </w:r>
      <w:r>
        <w:rPr>
          <w:w w:val="98.62537384033203"/>
          <w:rFonts w:ascii="URWPalladioL" w:hAnsi="URWPalladioL" w:eastAsia="URWPalladioL"/>
          <w:b w:val="0"/>
          <w:i w:val="0"/>
          <w:color w:val="000000"/>
          <w:sz w:val="18"/>
        </w:rPr>
        <w:t>Clustering.</w:t>
      </w:r>
      <w:r>
        <w:rPr>
          <w:w w:val="98.62537384033203"/>
          <w:rFonts w:ascii="URWPalladioL" w:hAnsi="URWPalladioL" w:eastAsia="URWPalladioL"/>
          <w:b w:val="0"/>
          <w:i w:val="0"/>
          <w:color w:val="000000"/>
          <w:sz w:val="18"/>
        </w:rPr>
        <w:t>In</w:t>
      </w:r>
      <w:r>
        <w:rPr>
          <w:w w:val="98.62537384033203"/>
          <w:rFonts w:ascii="URWPalladioL" w:hAnsi="URWPalladioL" w:eastAsia="URWPalladioL"/>
          <w:b w:val="0"/>
          <w:i/>
          <w:color w:val="000000"/>
          <w:sz w:val="18"/>
        </w:rPr>
        <w:t xml:space="preserve"> Encyclopedia of Social Measurement</w:t>
      </w:r>
      <w:r>
        <w:rPr>
          <w:w w:val="98.62537384033203"/>
          <w:rFonts w:ascii="URWPalladioL" w:hAnsi="URWPalladioL" w:eastAsia="URWPalladioL"/>
          <w:b w:val="0"/>
          <w:i w:val="0"/>
          <w:color w:val="000000"/>
          <w:sz w:val="18"/>
        </w:rPr>
        <w:t>.</w:t>
      </w:r>
      <w:r>
        <w:rPr>
          <w:w w:val="98.62537384033203"/>
          <w:rFonts w:ascii="URWPalladioL" w:hAnsi="URWPalladioL" w:eastAsia="URWPalladioL"/>
          <w:b w:val="0"/>
          <w:i w:val="0"/>
          <w:color w:val="000000"/>
          <w:sz w:val="18"/>
        </w:rPr>
        <w:t xml:space="preserve">Edited by Kimberly </w:t>
      </w:r>
      <w:r>
        <w:tab/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Kempf-Leonard.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Oxford: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Elsevier Academic Press, vol.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1, pp.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317–20.</w:t>
      </w:r>
    </w:p>
    <w:p>
      <w:pPr>
        <w:autoSpaceDN w:val="0"/>
        <w:tabs>
          <w:tab w:pos="438" w:val="left"/>
        </w:tabs>
        <w:autoSpaceDE w:val="0"/>
        <w:widowControl/>
        <w:spacing w:line="230" w:lineRule="exact" w:before="0" w:after="0"/>
        <w:ind w:left="2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18"/>
        </w:rPr>
        <w:t>Arber, Sara, Kirsty Fenn, and Robert Meadows.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2014.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Subjective Financial Well-Being, Income and Health Inequalities in Mid and 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Later Life in Britain.</w:t>
      </w:r>
      <w:r>
        <w:rPr>
          <w:rFonts w:ascii="URWPalladioL" w:hAnsi="URWPalladioL" w:eastAsia="URWPalladioL"/>
          <w:b w:val="0"/>
          <w:i/>
          <w:color w:val="000000"/>
          <w:sz w:val="18"/>
        </w:rPr>
        <w:t>Social Science &amp; Medicine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 100: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12–20.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[</w:t>
      </w:r>
      <w:r>
        <w:rPr>
          <w:rFonts w:ascii="URWPalladioL" w:hAnsi="URWPalladioL" w:eastAsia="URWPalladioL"/>
          <w:b w:val="0"/>
          <w:i w:val="0"/>
          <w:color w:val="0875B7"/>
          <w:sz w:val="18"/>
        </w:rPr>
        <w:hyperlink r:id="rId25" w:history="1">
          <w:r>
            <w:rPr>
              <w:rStyle w:val="Hyperlink"/>
            </w:rPr>
            <w:t>CrossRef</w:t>
          </w:r>
        </w:hyperlink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] </w:t>
      </w:r>
      <w:r>
        <w:br/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Azen, Razia, and Cindy M. Walker.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2011.</w:t>
      </w:r>
      <w:r>
        <w:rPr>
          <w:rFonts w:ascii="URWPalladioL" w:hAnsi="URWPalladioL" w:eastAsia="URWPalladioL"/>
          <w:b w:val="0"/>
          <w:i/>
          <w:color w:val="000000"/>
          <w:sz w:val="18"/>
        </w:rPr>
        <w:t>Categorical Data Analysis for the Behavioral and Social Sciences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New York: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Routledge. 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Blazeviciene, Aurelija, and Irayda Jakusovaite.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2007.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Value Priorities and Their Relations with Quality of Life in the Baby Boomer 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Generation of Lithuanian Nurses: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A Cross-Sectional Survey.</w:t>
      </w:r>
      <w:r>
        <w:rPr>
          <w:rFonts w:ascii="URWPalladioL" w:hAnsi="URWPalladioL" w:eastAsia="URWPalladioL"/>
          <w:b w:val="0"/>
          <w:i/>
          <w:color w:val="000000"/>
          <w:sz w:val="18"/>
        </w:rPr>
        <w:t>BMC Nursing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 6: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10.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[</w:t>
      </w:r>
      <w:r>
        <w:rPr>
          <w:rFonts w:ascii="URWPalladioL" w:hAnsi="URWPalladioL" w:eastAsia="URWPalladioL"/>
          <w:b w:val="0"/>
          <w:i w:val="0"/>
          <w:color w:val="0875B7"/>
          <w:sz w:val="18"/>
        </w:rPr>
        <w:hyperlink r:id="rId26" w:history="1">
          <w:r>
            <w:rPr>
              <w:rStyle w:val="Hyperlink"/>
            </w:rPr>
            <w:t>CrossRef</w:t>
          </w:r>
        </w:hyperlink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] [</w:t>
      </w:r>
      <w:r>
        <w:rPr>
          <w:rFonts w:ascii="URWPalladioL" w:hAnsi="URWPalladioL" w:eastAsia="URWPalladioL"/>
          <w:b w:val="0"/>
          <w:i w:val="0"/>
          <w:color w:val="0875B7"/>
          <w:sz w:val="18"/>
        </w:rPr>
        <w:hyperlink r:id="rId27" w:history="1">
          <w:r>
            <w:rPr>
              <w:rStyle w:val="Hyperlink"/>
            </w:rPr>
            <w:t>PubMed</w:t>
          </w:r>
        </w:hyperlink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] </w:t>
      </w:r>
      <w:r>
        <w:br/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Blue, Levon Ellen, and Peter Grootenboer.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2019.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A Praxis Approach to Financial Literacy Education.</w:t>
      </w:r>
      <w:r>
        <w:rPr>
          <w:rFonts w:ascii="URWPalladioL" w:hAnsi="URWPalladioL" w:eastAsia="URWPalladioL"/>
          <w:b w:val="0"/>
          <w:i/>
          <w:color w:val="000000"/>
          <w:sz w:val="18"/>
        </w:rPr>
        <w:t>Journal of Curriculum Studies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 51: 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755–70.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[</w:t>
      </w:r>
      <w:r>
        <w:rPr>
          <w:rFonts w:ascii="URWPalladioL" w:hAnsi="URWPalladioL" w:eastAsia="URWPalladioL"/>
          <w:b w:val="0"/>
          <w:i w:val="0"/>
          <w:color w:val="0875B7"/>
          <w:sz w:val="18"/>
        </w:rPr>
        <w:hyperlink r:id="rId28" w:history="1">
          <w:r>
            <w:rPr>
              <w:rStyle w:val="Hyperlink"/>
            </w:rPr>
            <w:t>CrossRef</w:t>
          </w:r>
        </w:hyperlink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] </w:t>
      </w:r>
      <w:r>
        <w:br/>
      </w:r>
      <w:r>
        <w:rPr>
          <w:w w:val="98.82644017537436"/>
          <w:rFonts w:ascii="URWPalladioL" w:hAnsi="URWPalladioL" w:eastAsia="URWPalladioL"/>
          <w:b w:val="0"/>
          <w:i w:val="0"/>
          <w:color w:val="000000"/>
          <w:sz w:val="18"/>
        </w:rPr>
        <w:t>Castro-Gonz</w:t>
      </w:r>
      <w:r>
        <w:rPr>
          <w:w w:val="98.82644017537436"/>
          <w:rFonts w:ascii="VnURWPalladioL" w:hAnsi="VnURWPalladioL" w:eastAsia="VnURWPalladioL"/>
          <w:b w:val="0"/>
          <w:i w:val="0"/>
          <w:color w:val="000000"/>
          <w:sz w:val="18"/>
        </w:rPr>
        <w:t>á</w:t>
      </w:r>
      <w:r>
        <w:rPr>
          <w:w w:val="98.82644017537436"/>
          <w:rFonts w:ascii="URWPalladioL" w:hAnsi="URWPalladioL" w:eastAsia="URWPalladioL"/>
          <w:b w:val="0"/>
          <w:i w:val="0"/>
          <w:color w:val="000000"/>
          <w:sz w:val="18"/>
        </w:rPr>
        <w:t>lez, Sandra, Sara Fern</w:t>
      </w:r>
      <w:r>
        <w:rPr>
          <w:w w:val="98.82644017537436"/>
          <w:rFonts w:ascii="VnURWPalladioL" w:hAnsi="VnURWPalladioL" w:eastAsia="VnURWPalladioL"/>
          <w:b w:val="0"/>
          <w:i w:val="0"/>
          <w:color w:val="000000"/>
          <w:sz w:val="18"/>
        </w:rPr>
        <w:t>á</w:t>
      </w:r>
      <w:r>
        <w:rPr>
          <w:w w:val="98.82644017537436"/>
          <w:rFonts w:ascii="URWPalladioL" w:hAnsi="URWPalladioL" w:eastAsia="URWPalladioL"/>
          <w:b w:val="0"/>
          <w:i w:val="0"/>
          <w:color w:val="000000"/>
          <w:sz w:val="18"/>
        </w:rPr>
        <w:t>ndez-L</w:t>
      </w:r>
      <w:r>
        <w:rPr>
          <w:w w:val="98.82644017537436"/>
          <w:rFonts w:ascii="VnURWPalladioL" w:hAnsi="VnURWPalladioL" w:eastAsia="VnURWPalladioL"/>
          <w:b w:val="0"/>
          <w:i w:val="0"/>
          <w:color w:val="000000"/>
          <w:sz w:val="18"/>
        </w:rPr>
        <w:t>ó</w:t>
      </w:r>
      <w:r>
        <w:rPr>
          <w:w w:val="98.82644017537436"/>
          <w:rFonts w:ascii="URWPalladioL" w:hAnsi="URWPalladioL" w:eastAsia="URWPalladioL"/>
          <w:b w:val="0"/>
          <w:i w:val="0"/>
          <w:color w:val="000000"/>
          <w:sz w:val="18"/>
        </w:rPr>
        <w:t>pez, Luc</w:t>
      </w:r>
      <w:r>
        <w:rPr>
          <w:w w:val="98.82644017537436"/>
          <w:rFonts w:ascii="VnURWPalladioL" w:hAnsi="VnURWPalladioL" w:eastAsia="VnURWPalladioL"/>
          <w:b w:val="0"/>
          <w:i w:val="0"/>
          <w:color w:val="000000"/>
          <w:sz w:val="18"/>
        </w:rPr>
        <w:t>í</w:t>
      </w:r>
      <w:r>
        <w:rPr>
          <w:w w:val="98.82644017537436"/>
          <w:rFonts w:ascii="URWPalladioL" w:hAnsi="URWPalladioL" w:eastAsia="URWPalladioL"/>
          <w:b w:val="0"/>
          <w:i w:val="0"/>
          <w:color w:val="000000"/>
          <w:sz w:val="18"/>
        </w:rPr>
        <w:t>a Rey-Ares, and David Rodeiro-Pazos.</w:t>
      </w:r>
      <w:r>
        <w:rPr>
          <w:w w:val="98.82644017537436"/>
          <w:rFonts w:ascii="URWPalladioL" w:hAnsi="URWPalladioL" w:eastAsia="URWPalladioL"/>
          <w:b w:val="0"/>
          <w:i w:val="0"/>
          <w:color w:val="000000"/>
          <w:sz w:val="18"/>
        </w:rPr>
        <w:t>2020.</w:t>
      </w:r>
      <w:r>
        <w:rPr>
          <w:w w:val="98.82644017537436"/>
          <w:rFonts w:ascii="URWPalladioL" w:hAnsi="URWPalladioL" w:eastAsia="URWPalladioL"/>
          <w:b w:val="0"/>
          <w:i w:val="0"/>
          <w:color w:val="000000"/>
          <w:sz w:val="18"/>
        </w:rPr>
        <w:t xml:space="preserve">The Influence of Attitude to Money 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on Individuals’ Financial Well-Being.</w:t>
      </w:r>
      <w:r>
        <w:rPr>
          <w:rFonts w:ascii="URWPalladioL" w:hAnsi="URWPalladioL" w:eastAsia="URWPalladioL"/>
          <w:b w:val="0"/>
          <w:i/>
          <w:color w:val="000000"/>
          <w:sz w:val="18"/>
        </w:rPr>
        <w:t>Social Indicators Research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 148: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747–64.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[</w:t>
      </w:r>
      <w:r>
        <w:rPr>
          <w:rFonts w:ascii="URWPalladioL" w:hAnsi="URWPalladioL" w:eastAsia="URWPalladioL"/>
          <w:b w:val="0"/>
          <w:i w:val="0"/>
          <w:color w:val="0875B7"/>
          <w:sz w:val="18"/>
        </w:rPr>
        <w:hyperlink r:id="rId29" w:history="1">
          <w:r>
            <w:rPr>
              <w:rStyle w:val="Hyperlink"/>
            </w:rPr>
            <w:t>CrossRef</w:t>
          </w:r>
        </w:hyperlink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]</w:t>
      </w:r>
    </w:p>
    <w:p>
      <w:pPr>
        <w:sectPr>
          <w:pgSz w:w="11906" w:h="16838"/>
          <w:pgMar w:top="538" w:right="670" w:bottom="712" w:left="7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5262"/>
        <w:gridCol w:w="5262"/>
      </w:tblGrid>
      <w:tr>
        <w:trPr>
          <w:trHeight w:hRule="exact" w:val="272"/>
        </w:trPr>
        <w:tc>
          <w:tcPr>
            <w:tcW w:type="dxa" w:w="554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0" w:after="0"/>
              <w:ind w:left="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/>
                <w:color w:val="000000"/>
                <w:sz w:val="16"/>
              </w:rPr>
              <w:t>Risks</w:t>
            </w:r>
            <w:r>
              <w:rPr>
                <w:rFonts w:ascii="URWPalladioL" w:hAnsi="URWPalladioL" w:eastAsia="URWPalladioL"/>
                <w:b/>
                <w:i w:val="0"/>
                <w:color w:val="000000"/>
                <w:sz w:val="16"/>
              </w:rPr>
              <w:t xml:space="preserve"> 2021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,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6"/>
              </w:rPr>
              <w:t xml:space="preserve"> 9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, 205</w:t>
            </w:r>
          </w:p>
        </w:tc>
        <w:tc>
          <w:tcPr>
            <w:tcW w:type="dxa" w:w="493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" w:after="0"/>
              <w:ind w:left="0" w:right="4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22 of 24</w:t>
            </w:r>
          </w:p>
        </w:tc>
      </w:tr>
    </w:tbl>
    <w:p>
      <w:pPr>
        <w:autoSpaceDN w:val="0"/>
        <w:tabs>
          <w:tab w:pos="430" w:val="left"/>
          <w:tab w:pos="436" w:val="left"/>
        </w:tabs>
        <w:autoSpaceDE w:val="0"/>
        <w:widowControl/>
        <w:spacing w:line="230" w:lineRule="exact" w:before="582" w:after="0"/>
        <w:ind w:left="0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18"/>
        </w:rPr>
        <w:t>Chusmir, Leonard H., Christine S. Koberg, and Joan Mills.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1989.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Male-Female Differences in the Association of Managerial Style and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Personal Values.</w:t>
      </w:r>
      <w:r>
        <w:rPr>
          <w:rFonts w:ascii="URWPalladioL" w:hAnsi="URWPalladioL" w:eastAsia="URWPalladioL"/>
          <w:b w:val="0"/>
          <w:i/>
          <w:color w:val="000000"/>
          <w:sz w:val="18"/>
        </w:rPr>
        <w:t>The Journal of Social Psychology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 129: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65–78.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[</w:t>
      </w:r>
      <w:r>
        <w:rPr>
          <w:rFonts w:ascii="URWPalladioL" w:hAnsi="URWPalladioL" w:eastAsia="URWPalladioL"/>
          <w:b w:val="0"/>
          <w:i w:val="0"/>
          <w:color w:val="0875B7"/>
          <w:sz w:val="18"/>
        </w:rPr>
        <w:hyperlink r:id="rId30" w:history="1">
          <w:r>
            <w:rPr>
              <w:rStyle w:val="Hyperlink"/>
            </w:rPr>
            <w:t>CrossRef</w:t>
          </w:r>
        </w:hyperlink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] </w:t>
      </w:r>
      <w:r>
        <w:br/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Dew,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Jeffrey,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Jing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Xiao.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2011.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Financial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Management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Behavior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Scale: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Development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Validation.</w:t>
      </w:r>
      <w:r>
        <w:rPr>
          <w:rFonts w:ascii="URWPalladioL" w:hAnsi="URWPalladioL" w:eastAsia="URWPalladioL"/>
          <w:b w:val="0"/>
          <w:i/>
          <w:color w:val="000000"/>
          <w:sz w:val="18"/>
        </w:rPr>
        <w:t>Journal</w:t>
      </w:r>
      <w:r>
        <w:rPr>
          <w:rFonts w:ascii="URWPalladioL" w:hAnsi="URWPalladioL" w:eastAsia="URWPalladioL"/>
          <w:b w:val="0"/>
          <w:i/>
          <w:color w:val="000000"/>
          <w:sz w:val="18"/>
        </w:rPr>
        <w:t>of</w:t>
      </w:r>
      <w:r>
        <w:rPr>
          <w:rFonts w:ascii="URWPalladioL" w:hAnsi="URWPalladioL" w:eastAsia="URWPalladioL"/>
          <w:b w:val="0"/>
          <w:i/>
          <w:color w:val="000000"/>
          <w:sz w:val="18"/>
        </w:rPr>
        <w:t xml:space="preserve">Financial </w:t>
      </w:r>
      <w:r>
        <w:tab/>
      </w:r>
      <w:r>
        <w:rPr>
          <w:rFonts w:ascii="URWPalladioL" w:hAnsi="URWPalladioL" w:eastAsia="URWPalladioL"/>
          <w:b w:val="0"/>
          <w:i/>
          <w:color w:val="000000"/>
          <w:sz w:val="18"/>
        </w:rPr>
        <w:t>Counseling and Planning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 22: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43–59.</w:t>
      </w:r>
    </w:p>
    <w:p>
      <w:pPr>
        <w:autoSpaceDN w:val="0"/>
        <w:tabs>
          <w:tab w:pos="436" w:val="left"/>
        </w:tabs>
        <w:autoSpaceDE w:val="0"/>
        <w:widowControl/>
        <w:spacing w:line="230" w:lineRule="exact" w:before="0" w:after="0"/>
        <w:ind w:left="0" w:right="0" w:firstLine="0"/>
        <w:jc w:val="left"/>
      </w:pPr>
      <w:r>
        <w:rPr>
          <w:w w:val="98.62537384033203"/>
          <w:rFonts w:ascii="URWPalladioL" w:hAnsi="URWPalladioL" w:eastAsia="URWPalladioL"/>
          <w:b w:val="0"/>
          <w:i w:val="0"/>
          <w:color w:val="000000"/>
          <w:sz w:val="18"/>
        </w:rPr>
        <w:t>Dew, Jeffrey, Luke Dean, Stephen F. Duncan, and Sonya Britt-Lutter.</w:t>
      </w:r>
      <w:r>
        <w:rPr>
          <w:w w:val="98.62537384033203"/>
          <w:rFonts w:ascii="URWPalladioL" w:hAnsi="URWPalladioL" w:eastAsia="URWPalladioL"/>
          <w:b w:val="0"/>
          <w:i w:val="0"/>
          <w:color w:val="000000"/>
          <w:sz w:val="18"/>
        </w:rPr>
        <w:t>2020.</w:t>
      </w:r>
      <w:r>
        <w:rPr>
          <w:w w:val="98.62537384033203"/>
          <w:rFonts w:ascii="URWPalladioL" w:hAnsi="URWPalladioL" w:eastAsia="URWPalladioL"/>
          <w:b w:val="0"/>
          <w:i w:val="0"/>
          <w:color w:val="000000"/>
          <w:sz w:val="18"/>
        </w:rPr>
        <w:t xml:space="preserve">A Review of Effectiveness Evidence in the Financial-Helping 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Fields.</w:t>
      </w:r>
      <w:r>
        <w:rPr>
          <w:rFonts w:ascii="URWPalladioL" w:hAnsi="URWPalladioL" w:eastAsia="URWPalladioL"/>
          <w:b w:val="0"/>
          <w:i/>
          <w:color w:val="000000"/>
          <w:sz w:val="18"/>
        </w:rPr>
        <w:t>Family Relations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 69: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614–27.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[</w:t>
      </w:r>
      <w:r>
        <w:rPr>
          <w:rFonts w:ascii="URWPalladioL" w:hAnsi="URWPalladioL" w:eastAsia="URWPalladioL"/>
          <w:b w:val="0"/>
          <w:i w:val="0"/>
          <w:color w:val="0875B7"/>
          <w:sz w:val="18"/>
        </w:rPr>
        <w:hyperlink r:id="rId31" w:history="1">
          <w:r>
            <w:rPr>
              <w:rStyle w:val="Hyperlink"/>
            </w:rPr>
            <w:t>CrossRef</w:t>
          </w:r>
        </w:hyperlink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] </w:t>
      </w:r>
      <w:r>
        <w:br/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Ellen, Pam Scholder.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1994.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Do We Know What We Need to Know?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Objective and Subjective Knowledge Effects on pro-Ecological 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Behaviors.</w:t>
      </w:r>
      <w:r>
        <w:rPr>
          <w:rFonts w:ascii="URWPalladioL" w:hAnsi="URWPalladioL" w:eastAsia="URWPalladioL"/>
          <w:b w:val="0"/>
          <w:i/>
          <w:color w:val="000000"/>
          <w:sz w:val="18"/>
        </w:rPr>
        <w:t>Special Issue:</w:t>
      </w:r>
      <w:r>
        <w:rPr>
          <w:rFonts w:ascii="URWPalladioL" w:hAnsi="URWPalladioL" w:eastAsia="URWPalladioL"/>
          <w:b w:val="0"/>
          <w:i/>
          <w:color w:val="000000"/>
          <w:sz w:val="18"/>
        </w:rPr>
        <w:t>Linking Theory to Policy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 30: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43–52.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[</w:t>
      </w:r>
      <w:r>
        <w:rPr>
          <w:rFonts w:ascii="URWPalladioL" w:hAnsi="URWPalladioL" w:eastAsia="URWPalladioL"/>
          <w:b w:val="0"/>
          <w:i w:val="0"/>
          <w:color w:val="0875B7"/>
          <w:sz w:val="18"/>
        </w:rPr>
        <w:hyperlink r:id="rId32" w:history="1">
          <w:r>
            <w:rPr>
              <w:rStyle w:val="Hyperlink"/>
            </w:rPr>
            <w:t>CrossRef</w:t>
          </w:r>
        </w:hyperlink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] </w:t>
      </w:r>
      <w:r>
        <w:br/>
      </w:r>
      <w:r>
        <w:rPr>
          <w:w w:val="98.725954691569"/>
          <w:rFonts w:ascii="URWPalladioL" w:hAnsi="URWPalladioL" w:eastAsia="URWPalladioL"/>
          <w:b w:val="0"/>
          <w:i w:val="0"/>
          <w:color w:val="000000"/>
          <w:sz w:val="18"/>
        </w:rPr>
        <w:t>ESS. 2021.</w:t>
      </w:r>
      <w:r>
        <w:rPr>
          <w:w w:val="98.725954691569"/>
          <w:rFonts w:ascii="URWPalladioL" w:hAnsi="URWPalladioL" w:eastAsia="URWPalladioL"/>
          <w:b w:val="0"/>
          <w:i w:val="0"/>
          <w:color w:val="000000"/>
          <w:sz w:val="18"/>
        </w:rPr>
        <w:t>European Social Survey|European Social Survey (ESS). Available online:</w:t>
      </w:r>
      <w:r>
        <w:rPr>
          <w:w w:val="98.725954691569"/>
          <w:rFonts w:ascii="URWPalladioL" w:hAnsi="URWPalladioL" w:eastAsia="URWPalladioL"/>
          <w:b w:val="0"/>
          <w:i w:val="0"/>
          <w:color w:val="0875B7"/>
          <w:sz w:val="18"/>
        </w:rPr>
        <w:hyperlink r:id="rId33" w:history="1">
          <w:r>
            <w:rPr>
              <w:rStyle w:val="Hyperlink"/>
            </w:rPr>
            <w:t>http://www.europeansocialsurvey.org/</w:t>
          </w:r>
        </w:hyperlink>
      </w:r>
      <w:r>
        <w:rPr>
          <w:w w:val="98.725954691569"/>
          <w:rFonts w:ascii="URWPalladioL" w:hAnsi="URWPalladioL" w:eastAsia="URWPalladioL"/>
          <w:b w:val="0"/>
          <w:i w:val="0"/>
          <w:color w:val="000000"/>
          <w:sz w:val="18"/>
        </w:rPr>
        <w:t xml:space="preserve"> (accessed 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on 20 May 2021).</w:t>
      </w:r>
    </w:p>
    <w:p>
      <w:pPr>
        <w:autoSpaceDN w:val="0"/>
        <w:tabs>
          <w:tab w:pos="436" w:val="left"/>
        </w:tabs>
        <w:autoSpaceDE w:val="0"/>
        <w:widowControl/>
        <w:spacing w:line="230" w:lineRule="exact" w:before="2" w:after="0"/>
        <w:ind w:left="0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18"/>
        </w:rPr>
        <w:t>Fan,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Lu.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2021.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Conceptual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Framework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of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Financial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Advice-Seeking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Short-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Long-Term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Financial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Behaviors: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An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Age 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Comparison.</w:t>
      </w:r>
      <w:r>
        <w:rPr>
          <w:rFonts w:ascii="URWPalladioL" w:hAnsi="URWPalladioL" w:eastAsia="URWPalladioL"/>
          <w:b w:val="0"/>
          <w:i/>
          <w:color w:val="000000"/>
          <w:sz w:val="18"/>
        </w:rPr>
        <w:t>Journal of Family and Economic Issues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 42: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90–112.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[</w:t>
      </w:r>
      <w:r>
        <w:rPr>
          <w:rFonts w:ascii="URWPalladioL" w:hAnsi="URWPalladioL" w:eastAsia="URWPalladioL"/>
          <w:b w:val="0"/>
          <w:i w:val="0"/>
          <w:color w:val="0875B7"/>
          <w:sz w:val="18"/>
        </w:rPr>
        <w:hyperlink r:id="rId34" w:history="1">
          <w:r>
            <w:rPr>
              <w:rStyle w:val="Hyperlink"/>
            </w:rPr>
            <w:t>CrossRef</w:t>
          </w:r>
        </w:hyperlink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] </w:t>
      </w:r>
      <w:r>
        <w:br/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Fisher,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Elizabeth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A.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2009.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Motivation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Leadership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in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Social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Work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Management: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Review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of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Theories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Related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Studies.</w:t>
      </w:r>
    </w:p>
    <w:p>
      <w:pPr>
        <w:autoSpaceDN w:val="0"/>
        <w:tabs>
          <w:tab w:pos="430" w:val="left"/>
          <w:tab w:pos="436" w:val="left"/>
        </w:tabs>
        <w:autoSpaceDE w:val="0"/>
        <w:widowControl/>
        <w:spacing w:line="230" w:lineRule="exact" w:before="0" w:after="0"/>
        <w:ind w:left="0" w:right="0" w:firstLine="0"/>
        <w:jc w:val="left"/>
      </w:pPr>
      <w:r>
        <w:tab/>
      </w:r>
      <w:r>
        <w:rPr>
          <w:rFonts w:ascii="URWPalladioL" w:hAnsi="URWPalladioL" w:eastAsia="URWPalladioL"/>
          <w:b w:val="0"/>
          <w:i/>
          <w:color w:val="000000"/>
          <w:sz w:val="18"/>
        </w:rPr>
        <w:t>Administration in Social Work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 33: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347–67.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[</w:t>
      </w:r>
      <w:r>
        <w:rPr>
          <w:rFonts w:ascii="URWPalladioL" w:hAnsi="URWPalladioL" w:eastAsia="URWPalladioL"/>
          <w:b w:val="0"/>
          <w:i w:val="0"/>
          <w:color w:val="0875B7"/>
          <w:sz w:val="18"/>
        </w:rPr>
        <w:hyperlink r:id="rId35" w:history="1">
          <w:r>
            <w:rPr>
              <w:rStyle w:val="Hyperlink"/>
            </w:rPr>
            <w:t>CrossRef</w:t>
          </w:r>
        </w:hyperlink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] </w:t>
      </w:r>
      <w:r>
        <w:br/>
      </w:r>
      <w:r>
        <w:rPr>
          <w:w w:val="98.62537384033203"/>
          <w:rFonts w:ascii="URWPalladioL" w:hAnsi="URWPalladioL" w:eastAsia="URWPalladioL"/>
          <w:b w:val="0"/>
          <w:i w:val="0"/>
          <w:color w:val="000000"/>
          <w:sz w:val="18"/>
        </w:rPr>
        <w:t>Florescu, Andrei.</w:t>
      </w:r>
      <w:r>
        <w:rPr>
          <w:w w:val="98.62537384033203"/>
          <w:rFonts w:ascii="URWPalladioL" w:hAnsi="URWPalladioL" w:eastAsia="URWPalladioL"/>
          <w:b w:val="0"/>
          <w:i w:val="0"/>
          <w:color w:val="000000"/>
          <w:sz w:val="18"/>
        </w:rPr>
        <w:t>2020.</w:t>
      </w:r>
      <w:r>
        <w:rPr>
          <w:w w:val="98.62537384033203"/>
          <w:rFonts w:ascii="URWPalladioL" w:hAnsi="URWPalladioL" w:eastAsia="URWPalladioL"/>
          <w:b w:val="0"/>
          <w:i w:val="0"/>
          <w:color w:val="000000"/>
          <w:sz w:val="18"/>
        </w:rPr>
        <w:t xml:space="preserve">Why Conservative Values Inherited from Previous Generations Will Continue to Shape Contemporary Identity? </w:t>
      </w:r>
      <w:r>
        <w:tab/>
      </w:r>
      <w:r>
        <w:rPr>
          <w:rFonts w:ascii="URWPalladioL" w:hAnsi="URWPalladioL" w:eastAsia="URWPalladioL"/>
          <w:b w:val="0"/>
          <w:i/>
          <w:color w:val="000000"/>
          <w:sz w:val="18"/>
        </w:rPr>
        <w:t>Journal for the Study of Religions and Ideologies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 19: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46–62.</w:t>
      </w:r>
    </w:p>
    <w:p>
      <w:pPr>
        <w:autoSpaceDN w:val="0"/>
        <w:tabs>
          <w:tab w:pos="436" w:val="left"/>
        </w:tabs>
        <w:autoSpaceDE w:val="0"/>
        <w:widowControl/>
        <w:spacing w:line="230" w:lineRule="exact" w:before="0" w:after="0"/>
        <w:ind w:left="0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18"/>
        </w:rPr>
        <w:t>Fonseca,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Jaime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R.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S.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2013.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Clustering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in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Field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of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Social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Sciences: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That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Is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Your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Choice.</w:t>
      </w:r>
      <w:r>
        <w:rPr>
          <w:rFonts w:ascii="URWPalladioL" w:hAnsi="URWPalladioL" w:eastAsia="URWPalladioL"/>
          <w:b w:val="0"/>
          <w:i/>
          <w:color w:val="000000"/>
          <w:sz w:val="18"/>
        </w:rPr>
        <w:t>International</w:t>
      </w:r>
      <w:r>
        <w:rPr>
          <w:rFonts w:ascii="URWPalladioL" w:hAnsi="URWPalladioL" w:eastAsia="URWPalladioL"/>
          <w:b w:val="0"/>
          <w:i/>
          <w:color w:val="000000"/>
          <w:sz w:val="18"/>
        </w:rPr>
        <w:t>Journal</w:t>
      </w:r>
      <w:r>
        <w:rPr>
          <w:rFonts w:ascii="URWPalladioL" w:hAnsi="URWPalladioL" w:eastAsia="URWPalladioL"/>
          <w:b w:val="0"/>
          <w:i/>
          <w:color w:val="000000"/>
          <w:sz w:val="18"/>
        </w:rPr>
        <w:t>of</w:t>
      </w:r>
      <w:r>
        <w:rPr>
          <w:rFonts w:ascii="URWPalladioL" w:hAnsi="URWPalladioL" w:eastAsia="URWPalladioL"/>
          <w:b w:val="0"/>
          <w:i/>
          <w:color w:val="000000"/>
          <w:sz w:val="18"/>
        </w:rPr>
        <w:t>Social</w:t>
      </w:r>
      <w:r>
        <w:rPr>
          <w:rFonts w:ascii="URWPalladioL" w:hAnsi="URWPalladioL" w:eastAsia="URWPalladioL"/>
          <w:b w:val="0"/>
          <w:i/>
          <w:color w:val="000000"/>
          <w:sz w:val="18"/>
        </w:rPr>
        <w:t xml:space="preserve">Research </w:t>
      </w:r>
      <w:r>
        <w:rPr>
          <w:rFonts w:ascii="URWPalladioL" w:hAnsi="URWPalladioL" w:eastAsia="URWPalladioL"/>
          <w:b w:val="0"/>
          <w:i/>
          <w:color w:val="000000"/>
          <w:sz w:val="18"/>
        </w:rPr>
        <w:t>Methodology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 16: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403–28.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[</w:t>
      </w:r>
      <w:r>
        <w:rPr>
          <w:rFonts w:ascii="URWPalladioL" w:hAnsi="URWPalladioL" w:eastAsia="URWPalladioL"/>
          <w:b w:val="0"/>
          <w:i w:val="0"/>
          <w:color w:val="0875B7"/>
          <w:sz w:val="18"/>
        </w:rPr>
        <w:hyperlink r:id="rId36" w:history="1">
          <w:r>
            <w:rPr>
              <w:rStyle w:val="Hyperlink"/>
            </w:rPr>
            <w:t>CrossRef</w:t>
          </w:r>
        </w:hyperlink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] </w:t>
      </w:r>
      <w:r>
        <w:br/>
      </w:r>
      <w:r>
        <w:rPr>
          <w:w w:val="98.87664582994249"/>
          <w:rFonts w:ascii="URWPalladioL" w:hAnsi="URWPalladioL" w:eastAsia="URWPalladioL"/>
          <w:b w:val="0"/>
          <w:i w:val="0"/>
          <w:color w:val="000000"/>
          <w:sz w:val="18"/>
        </w:rPr>
        <w:t>Frey, Jodi Jacobson, Deborah Svoboda, Rebecca L. Sander, Philip J. Osteen, Christine Callahan, and Audrey Elkinson.</w:t>
      </w:r>
      <w:r>
        <w:rPr>
          <w:w w:val="98.87664582994249"/>
          <w:rFonts w:ascii="URWPalladioL" w:hAnsi="URWPalladioL" w:eastAsia="URWPalladioL"/>
          <w:b w:val="0"/>
          <w:i w:val="0"/>
          <w:color w:val="000000"/>
          <w:sz w:val="18"/>
        </w:rPr>
        <w:t>2015.</w:t>
      </w:r>
      <w:r>
        <w:rPr>
          <w:w w:val="98.87664582994249"/>
          <w:rFonts w:ascii="URWPalladioL" w:hAnsi="URWPalladioL" w:eastAsia="URWPalladioL"/>
          <w:b w:val="0"/>
          <w:i w:val="0"/>
          <w:color w:val="000000"/>
          <w:sz w:val="18"/>
        </w:rPr>
        <w:t xml:space="preserve">Evaluation 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of a Continuing Education Training on Client Financial Capability.</w:t>
      </w:r>
      <w:r>
        <w:rPr>
          <w:rFonts w:ascii="URWPalladioL" w:hAnsi="URWPalladioL" w:eastAsia="URWPalladioL"/>
          <w:b w:val="0"/>
          <w:i/>
          <w:color w:val="000000"/>
          <w:sz w:val="18"/>
        </w:rPr>
        <w:t>Journal of Social Work Education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 51: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439–56.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[</w:t>
      </w:r>
      <w:r>
        <w:rPr>
          <w:rFonts w:ascii="URWPalladioL" w:hAnsi="URWPalladioL" w:eastAsia="URWPalladioL"/>
          <w:b w:val="0"/>
          <w:i w:val="0"/>
          <w:color w:val="0875B7"/>
          <w:sz w:val="18"/>
        </w:rPr>
        <w:hyperlink r:id="rId37" w:history="1">
          <w:r>
            <w:rPr>
              <w:rStyle w:val="Hyperlink"/>
            </w:rPr>
            <w:t>CrossRef</w:t>
          </w:r>
        </w:hyperlink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] 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Furnham, Adrian.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1984.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Many Sides of the Coin: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The Psychology of Money Usage.</w:t>
      </w:r>
      <w:r>
        <w:rPr>
          <w:rFonts w:ascii="URWPalladioL" w:hAnsi="URWPalladioL" w:eastAsia="URWPalladioL"/>
          <w:b w:val="0"/>
          <w:i/>
          <w:color w:val="000000"/>
          <w:sz w:val="18"/>
        </w:rPr>
        <w:t>Personality and Individual Differences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 5: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501–9.</w:t>
      </w:r>
    </w:p>
    <w:p>
      <w:pPr>
        <w:autoSpaceDN w:val="0"/>
        <w:tabs>
          <w:tab w:pos="430" w:val="left"/>
          <w:tab w:pos="436" w:val="left"/>
        </w:tabs>
        <w:autoSpaceDE w:val="0"/>
        <w:widowControl/>
        <w:spacing w:line="230" w:lineRule="exact" w:before="0" w:after="0"/>
        <w:ind w:left="0" w:right="0" w:firstLine="0"/>
        <w:jc w:val="left"/>
      </w:pP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[</w:t>
      </w:r>
      <w:r>
        <w:rPr>
          <w:rFonts w:ascii="URWPalladioL" w:hAnsi="URWPalladioL" w:eastAsia="URWPalladioL"/>
          <w:b w:val="0"/>
          <w:i w:val="0"/>
          <w:color w:val="0875B7"/>
          <w:sz w:val="18"/>
        </w:rPr>
        <w:hyperlink r:id="rId38" w:history="1">
          <w:r>
            <w:rPr>
              <w:rStyle w:val="Hyperlink"/>
            </w:rPr>
            <w:t>CrossRef</w:t>
          </w:r>
        </w:hyperlink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] </w:t>
      </w:r>
      <w:r>
        <w:br/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Grable, John E. 2000.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Financial Risk Tolerance and Additional Factors That Affect Risk Taking in Everyday Money Matters.</w:t>
      </w:r>
      <w:r>
        <w:rPr>
          <w:rFonts w:ascii="URWPalladioL" w:hAnsi="URWPalladioL" w:eastAsia="URWPalladioL"/>
          <w:b w:val="0"/>
          <w:i/>
          <w:color w:val="000000"/>
          <w:sz w:val="18"/>
        </w:rPr>
        <w:t xml:space="preserve">Journal of </w:t>
      </w:r>
      <w:r>
        <w:tab/>
      </w:r>
      <w:r>
        <w:rPr>
          <w:rFonts w:ascii="URWPalladioL" w:hAnsi="URWPalladioL" w:eastAsia="URWPalladioL"/>
          <w:b w:val="0"/>
          <w:i/>
          <w:color w:val="000000"/>
          <w:sz w:val="18"/>
        </w:rPr>
        <w:t>Business and Psychology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 14: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625–30.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[</w:t>
      </w:r>
      <w:r>
        <w:rPr>
          <w:rFonts w:ascii="URWPalladioL" w:hAnsi="URWPalladioL" w:eastAsia="URWPalladioL"/>
          <w:b w:val="0"/>
          <w:i w:val="0"/>
          <w:color w:val="0875B7"/>
          <w:sz w:val="18"/>
        </w:rPr>
        <w:hyperlink r:id="rId39" w:history="1">
          <w:r>
            <w:rPr>
              <w:rStyle w:val="Hyperlink"/>
            </w:rPr>
            <w:t>CrossRef</w:t>
          </w:r>
        </w:hyperlink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] </w:t>
      </w:r>
      <w:r>
        <w:br/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Gretzel, Ulrike, Yeong-Hyeon Hwang, and Daniel R. Fesenmaier.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2012.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Informing Destination Recommender Systems Design and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Evaluation through Quantitative Research.</w:t>
      </w:r>
      <w:r>
        <w:rPr>
          <w:rFonts w:ascii="URWPalladioL" w:hAnsi="URWPalladioL" w:eastAsia="URWPalladioL"/>
          <w:b w:val="0"/>
          <w:i/>
          <w:color w:val="000000"/>
          <w:sz w:val="18"/>
        </w:rPr>
        <w:t>International Journal of Culture, Tourism and Hospitality Research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 6: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297–315.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[</w:t>
      </w:r>
      <w:r>
        <w:rPr>
          <w:rFonts w:ascii="URWPalladioL" w:hAnsi="URWPalladioL" w:eastAsia="URWPalladioL"/>
          <w:b w:val="0"/>
          <w:i w:val="0"/>
          <w:color w:val="0875B7"/>
          <w:sz w:val="18"/>
        </w:rPr>
        <w:hyperlink r:id="rId40" w:history="1">
          <w:r>
            <w:rPr>
              <w:rStyle w:val="Hyperlink"/>
            </w:rPr>
            <w:t>CrossRef</w:t>
          </w:r>
        </w:hyperlink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] </w:t>
      </w:r>
      <w:r>
        <w:rPr>
          <w:w w:val="98.62537384033203"/>
          <w:rFonts w:ascii="URWPalladioL" w:hAnsi="URWPalladioL" w:eastAsia="URWPalladioL"/>
          <w:b w:val="0"/>
          <w:i w:val="0"/>
          <w:color w:val="000000"/>
          <w:sz w:val="18"/>
        </w:rPr>
        <w:t>Hair, Joseph F., William C. Black, Barry J. Babin, and Rolph E. Anderson.</w:t>
      </w:r>
      <w:r>
        <w:rPr>
          <w:w w:val="98.62537384033203"/>
          <w:rFonts w:ascii="URWPalladioL" w:hAnsi="URWPalladioL" w:eastAsia="URWPalladioL"/>
          <w:b w:val="0"/>
          <w:i w:val="0"/>
          <w:color w:val="000000"/>
          <w:sz w:val="18"/>
        </w:rPr>
        <w:t>2010.</w:t>
      </w:r>
      <w:r>
        <w:rPr>
          <w:w w:val="98.62537384033203"/>
          <w:rFonts w:ascii="URWPalladioL" w:hAnsi="URWPalladioL" w:eastAsia="URWPalladioL"/>
          <w:b w:val="0"/>
          <w:i/>
          <w:color w:val="000000"/>
          <w:sz w:val="18"/>
        </w:rPr>
        <w:t xml:space="preserve">Advanced Diagnostics for Multiple Regression: A Supplement </w:t>
      </w:r>
      <w:r>
        <w:tab/>
      </w:r>
      <w:r>
        <w:rPr>
          <w:rFonts w:ascii="URWPalladioL" w:hAnsi="URWPalladioL" w:eastAsia="URWPalladioL"/>
          <w:b w:val="0"/>
          <w:i/>
          <w:color w:val="000000"/>
          <w:sz w:val="18"/>
        </w:rPr>
        <w:t>to Multivariate Data Analysis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Boston: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ScienceOpen.</w:t>
      </w:r>
    </w:p>
    <w:p>
      <w:pPr>
        <w:autoSpaceDN w:val="0"/>
        <w:tabs>
          <w:tab w:pos="432" w:val="left"/>
        </w:tabs>
        <w:autoSpaceDE w:val="0"/>
        <w:widowControl/>
        <w:spacing w:line="230" w:lineRule="exact" w:before="0" w:after="0"/>
        <w:ind w:left="0" w:right="0" w:firstLine="0"/>
        <w:jc w:val="left"/>
      </w:pPr>
      <w:r>
        <w:rPr>
          <w:w w:val="98.62537384033203"/>
          <w:rFonts w:ascii="URWPalladioL" w:hAnsi="URWPalladioL" w:eastAsia="URWPalladioL"/>
          <w:b w:val="0"/>
          <w:i w:val="0"/>
          <w:color w:val="000000"/>
          <w:sz w:val="18"/>
        </w:rPr>
        <w:t>Hallahan, Terrence A., Robert W. Faff, and Michael D. McKenzie.</w:t>
      </w:r>
      <w:r>
        <w:rPr>
          <w:w w:val="98.62537384033203"/>
          <w:rFonts w:ascii="URWPalladioL" w:hAnsi="URWPalladioL" w:eastAsia="URWPalladioL"/>
          <w:b w:val="0"/>
          <w:i w:val="0"/>
          <w:color w:val="000000"/>
          <w:sz w:val="18"/>
        </w:rPr>
        <w:t>2004.</w:t>
      </w:r>
      <w:r>
        <w:rPr>
          <w:w w:val="98.62537384033203"/>
          <w:rFonts w:ascii="URWPalladioL" w:hAnsi="URWPalladioL" w:eastAsia="URWPalladioL"/>
          <w:b w:val="0"/>
          <w:i w:val="0"/>
          <w:color w:val="000000"/>
          <w:sz w:val="18"/>
        </w:rPr>
        <w:t xml:space="preserve">An Empirical Investigation of Personal Financial Risk Tolerance. </w:t>
      </w:r>
      <w:r>
        <w:rPr>
          <w:rFonts w:ascii="URWPalladioL" w:hAnsi="URWPalladioL" w:eastAsia="URWPalladioL"/>
          <w:b w:val="0"/>
          <w:i/>
          <w:color w:val="000000"/>
          <w:sz w:val="18"/>
        </w:rPr>
        <w:t>Financial Services Review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 13: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57–78.</w:t>
      </w:r>
    </w:p>
    <w:p>
      <w:pPr>
        <w:autoSpaceDN w:val="0"/>
        <w:tabs>
          <w:tab w:pos="430" w:val="left"/>
          <w:tab w:pos="436" w:val="left"/>
        </w:tabs>
        <w:autoSpaceDE w:val="0"/>
        <w:widowControl/>
        <w:spacing w:line="230" w:lineRule="exact" w:before="0" w:after="0"/>
        <w:ind w:left="0" w:right="0" w:firstLine="0"/>
        <w:jc w:val="left"/>
      </w:pPr>
      <w:r>
        <w:rPr>
          <w:w w:val="98.67567486233182"/>
          <w:rFonts w:ascii="URWPalladioL" w:hAnsi="URWPalladioL" w:eastAsia="URWPalladioL"/>
          <w:b w:val="0"/>
          <w:i w:val="0"/>
          <w:color w:val="000000"/>
          <w:sz w:val="18"/>
        </w:rPr>
        <w:t>Hawkins, Robert L., and Eri J. Kim.</w:t>
      </w:r>
      <w:r>
        <w:rPr>
          <w:w w:val="98.67567486233182"/>
          <w:rFonts w:ascii="URWPalladioL" w:hAnsi="URWPalladioL" w:eastAsia="URWPalladioL"/>
          <w:b w:val="0"/>
          <w:i w:val="0"/>
          <w:color w:val="000000"/>
          <w:sz w:val="18"/>
        </w:rPr>
        <w:t>2012.</w:t>
      </w:r>
      <w:r>
        <w:rPr>
          <w:w w:val="98.67567486233182"/>
          <w:rFonts w:ascii="URWPalladioL" w:hAnsi="URWPalladioL" w:eastAsia="URWPalladioL"/>
          <w:b w:val="0"/>
          <w:i w:val="0"/>
          <w:color w:val="000000"/>
          <w:sz w:val="18"/>
        </w:rPr>
        <w:t>The Socio-Economic Empowerment Assessment:</w:t>
      </w:r>
      <w:r>
        <w:rPr>
          <w:w w:val="98.67567486233182"/>
          <w:rFonts w:ascii="URWPalladioL" w:hAnsi="URWPalladioL" w:eastAsia="URWPalladioL"/>
          <w:b w:val="0"/>
          <w:i w:val="0"/>
          <w:color w:val="000000"/>
          <w:sz w:val="18"/>
        </w:rPr>
        <w:t xml:space="preserve">Addressing Poverty and Economic Distress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in Clients.</w:t>
      </w:r>
      <w:r>
        <w:rPr>
          <w:rFonts w:ascii="URWPalladioL" w:hAnsi="URWPalladioL" w:eastAsia="URWPalladioL"/>
          <w:b w:val="0"/>
          <w:i/>
          <w:color w:val="000000"/>
          <w:sz w:val="18"/>
        </w:rPr>
        <w:t>Clinical Social Work Journal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 40: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194–202.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[</w:t>
      </w:r>
      <w:r>
        <w:rPr>
          <w:rFonts w:ascii="URWPalladioL" w:hAnsi="URWPalladioL" w:eastAsia="URWPalladioL"/>
          <w:b w:val="0"/>
          <w:i w:val="0"/>
          <w:color w:val="0875B7"/>
          <w:sz w:val="18"/>
        </w:rPr>
        <w:hyperlink r:id="rId41" w:history="1">
          <w:r>
            <w:rPr>
              <w:rStyle w:val="Hyperlink"/>
            </w:rPr>
            <w:t>CrossRef</w:t>
          </w:r>
        </w:hyperlink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] </w:t>
      </w:r>
      <w:r>
        <w:br/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Hennig, Christian, Marina Meila, Fionn Murtagh, and Roberto Rocci.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2015.</w:t>
      </w:r>
      <w:r>
        <w:rPr>
          <w:rFonts w:ascii="URWPalladioL" w:hAnsi="URWPalladioL" w:eastAsia="URWPalladioL"/>
          <w:b w:val="0"/>
          <w:i/>
          <w:color w:val="000000"/>
          <w:sz w:val="18"/>
        </w:rPr>
        <w:t>Handbook of Cluster Analysis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Boca Raton: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CRC Press. 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Hjalmarson,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Hanna.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2005.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Material Values,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Valued Possessions,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and Their Use.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A Study of School Children Age Nine to Fifteen. </w:t>
      </w:r>
      <w:r>
        <w:tab/>
      </w:r>
      <w:r>
        <w:rPr>
          <w:rFonts w:ascii="URWPalladioL" w:hAnsi="URWPalladioL" w:eastAsia="URWPalladioL"/>
          <w:b w:val="0"/>
          <w:i/>
          <w:color w:val="000000"/>
          <w:sz w:val="18"/>
        </w:rPr>
        <w:t>E-European Advances in Consumer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 7: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333–38.</w:t>
      </w:r>
    </w:p>
    <w:p>
      <w:pPr>
        <w:autoSpaceDN w:val="0"/>
        <w:tabs>
          <w:tab w:pos="430" w:val="left"/>
        </w:tabs>
        <w:autoSpaceDE w:val="0"/>
        <w:widowControl/>
        <w:spacing w:line="230" w:lineRule="exact" w:before="0" w:after="0"/>
        <w:ind w:left="0" w:right="0" w:firstLine="0"/>
        <w:jc w:val="left"/>
      </w:pPr>
      <w:r>
        <w:rPr>
          <w:w w:val="98.77621332804361"/>
          <w:rFonts w:ascii="URWPalladioL" w:hAnsi="URWPalladioL" w:eastAsia="URWPalladioL"/>
          <w:b w:val="0"/>
          <w:i w:val="0"/>
          <w:color w:val="000000"/>
          <w:sz w:val="18"/>
        </w:rPr>
        <w:t>Hogan, H. Wayne.</w:t>
      </w:r>
      <w:r>
        <w:rPr>
          <w:w w:val="98.77621332804361"/>
          <w:rFonts w:ascii="URWPalladioL" w:hAnsi="URWPalladioL" w:eastAsia="URWPalladioL"/>
          <w:b w:val="0"/>
          <w:i w:val="0"/>
          <w:color w:val="000000"/>
          <w:sz w:val="18"/>
        </w:rPr>
        <w:t>1980.</w:t>
      </w:r>
      <w:r>
        <w:rPr>
          <w:w w:val="98.77621332804361"/>
          <w:rFonts w:ascii="URWPalladioL" w:hAnsi="URWPalladioL" w:eastAsia="URWPalladioL"/>
          <w:b w:val="0"/>
          <w:i w:val="0"/>
          <w:color w:val="000000"/>
          <w:sz w:val="18"/>
        </w:rPr>
        <w:t>German and American Authoritarianism, Self-Estimated Intelligence and Value Priorities.</w:t>
      </w:r>
      <w:r>
        <w:rPr>
          <w:w w:val="98.77621332804361"/>
          <w:rFonts w:ascii="URWPalladioL" w:hAnsi="URWPalladioL" w:eastAsia="URWPalladioL"/>
          <w:b w:val="0"/>
          <w:i/>
          <w:color w:val="000000"/>
          <w:sz w:val="18"/>
        </w:rPr>
        <w:t xml:space="preserve">The Journal of Social </w:t>
      </w:r>
      <w:r>
        <w:tab/>
      </w:r>
      <w:r>
        <w:rPr>
          <w:rFonts w:ascii="URWPalladioL" w:hAnsi="URWPalladioL" w:eastAsia="URWPalladioL"/>
          <w:b w:val="0"/>
          <w:i/>
          <w:color w:val="000000"/>
          <w:sz w:val="18"/>
        </w:rPr>
        <w:t>Psychology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 111: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145–46.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[</w:t>
      </w:r>
      <w:r>
        <w:rPr>
          <w:rFonts w:ascii="URWPalladioL" w:hAnsi="URWPalladioL" w:eastAsia="URWPalladioL"/>
          <w:b w:val="0"/>
          <w:i w:val="0"/>
          <w:color w:val="0875B7"/>
          <w:sz w:val="18"/>
        </w:rPr>
        <w:hyperlink r:id="rId42" w:history="1">
          <w:r>
            <w:rPr>
              <w:rStyle w:val="Hyperlink"/>
            </w:rPr>
            <w:t>CrossRef</w:t>
          </w:r>
        </w:hyperlink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] </w:t>
      </w:r>
      <w:r>
        <w:br/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Hogan, H. Wayne, and Harsha N. Mookherjee.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1981.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Values and Selected Antecedents.</w:t>
      </w:r>
      <w:r>
        <w:rPr>
          <w:rFonts w:ascii="URWPalladioL" w:hAnsi="URWPalladioL" w:eastAsia="URWPalladioL"/>
          <w:b w:val="0"/>
          <w:i/>
          <w:color w:val="000000"/>
          <w:sz w:val="18"/>
        </w:rPr>
        <w:t>The Journal of Social Psychology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 113: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29–35.</w:t>
      </w:r>
    </w:p>
    <w:p>
      <w:pPr>
        <w:autoSpaceDN w:val="0"/>
        <w:tabs>
          <w:tab w:pos="436" w:val="left"/>
        </w:tabs>
        <w:autoSpaceDE w:val="0"/>
        <w:widowControl/>
        <w:spacing w:line="230" w:lineRule="exact" w:before="0" w:after="0"/>
        <w:ind w:left="0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18"/>
        </w:rPr>
        <w:t>[</w:t>
      </w:r>
      <w:r>
        <w:rPr>
          <w:rFonts w:ascii="URWPalladioL" w:hAnsi="URWPalladioL" w:eastAsia="URWPalladioL"/>
          <w:b w:val="0"/>
          <w:i w:val="0"/>
          <w:color w:val="0875B7"/>
          <w:sz w:val="18"/>
        </w:rPr>
        <w:hyperlink r:id="rId43" w:history="1">
          <w:r>
            <w:rPr>
              <w:rStyle w:val="Hyperlink"/>
            </w:rPr>
            <w:t>CrossRef</w:t>
          </w:r>
        </w:hyperlink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] </w:t>
      </w:r>
      <w:r>
        <w:br/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Hogarth, Jeanne M., and Marianne Hilgert.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2002.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Financial Knowledge, Experience, and Learning Preferences: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Preliminary Results </w:t>
      </w:r>
      <w:r>
        <w:rPr>
          <w:w w:val="98.97697236802843"/>
          <w:rFonts w:ascii="URWPalladioL" w:hAnsi="URWPalladioL" w:eastAsia="URWPalladioL"/>
          <w:b w:val="0"/>
          <w:i w:val="0"/>
          <w:color w:val="000000"/>
          <w:sz w:val="18"/>
        </w:rPr>
        <w:t>from a New Survey on Financial Literacy.</w:t>
      </w:r>
      <w:r>
        <w:rPr>
          <w:w w:val="98.97697236802843"/>
          <w:rFonts w:ascii="URWPalladioL" w:hAnsi="URWPalladioL" w:eastAsia="URWPalladioL"/>
          <w:b w:val="0"/>
          <w:i w:val="0"/>
          <w:color w:val="000000"/>
          <w:sz w:val="18"/>
        </w:rPr>
        <w:t>Paper presented at American Council on Consumer Interests 2002 Annual Conference.</w:t>
      </w:r>
    </w:p>
    <w:p>
      <w:pPr>
        <w:autoSpaceDN w:val="0"/>
        <w:autoSpaceDE w:val="0"/>
        <w:widowControl/>
        <w:spacing w:line="230" w:lineRule="exact" w:before="0" w:after="0"/>
        <w:ind w:left="430" w:right="0" w:firstLine="0"/>
        <w:jc w:val="left"/>
      </w:pPr>
      <w:r>
        <w:rPr>
          <w:w w:val="98.87664582994249"/>
          <w:rFonts w:ascii="URWPalladioL" w:hAnsi="URWPalladioL" w:eastAsia="URWPalladioL"/>
          <w:b w:val="0"/>
          <w:i w:val="0"/>
          <w:color w:val="000000"/>
          <w:sz w:val="18"/>
        </w:rPr>
        <w:t>Available online:</w:t>
      </w:r>
      <w:r>
        <w:rPr>
          <w:w w:val="98.87664582994249"/>
          <w:rFonts w:ascii="URWPalladioL" w:hAnsi="URWPalladioL" w:eastAsia="URWPalladioL"/>
          <w:b w:val="0"/>
          <w:i w:val="0"/>
          <w:color w:val="0875B7"/>
          <w:sz w:val="18"/>
        </w:rPr>
        <w:hyperlink r:id="rId44" w:history="1">
          <w:r>
            <w:rPr>
              <w:rStyle w:val="Hyperlink"/>
            </w:rPr>
            <w:t xml:space="preserve">https://www.consumerinterests.org/assets/docs/CIA/CIA2002/hogarth-hilgert_financial%20knowledge.pdf </w:t>
          </w:r>
        </w:hyperlink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(accessed on 16 May 2021).</w:t>
      </w:r>
    </w:p>
    <w:p>
      <w:pPr>
        <w:autoSpaceDN w:val="0"/>
        <w:tabs>
          <w:tab w:pos="428" w:val="left"/>
        </w:tabs>
        <w:autoSpaceDE w:val="0"/>
        <w:widowControl/>
        <w:spacing w:line="230" w:lineRule="exact" w:before="0" w:after="0"/>
        <w:ind w:left="0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18"/>
        </w:rPr>
        <w:t>Hung, Angela, Andrew M. Parker, and Joanne Yoong.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2009.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Defining and Measuring Financial Literacy, RAND Working Paper Series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WR-708.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Available online:</w:t>
      </w:r>
      <w:r>
        <w:rPr>
          <w:rFonts w:ascii="URWPalladioL" w:hAnsi="URWPalladioL" w:eastAsia="URWPalladioL"/>
          <w:b w:val="0"/>
          <w:i w:val="0"/>
          <w:color w:val="0875B7"/>
          <w:sz w:val="18"/>
        </w:rPr>
        <w:hyperlink r:id="rId45" w:history="1">
          <w:r>
            <w:rPr>
              <w:rStyle w:val="Hyperlink"/>
            </w:rPr>
            <w:t>https://papers.ssrn.com/sol3/papers.cfm?abstract_id=1498674</w:t>
          </w:r>
        </w:hyperlink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 (accessed on 23 May 2021).</w:t>
      </w:r>
    </w:p>
    <w:p>
      <w:pPr>
        <w:autoSpaceDN w:val="0"/>
        <w:tabs>
          <w:tab w:pos="428" w:val="left"/>
          <w:tab w:pos="436" w:val="left"/>
        </w:tabs>
        <w:autoSpaceDE w:val="0"/>
        <w:widowControl/>
        <w:spacing w:line="230" w:lineRule="exact" w:before="0" w:after="0"/>
        <w:ind w:left="0" w:right="0" w:firstLine="0"/>
        <w:jc w:val="left"/>
      </w:pPr>
      <w:r>
        <w:rPr>
          <w:w w:val="98.62537384033203"/>
          <w:rFonts w:ascii="URWPalladioL" w:hAnsi="URWPalladioL" w:eastAsia="URWPalladioL"/>
          <w:b w:val="0"/>
          <w:i w:val="0"/>
          <w:color w:val="000000"/>
          <w:sz w:val="18"/>
        </w:rPr>
        <w:t>Inglehart, Ronald.</w:t>
      </w:r>
      <w:r>
        <w:rPr>
          <w:w w:val="98.62537384033203"/>
          <w:rFonts w:ascii="URWPalladioL" w:hAnsi="URWPalladioL" w:eastAsia="URWPalladioL"/>
          <w:b w:val="0"/>
          <w:i w:val="0"/>
          <w:color w:val="000000"/>
          <w:sz w:val="18"/>
        </w:rPr>
        <w:t>2015.</w:t>
      </w:r>
      <w:r>
        <w:rPr>
          <w:w w:val="98.62537384033203"/>
          <w:rFonts w:ascii="URWPalladioL" w:hAnsi="URWPalladioL" w:eastAsia="URWPalladioL"/>
          <w:b w:val="0"/>
          <w:i/>
          <w:color w:val="000000"/>
          <w:sz w:val="18"/>
        </w:rPr>
        <w:t>The Silent Revolution:</w:t>
      </w:r>
      <w:r>
        <w:rPr>
          <w:w w:val="98.62537384033203"/>
          <w:rFonts w:ascii="URWPalladioL" w:hAnsi="URWPalladioL" w:eastAsia="URWPalladioL"/>
          <w:b w:val="0"/>
          <w:i/>
          <w:color w:val="000000"/>
          <w:sz w:val="18"/>
        </w:rPr>
        <w:t>Changing Values and Political Styles among Western Publics</w:t>
      </w:r>
      <w:r>
        <w:rPr>
          <w:w w:val="98.62537384033203"/>
          <w:rFonts w:ascii="URWPalladioL" w:hAnsi="URWPalladioL" w:eastAsia="URWPalladioL"/>
          <w:b w:val="0"/>
          <w:i w:val="0"/>
          <w:color w:val="000000"/>
          <w:sz w:val="18"/>
        </w:rPr>
        <w:t>.</w:t>
      </w:r>
      <w:r>
        <w:rPr>
          <w:w w:val="98.62537384033203"/>
          <w:rFonts w:ascii="URWPalladioL" w:hAnsi="URWPalladioL" w:eastAsia="URWPalladioL"/>
          <w:b w:val="0"/>
          <w:i w:val="0"/>
          <w:color w:val="000000"/>
          <w:sz w:val="18"/>
        </w:rPr>
        <w:t>Princeton:</w:t>
      </w:r>
      <w:r>
        <w:rPr>
          <w:w w:val="98.62537384033203"/>
          <w:rFonts w:ascii="URWPalladioL" w:hAnsi="URWPalladioL" w:eastAsia="URWPalladioL"/>
          <w:b w:val="0"/>
          <w:i w:val="0"/>
          <w:color w:val="000000"/>
          <w:sz w:val="18"/>
        </w:rPr>
        <w:t xml:space="preserve">Princeton University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Press.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[</w:t>
      </w:r>
      <w:r>
        <w:rPr>
          <w:rFonts w:ascii="URWPalladioL" w:hAnsi="URWPalladioL" w:eastAsia="URWPalladioL"/>
          <w:b w:val="0"/>
          <w:i w:val="0"/>
          <w:color w:val="0875B7"/>
          <w:sz w:val="18"/>
        </w:rPr>
        <w:hyperlink r:id="rId46" w:history="1">
          <w:r>
            <w:rPr>
              <w:rStyle w:val="Hyperlink"/>
            </w:rPr>
            <w:t>CrossRef</w:t>
          </w:r>
        </w:hyperlink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] </w:t>
      </w:r>
      <w:r>
        <w:br/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Inglehart, Ronald.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2021.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WVS Database.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World Values Survey.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Project Pages.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Available online:</w:t>
      </w:r>
      <w:r>
        <w:rPr>
          <w:rFonts w:ascii="URWPalladioL" w:hAnsi="URWPalladioL" w:eastAsia="URWPalladioL"/>
          <w:b w:val="0"/>
          <w:i w:val="0"/>
          <w:color w:val="0875B7"/>
          <w:sz w:val="18"/>
        </w:rPr>
        <w:hyperlink r:id="rId47" w:history="1">
          <w:r>
            <w:rPr>
              <w:rStyle w:val="Hyperlink"/>
            </w:rPr>
            <w:t xml:space="preserve">https://www.worldvaluessurvey.org/ </w:t>
          </w:r>
        </w:hyperlink>
      </w:r>
      <w:r>
        <w:tab/>
      </w:r>
      <w:r>
        <w:rPr>
          <w:rFonts w:ascii="URWPalladioL" w:hAnsi="URWPalladioL" w:eastAsia="URWPalladioL"/>
          <w:b w:val="0"/>
          <w:i w:val="0"/>
          <w:color w:val="0875B7"/>
          <w:sz w:val="18"/>
        </w:rPr>
        <w:hyperlink r:id="rId47" w:history="1">
          <w:r>
            <w:rPr>
              <w:rStyle w:val="Hyperlink"/>
            </w:rPr>
            <w:t>wvs.jsp</w:t>
          </w:r>
        </w:hyperlink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 (accessed on 20 May 2021).</w:t>
      </w:r>
    </w:p>
    <w:p>
      <w:pPr>
        <w:autoSpaceDN w:val="0"/>
        <w:tabs>
          <w:tab w:pos="430" w:val="left"/>
        </w:tabs>
        <w:autoSpaceDE w:val="0"/>
        <w:widowControl/>
        <w:spacing w:line="230" w:lineRule="exact" w:before="0" w:after="0"/>
        <w:ind w:left="0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18"/>
        </w:rPr>
        <w:t>Jacobs-Lawson, Joy M., and Douglas Hershey.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2005.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Influence of Future Time Perspective, Financial Knowledge, and Financial Risk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Tolerance on Retirement Saving Behaviors.</w:t>
      </w:r>
      <w:r>
        <w:rPr>
          <w:rFonts w:ascii="URWPalladioL" w:hAnsi="URWPalladioL" w:eastAsia="URWPalladioL"/>
          <w:b w:val="0"/>
          <w:i/>
          <w:color w:val="000000"/>
          <w:sz w:val="18"/>
        </w:rPr>
        <w:t>Financial Services Review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 14: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331.</w:t>
      </w:r>
    </w:p>
    <w:p>
      <w:pPr>
        <w:autoSpaceDN w:val="0"/>
        <w:tabs>
          <w:tab w:pos="436" w:val="left"/>
        </w:tabs>
        <w:autoSpaceDE w:val="0"/>
        <w:widowControl/>
        <w:spacing w:line="230" w:lineRule="exact" w:before="0" w:after="0"/>
        <w:ind w:left="0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18"/>
        </w:rPr>
        <w:t>Johnston, Charles S. 1995.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The Rokeach Value Survey: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Underlying Structure and Multidimensional Scaling.</w:t>
      </w:r>
      <w:r>
        <w:rPr>
          <w:rFonts w:ascii="URWPalladioL" w:hAnsi="URWPalladioL" w:eastAsia="URWPalladioL"/>
          <w:b w:val="0"/>
          <w:i/>
          <w:color w:val="000000"/>
          <w:sz w:val="18"/>
        </w:rPr>
        <w:t xml:space="preserve">The Journal of Psychology: </w:t>
      </w:r>
      <w:r>
        <w:rPr>
          <w:rFonts w:ascii="URWPalladioL" w:hAnsi="URWPalladioL" w:eastAsia="URWPalladioL"/>
          <w:b w:val="0"/>
          <w:i/>
          <w:color w:val="000000"/>
          <w:sz w:val="18"/>
        </w:rPr>
        <w:t>Interdisciplinary and Applied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 129: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583–97.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[</w:t>
      </w:r>
      <w:r>
        <w:rPr>
          <w:rFonts w:ascii="URWPalladioL" w:hAnsi="URWPalladioL" w:eastAsia="URWPalladioL"/>
          <w:b w:val="0"/>
          <w:i w:val="0"/>
          <w:color w:val="0875B7"/>
          <w:sz w:val="18"/>
        </w:rPr>
        <w:hyperlink r:id="rId48" w:history="1">
          <w:r>
            <w:rPr>
              <w:rStyle w:val="Hyperlink"/>
            </w:rPr>
            <w:t>CrossRef</w:t>
          </w:r>
        </w:hyperlink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] </w:t>
      </w:r>
      <w:r>
        <w:br/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Kim, Jinhee, E. Thomas Garman, and Benoit Sorhaindo.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2003.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Relationships among Credit Counseling Clients’ Financial Wellbeing, 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Financial Behaviors, Financial Stressor Events, and Health.</w:t>
      </w:r>
      <w:r>
        <w:rPr>
          <w:rFonts w:ascii="URWPalladioL" w:hAnsi="URWPalladioL" w:eastAsia="URWPalladioL"/>
          <w:b w:val="0"/>
          <w:i/>
          <w:color w:val="000000"/>
          <w:sz w:val="18"/>
        </w:rPr>
        <w:t>Journal of Financial Counseling and Planning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 14.</w:t>
      </w:r>
    </w:p>
    <w:p>
      <w:pPr>
        <w:autoSpaceDN w:val="0"/>
        <w:autoSpaceDE w:val="0"/>
        <w:widowControl/>
        <w:spacing w:line="184" w:lineRule="exact" w:before="46" w:after="0"/>
        <w:ind w:left="0" w:right="0" w:firstLine="0"/>
        <w:jc w:val="center"/>
      </w:pPr>
      <w:r>
        <w:rPr>
          <w:rFonts w:ascii="URWPalladioL" w:hAnsi="URWPalladioL" w:eastAsia="URWPalladioL"/>
          <w:b w:val="0"/>
          <w:i w:val="0"/>
          <w:color w:val="000000"/>
          <w:sz w:val="18"/>
        </w:rPr>
        <w:t>Lau, Sing.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1988.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The Value Orientations of Chinese University Students in Hong Kong.</w:t>
      </w:r>
      <w:r>
        <w:rPr>
          <w:rFonts w:ascii="URWPalladioL" w:hAnsi="URWPalladioL" w:eastAsia="URWPalladioL"/>
          <w:b w:val="0"/>
          <w:i/>
          <w:color w:val="000000"/>
          <w:sz w:val="18"/>
        </w:rPr>
        <w:t>International Journal of Psychology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 23: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583–96.</w:t>
      </w:r>
    </w:p>
    <w:p>
      <w:pPr>
        <w:autoSpaceDN w:val="0"/>
        <w:autoSpaceDE w:val="0"/>
        <w:widowControl/>
        <w:spacing w:line="180" w:lineRule="exact" w:before="50" w:after="0"/>
        <w:ind w:left="436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18"/>
        </w:rPr>
        <w:t>[</w:t>
      </w:r>
      <w:r>
        <w:rPr>
          <w:rFonts w:ascii="URWPalladioL" w:hAnsi="URWPalladioL" w:eastAsia="URWPalladioL"/>
          <w:b w:val="0"/>
          <w:i w:val="0"/>
          <w:color w:val="0875B7"/>
          <w:sz w:val="18"/>
        </w:rPr>
        <w:hyperlink r:id="rId49" w:history="1">
          <w:r>
            <w:rPr>
              <w:rStyle w:val="Hyperlink"/>
            </w:rPr>
            <w:t>CrossRef</w:t>
          </w:r>
        </w:hyperlink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]</w:t>
      </w:r>
    </w:p>
    <w:p>
      <w:pPr>
        <w:sectPr>
          <w:pgSz w:w="11906" w:h="16838"/>
          <w:pgMar w:top="538" w:right="668" w:bottom="894" w:left="7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5262"/>
        <w:gridCol w:w="5262"/>
      </w:tblGrid>
      <w:tr>
        <w:trPr>
          <w:trHeight w:hRule="exact" w:val="272"/>
        </w:trPr>
        <w:tc>
          <w:tcPr>
            <w:tcW w:type="dxa" w:w="554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0" w:after="0"/>
              <w:ind w:left="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/>
                <w:color w:val="000000"/>
                <w:sz w:val="16"/>
              </w:rPr>
              <w:t>Risks</w:t>
            </w:r>
            <w:r>
              <w:rPr>
                <w:rFonts w:ascii="URWPalladioL" w:hAnsi="URWPalladioL" w:eastAsia="URWPalladioL"/>
                <w:b/>
                <w:i w:val="0"/>
                <w:color w:val="000000"/>
                <w:sz w:val="16"/>
              </w:rPr>
              <w:t xml:space="preserve"> 2021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,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6"/>
              </w:rPr>
              <w:t xml:space="preserve"> 9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, 205</w:t>
            </w:r>
          </w:p>
        </w:tc>
        <w:tc>
          <w:tcPr>
            <w:tcW w:type="dxa" w:w="493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" w:after="0"/>
              <w:ind w:left="0" w:right="4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23 of 24</w:t>
            </w:r>
          </w:p>
        </w:tc>
      </w:tr>
    </w:tbl>
    <w:p>
      <w:pPr>
        <w:autoSpaceDN w:val="0"/>
        <w:tabs>
          <w:tab w:pos="430" w:val="left"/>
          <w:tab w:pos="436" w:val="left"/>
        </w:tabs>
        <w:autoSpaceDE w:val="0"/>
        <w:widowControl/>
        <w:spacing w:line="230" w:lineRule="exact" w:before="582" w:after="0"/>
        <w:ind w:left="0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18"/>
        </w:rPr>
        <w:t>Lind,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Th</w:t>
      </w:r>
      <w:r>
        <w:rPr>
          <w:rFonts w:ascii="VnURWPalladioL" w:hAnsi="VnURWPalladioL" w:eastAsia="VnURWPalladioL"/>
          <w:b w:val="0"/>
          <w:i w:val="0"/>
          <w:color w:val="000000"/>
          <w:sz w:val="18"/>
        </w:rPr>
        <w:t>é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r</w:t>
      </w:r>
      <w:r>
        <w:rPr>
          <w:rFonts w:ascii="VnURWPalladioL" w:hAnsi="VnURWPalladioL" w:eastAsia="VnURWPalladioL"/>
          <w:b w:val="0"/>
          <w:i w:val="0"/>
          <w:color w:val="000000"/>
          <w:sz w:val="18"/>
        </w:rPr>
        <w:t>è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se,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Ali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Ahmed,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Kenny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Skagerlund,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Camilla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Strömbäck,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Daniel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Västfjäll,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Gustav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Tinghög.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2020.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Competence,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Confidence, and Gender: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The Role of Objective and Subjective Financial Knowledge in Household Finance.</w:t>
      </w:r>
      <w:r>
        <w:rPr>
          <w:rFonts w:ascii="URWPalladioL" w:hAnsi="URWPalladioL" w:eastAsia="URWPalladioL"/>
          <w:b w:val="0"/>
          <w:i/>
          <w:color w:val="000000"/>
          <w:sz w:val="18"/>
        </w:rPr>
        <w:t xml:space="preserve">Journal of Family and </w:t>
      </w:r>
      <w:r>
        <w:tab/>
      </w:r>
      <w:r>
        <w:rPr>
          <w:rFonts w:ascii="URWPalladioL" w:hAnsi="URWPalladioL" w:eastAsia="URWPalladioL"/>
          <w:b w:val="0"/>
          <w:i/>
          <w:color w:val="000000"/>
          <w:sz w:val="18"/>
        </w:rPr>
        <w:t>Economic Issues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 41: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626–38.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[</w:t>
      </w:r>
      <w:r>
        <w:rPr>
          <w:rFonts w:ascii="URWPalladioL" w:hAnsi="URWPalladioL" w:eastAsia="URWPalladioL"/>
          <w:b w:val="0"/>
          <w:i w:val="0"/>
          <w:color w:val="0875B7"/>
          <w:sz w:val="18"/>
        </w:rPr>
        <w:hyperlink r:id="rId50" w:history="1">
          <w:r>
            <w:rPr>
              <w:rStyle w:val="Hyperlink"/>
            </w:rPr>
            <w:t>CrossRef</w:t>
          </w:r>
        </w:hyperlink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] </w:t>
      </w:r>
      <w:r>
        <w:br/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Lotze, Hermann.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1856.</w:t>
      </w:r>
      <w:r>
        <w:rPr>
          <w:rFonts w:ascii="URWPalladioL" w:hAnsi="URWPalladioL" w:eastAsia="URWPalladioL"/>
          <w:b w:val="0"/>
          <w:i/>
          <w:color w:val="000000"/>
          <w:sz w:val="18"/>
        </w:rPr>
        <w:t>Mikrokosmos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Leipzig: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Hirzel.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Available online:</w:t>
      </w:r>
      <w:r>
        <w:rPr>
          <w:rFonts w:ascii="URWPalladioL" w:hAnsi="URWPalladioL" w:eastAsia="URWPalladioL"/>
          <w:b w:val="0"/>
          <w:i w:val="0"/>
          <w:color w:val="0875B7"/>
          <w:sz w:val="18"/>
        </w:rPr>
        <w:hyperlink r:id="rId51" w:history="1">
          <w:r>
            <w:rPr>
              <w:rStyle w:val="Hyperlink"/>
            </w:rPr>
            <w:t>https://www.zvab.com/buch-suchen/titel/mikrokosmos-3-</w:t>
          </w:r>
        </w:hyperlink>
      </w:r>
      <w:r>
        <w:tab/>
      </w:r>
      <w:r>
        <w:rPr>
          <w:rFonts w:ascii="URWPalladioL" w:hAnsi="URWPalladioL" w:eastAsia="URWPalladioL"/>
          <w:b w:val="0"/>
          <w:i w:val="0"/>
          <w:color w:val="0875B7"/>
          <w:sz w:val="18"/>
        </w:rPr>
        <w:hyperlink r:id="rId51" w:history="1">
          <w:r>
            <w:rPr>
              <w:rStyle w:val="Hyperlink"/>
            </w:rPr>
            <w:t>b%E4nde/autor/lotze/</w:t>
          </w:r>
        </w:hyperlink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 (accessed on 23 May 2021).</w:t>
      </w:r>
    </w:p>
    <w:p>
      <w:pPr>
        <w:autoSpaceDN w:val="0"/>
        <w:tabs>
          <w:tab w:pos="430" w:val="left"/>
        </w:tabs>
        <w:autoSpaceDE w:val="0"/>
        <w:widowControl/>
        <w:spacing w:line="230" w:lineRule="exact" w:before="0" w:after="0"/>
        <w:ind w:left="0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18"/>
        </w:rPr>
        <w:t>Lusardi, Annamaria.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2012.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Numeracy, Financial Literacy, and Financial Decision-Making.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Available online:</w:t>
      </w:r>
      <w:r>
        <w:rPr>
          <w:rFonts w:ascii="URWPalladioL" w:hAnsi="URWPalladioL" w:eastAsia="URWPalladioL"/>
          <w:b w:val="0"/>
          <w:i w:val="0"/>
          <w:color w:val="0875B7"/>
          <w:sz w:val="18"/>
        </w:rPr>
        <w:hyperlink r:id="rId52" w:history="1">
          <w:r>
            <w:rPr>
              <w:rStyle w:val="Hyperlink"/>
            </w:rPr>
            <w:t xml:space="preserve">http://www.nber.org/ </w:t>
          </w:r>
        </w:hyperlink>
      </w:r>
      <w:r>
        <w:tab/>
      </w:r>
      <w:r>
        <w:rPr>
          <w:rFonts w:ascii="URWPalladioL" w:hAnsi="URWPalladioL" w:eastAsia="URWPalladioL"/>
          <w:b w:val="0"/>
          <w:i w:val="0"/>
          <w:color w:val="0875B7"/>
          <w:sz w:val="18"/>
        </w:rPr>
        <w:hyperlink r:id="rId52" w:history="1">
          <w:r>
            <w:rPr>
              <w:rStyle w:val="Hyperlink"/>
            </w:rPr>
            <w:t>papers/w17821</w:t>
          </w:r>
        </w:hyperlink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 (accessed on 16 May 2021).</w:t>
      </w:r>
    </w:p>
    <w:p>
      <w:pPr>
        <w:autoSpaceDN w:val="0"/>
        <w:tabs>
          <w:tab w:pos="436" w:val="left"/>
        </w:tabs>
        <w:autoSpaceDE w:val="0"/>
        <w:widowControl/>
        <w:spacing w:line="230" w:lineRule="exact" w:before="0" w:after="0"/>
        <w:ind w:left="0" w:right="0" w:firstLine="0"/>
        <w:jc w:val="left"/>
      </w:pPr>
      <w:r>
        <w:rPr>
          <w:w w:val="98.62537384033203"/>
          <w:rFonts w:ascii="URWPalladioL" w:hAnsi="URWPalladioL" w:eastAsia="URWPalladioL"/>
          <w:b w:val="0"/>
          <w:i w:val="0"/>
          <w:color w:val="000000"/>
          <w:sz w:val="18"/>
        </w:rPr>
        <w:t>Marjanovic, Zdravko, Esther R. Greenglass, Lisa Fiksenbaum, and Chris M. Bell.</w:t>
      </w:r>
      <w:r>
        <w:rPr>
          <w:w w:val="98.62537384033203"/>
          <w:rFonts w:ascii="URWPalladioL" w:hAnsi="URWPalladioL" w:eastAsia="URWPalladioL"/>
          <w:b w:val="0"/>
          <w:i w:val="0"/>
          <w:color w:val="000000"/>
          <w:sz w:val="18"/>
        </w:rPr>
        <w:t>2013.</w:t>
      </w:r>
      <w:r>
        <w:rPr>
          <w:w w:val="98.62537384033203"/>
          <w:rFonts w:ascii="URWPalladioL" w:hAnsi="URWPalladioL" w:eastAsia="URWPalladioL"/>
          <w:b w:val="0"/>
          <w:i w:val="0"/>
          <w:color w:val="000000"/>
          <w:sz w:val="18"/>
        </w:rPr>
        <w:t xml:space="preserve">Psychometric Evaluation of the Financial Threat 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Scale (FTS) in the Context of the Great Recession.</w:t>
      </w:r>
      <w:r>
        <w:rPr>
          <w:rFonts w:ascii="URWPalladioL" w:hAnsi="URWPalladioL" w:eastAsia="URWPalladioL"/>
          <w:b w:val="0"/>
          <w:i/>
          <w:color w:val="000000"/>
          <w:sz w:val="18"/>
        </w:rPr>
        <w:t>Journal of Economic Psychology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 36: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1–10.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[</w:t>
      </w:r>
      <w:r>
        <w:rPr>
          <w:rFonts w:ascii="URWPalladioL" w:hAnsi="URWPalladioL" w:eastAsia="URWPalladioL"/>
          <w:b w:val="0"/>
          <w:i w:val="0"/>
          <w:color w:val="0875B7"/>
          <w:sz w:val="18"/>
        </w:rPr>
        <w:hyperlink r:id="rId53" w:history="1">
          <w:r>
            <w:rPr>
              <w:rStyle w:val="Hyperlink"/>
            </w:rPr>
            <w:t>CrossRef</w:t>
          </w:r>
        </w:hyperlink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] </w:t>
      </w:r>
      <w:r>
        <w:br/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Marks, Loren D., David C. Dollahite, and Jennifer Baumgartner.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2010.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In God We Trust: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Qualitative Findings on Finances, Family, and 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Faith From a Diverse Sample of U.S. Families.</w:t>
      </w:r>
      <w:r>
        <w:rPr>
          <w:rFonts w:ascii="URWPalladioL" w:hAnsi="URWPalladioL" w:eastAsia="URWPalladioL"/>
          <w:b w:val="0"/>
          <w:i/>
          <w:color w:val="000000"/>
          <w:sz w:val="18"/>
        </w:rPr>
        <w:t>Family Relations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 59: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439–52.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[</w:t>
      </w:r>
      <w:r>
        <w:rPr>
          <w:rFonts w:ascii="URWPalladioL" w:hAnsi="URWPalladioL" w:eastAsia="URWPalladioL"/>
          <w:b w:val="0"/>
          <w:i w:val="0"/>
          <w:color w:val="0875B7"/>
          <w:sz w:val="18"/>
        </w:rPr>
        <w:hyperlink r:id="rId54" w:history="1">
          <w:r>
            <w:rPr>
              <w:rStyle w:val="Hyperlink"/>
            </w:rPr>
            <w:t>CrossRef</w:t>
          </w:r>
        </w:hyperlink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] </w:t>
      </w:r>
      <w:r>
        <w:br/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Minton, Judith, Juanita Shell, and Ralph Steinberg.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1997.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Values of Postpartum Women from the Inner City: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An Exploratory Study.</w:t>
      </w:r>
    </w:p>
    <w:p>
      <w:pPr>
        <w:autoSpaceDN w:val="0"/>
        <w:tabs>
          <w:tab w:pos="436" w:val="left"/>
        </w:tabs>
        <w:autoSpaceDE w:val="0"/>
        <w:widowControl/>
        <w:spacing w:line="230" w:lineRule="exact" w:before="0" w:after="0"/>
        <w:ind w:left="0" w:right="0" w:firstLine="0"/>
        <w:jc w:val="left"/>
      </w:pPr>
      <w:r>
        <w:rPr>
          <w:rFonts w:ascii="URWPalladioL" w:hAnsi="URWPalladioL" w:eastAsia="URWPalladioL"/>
          <w:b w:val="0"/>
          <w:i/>
          <w:color w:val="000000"/>
          <w:sz w:val="18"/>
        </w:rPr>
        <w:t>Journal of Child and Family Studies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 6: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27–41.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[</w:t>
      </w:r>
      <w:r>
        <w:rPr>
          <w:rFonts w:ascii="URWPalladioL" w:hAnsi="URWPalladioL" w:eastAsia="URWPalladioL"/>
          <w:b w:val="0"/>
          <w:i w:val="0"/>
          <w:color w:val="0875B7"/>
          <w:sz w:val="18"/>
        </w:rPr>
        <w:hyperlink r:id="rId55" w:history="1">
          <w:r>
            <w:rPr>
              <w:rStyle w:val="Hyperlink"/>
            </w:rPr>
            <w:t>CrossRef</w:t>
          </w:r>
        </w:hyperlink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] </w:t>
      </w:r>
      <w:r>
        <w:br/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Mudzingiri, Calvin, John W. Muteba Mwamba, and Jacobus Nicolaas Keyser.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2018.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Incentivized Time Preferences, Level of Education 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in a Household and Financial Literacy: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Laboratory Evidence.</w:t>
      </w:r>
      <w:r>
        <w:rPr>
          <w:rFonts w:ascii="URWPalladioL" w:hAnsi="URWPalladioL" w:eastAsia="URWPalladioL"/>
          <w:b w:val="0"/>
          <w:i/>
          <w:color w:val="000000"/>
          <w:sz w:val="18"/>
        </w:rPr>
        <w:t>Journal of Economics and Behavioral Studies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 10.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[</w:t>
      </w:r>
      <w:r>
        <w:rPr>
          <w:rFonts w:ascii="URWPalladioL" w:hAnsi="URWPalladioL" w:eastAsia="URWPalladioL"/>
          <w:b w:val="0"/>
          <w:i w:val="0"/>
          <w:color w:val="0875B7"/>
          <w:sz w:val="18"/>
        </w:rPr>
        <w:hyperlink r:id="rId56" w:history="1">
          <w:r>
            <w:rPr>
              <w:rStyle w:val="Hyperlink"/>
            </w:rPr>
            <w:t>CrossRef</w:t>
          </w:r>
        </w:hyperlink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] 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Musil, Bojan, Velko S. Rus, and Janek Musek.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2009.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The Rokeach Value Survey in Comparative Study of Japanese and Slovenian 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Students: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Towards the Underlying Structure.</w:t>
      </w:r>
      <w:r>
        <w:rPr>
          <w:rFonts w:ascii="URWPalladioL" w:hAnsi="URWPalladioL" w:eastAsia="URWPalladioL"/>
          <w:b w:val="0"/>
          <w:i/>
          <w:color w:val="000000"/>
          <w:sz w:val="18"/>
        </w:rPr>
        <w:t>Studia Psychologica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 51: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53–68.</w:t>
      </w:r>
    </w:p>
    <w:p>
      <w:pPr>
        <w:autoSpaceDN w:val="0"/>
        <w:tabs>
          <w:tab w:pos="436" w:val="left"/>
        </w:tabs>
        <w:autoSpaceDE w:val="0"/>
        <w:widowControl/>
        <w:spacing w:line="230" w:lineRule="exact" w:before="0" w:after="0"/>
        <w:ind w:left="0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18"/>
        </w:rPr>
        <w:t>Nejad, Mohammad G., and Katayon Javid.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2018.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Subjective and Objective Financial Literacy, Opinion Leadership, and the Use of 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Retail Banking Services.</w:t>
      </w:r>
      <w:r>
        <w:rPr>
          <w:rFonts w:ascii="URWPalladioL" w:hAnsi="URWPalladioL" w:eastAsia="URWPalladioL"/>
          <w:b w:val="0"/>
          <w:i/>
          <w:color w:val="000000"/>
          <w:sz w:val="18"/>
        </w:rPr>
        <w:t>International Journal of Bank Marketing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 36: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784–804.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[</w:t>
      </w:r>
      <w:r>
        <w:rPr>
          <w:rFonts w:ascii="URWPalladioL" w:hAnsi="URWPalladioL" w:eastAsia="URWPalladioL"/>
          <w:b w:val="0"/>
          <w:i w:val="0"/>
          <w:color w:val="0875B7"/>
          <w:sz w:val="18"/>
        </w:rPr>
        <w:hyperlink r:id="rId57" w:history="1">
          <w:r>
            <w:rPr>
              <w:rStyle w:val="Hyperlink"/>
            </w:rPr>
            <w:t>CrossRef</w:t>
          </w:r>
        </w:hyperlink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] </w:t>
      </w:r>
      <w:r>
        <w:br/>
      </w:r>
      <w:r>
        <w:rPr>
          <w:w w:val="98.62537384033203"/>
          <w:rFonts w:ascii="URWPalladioL" w:hAnsi="URWPalladioL" w:eastAsia="URWPalladioL"/>
          <w:b w:val="0"/>
          <w:i w:val="0"/>
          <w:color w:val="000000"/>
          <w:sz w:val="18"/>
        </w:rPr>
        <w:t>Netemeyer, Richard G., Dee Warmath, Daniel Fernandes, and John G. Lynch Jr.</w:t>
      </w:r>
      <w:r>
        <w:rPr>
          <w:w w:val="98.62537384033203"/>
          <w:rFonts w:ascii="URWPalladioL" w:hAnsi="URWPalladioL" w:eastAsia="URWPalladioL"/>
          <w:b w:val="0"/>
          <w:i w:val="0"/>
          <w:color w:val="000000"/>
          <w:sz w:val="18"/>
        </w:rPr>
        <w:t>2018.</w:t>
      </w:r>
      <w:r>
        <w:rPr>
          <w:w w:val="98.62537384033203"/>
          <w:rFonts w:ascii="URWPalladioL" w:hAnsi="URWPalladioL" w:eastAsia="URWPalladioL"/>
          <w:b w:val="0"/>
          <w:i w:val="0"/>
          <w:color w:val="000000"/>
          <w:sz w:val="18"/>
        </w:rPr>
        <w:t>How Am I Doing?</w:t>
      </w:r>
      <w:r>
        <w:rPr>
          <w:w w:val="98.62537384033203"/>
          <w:rFonts w:ascii="URWPalladioL" w:hAnsi="URWPalladioL" w:eastAsia="URWPalladioL"/>
          <w:b w:val="0"/>
          <w:i w:val="0"/>
          <w:color w:val="000000"/>
          <w:sz w:val="18"/>
        </w:rPr>
        <w:t xml:space="preserve">Perceived Financial Well-Being, 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Its Potential Antecedents, and Its Relation to Overall Well-Being.</w:t>
      </w:r>
      <w:r>
        <w:rPr>
          <w:rFonts w:ascii="URWPalladioL" w:hAnsi="URWPalladioL" w:eastAsia="URWPalladioL"/>
          <w:b w:val="0"/>
          <w:i/>
          <w:color w:val="000000"/>
          <w:sz w:val="18"/>
        </w:rPr>
        <w:t>Journal of Consumer Research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 45: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68–89.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[</w:t>
      </w:r>
      <w:r>
        <w:rPr>
          <w:rFonts w:ascii="URWPalladioL" w:hAnsi="URWPalladioL" w:eastAsia="URWPalladioL"/>
          <w:b w:val="0"/>
          <w:i w:val="0"/>
          <w:color w:val="0875B7"/>
          <w:sz w:val="18"/>
        </w:rPr>
        <w:hyperlink r:id="rId58" w:history="1">
          <w:r>
            <w:rPr>
              <w:rStyle w:val="Hyperlink"/>
            </w:rPr>
            <w:t>CrossRef</w:t>
          </w:r>
        </w:hyperlink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] 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OECD. 2013.</w:t>
      </w:r>
      <w:r>
        <w:rPr>
          <w:rFonts w:ascii="URWPalladioL" w:hAnsi="URWPalladioL" w:eastAsia="URWPalladioL"/>
          <w:b w:val="0"/>
          <w:i/>
          <w:color w:val="000000"/>
          <w:sz w:val="18"/>
        </w:rPr>
        <w:t>OECD Framework for Statistics on the Distribution of Household Income, Consumption and Wealth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Paris: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OECD Publishing.</w:t>
      </w:r>
    </w:p>
    <w:p>
      <w:pPr>
        <w:autoSpaceDN w:val="0"/>
        <w:tabs>
          <w:tab w:pos="430" w:val="left"/>
          <w:tab w:pos="436" w:val="left"/>
        </w:tabs>
        <w:autoSpaceDE w:val="0"/>
        <w:widowControl/>
        <w:spacing w:line="230" w:lineRule="exact" w:before="0" w:after="0"/>
        <w:ind w:left="0" w:right="0" w:firstLine="0"/>
        <w:jc w:val="left"/>
      </w:pP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[</w:t>
      </w:r>
      <w:r>
        <w:rPr>
          <w:rFonts w:ascii="URWPalladioL" w:hAnsi="URWPalladioL" w:eastAsia="URWPalladioL"/>
          <w:b w:val="0"/>
          <w:i w:val="0"/>
          <w:color w:val="0875B7"/>
          <w:sz w:val="18"/>
        </w:rPr>
        <w:hyperlink r:id="rId59" w:history="1">
          <w:r>
            <w:rPr>
              <w:rStyle w:val="Hyperlink"/>
            </w:rPr>
            <w:t>CrossRef</w:t>
          </w:r>
        </w:hyperlink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] </w:t>
      </w:r>
      <w:r>
        <w:br/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Ouachani, Sonia, Olfa Belhassine, and Aïda Kammoun.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2021.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Measuring Financial Literacy: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A Literature Review.</w:t>
      </w:r>
      <w:r>
        <w:rPr>
          <w:rFonts w:ascii="URWPalladioL" w:hAnsi="URWPalladioL" w:eastAsia="URWPalladioL"/>
          <w:b w:val="0"/>
          <w:i/>
          <w:color w:val="000000"/>
          <w:sz w:val="18"/>
        </w:rPr>
        <w:t xml:space="preserve">Managerial Finance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47: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266–81.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[</w:t>
      </w:r>
      <w:r>
        <w:rPr>
          <w:rFonts w:ascii="URWPalladioL" w:hAnsi="URWPalladioL" w:eastAsia="URWPalladioL"/>
          <w:b w:val="0"/>
          <w:i w:val="0"/>
          <w:color w:val="0875B7"/>
          <w:sz w:val="18"/>
        </w:rPr>
        <w:hyperlink r:id="rId60" w:history="1">
          <w:r>
            <w:rPr>
              <w:rStyle w:val="Hyperlink"/>
            </w:rPr>
            <w:t>CrossRef</w:t>
          </w:r>
        </w:hyperlink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] </w:t>
      </w:r>
      <w:r>
        <w:br/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Park, Ji Eun, Jun Yu, and Joyce Xin Zhou.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2010.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Consumer Innovativeness and Shopping Styles.</w:t>
      </w:r>
      <w:r>
        <w:rPr>
          <w:rFonts w:ascii="URWPalladioL" w:hAnsi="URWPalladioL" w:eastAsia="URWPalladioL"/>
          <w:b w:val="0"/>
          <w:i/>
          <w:color w:val="000000"/>
          <w:sz w:val="18"/>
        </w:rPr>
        <w:t>Journal of Consumer Marketing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 27: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437–46.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[</w:t>
      </w:r>
      <w:r>
        <w:rPr>
          <w:rFonts w:ascii="URWPalladioL" w:hAnsi="URWPalladioL" w:eastAsia="URWPalladioL"/>
          <w:b w:val="0"/>
          <w:i w:val="0"/>
          <w:color w:val="0875B7"/>
          <w:sz w:val="18"/>
        </w:rPr>
        <w:hyperlink r:id="rId61" w:history="1">
          <w:r>
            <w:rPr>
              <w:rStyle w:val="Hyperlink"/>
            </w:rPr>
            <w:t>CrossRef</w:t>
          </w:r>
        </w:hyperlink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] </w:t>
      </w:r>
      <w:r>
        <w:br/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Rapkin, Bruce D., and Douglas A. Luke.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1993.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Cluster Analysis in Community Research: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Epistemology and Practice.</w:t>
      </w:r>
      <w:r>
        <w:rPr>
          <w:rFonts w:ascii="URWPalladioL" w:hAnsi="URWPalladioL" w:eastAsia="URWPalladioL"/>
          <w:b w:val="0"/>
          <w:i/>
          <w:color w:val="000000"/>
          <w:sz w:val="18"/>
        </w:rPr>
        <w:t xml:space="preserve">American Journal </w:t>
      </w:r>
      <w:r>
        <w:tab/>
      </w:r>
      <w:r>
        <w:rPr>
          <w:rFonts w:ascii="URWPalladioL" w:hAnsi="URWPalladioL" w:eastAsia="URWPalladioL"/>
          <w:b w:val="0"/>
          <w:i/>
          <w:color w:val="000000"/>
          <w:sz w:val="18"/>
        </w:rPr>
        <w:t>of Community Psychology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 21: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247–77.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[</w:t>
      </w:r>
      <w:r>
        <w:rPr>
          <w:rFonts w:ascii="URWPalladioL" w:hAnsi="URWPalladioL" w:eastAsia="URWPalladioL"/>
          <w:b w:val="0"/>
          <w:i w:val="0"/>
          <w:color w:val="0875B7"/>
          <w:sz w:val="18"/>
        </w:rPr>
        <w:hyperlink r:id="rId62" w:history="1">
          <w:r>
            <w:rPr>
              <w:rStyle w:val="Hyperlink"/>
            </w:rPr>
            <w:t>CrossRef</w:t>
          </w:r>
        </w:hyperlink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] </w:t>
      </w:r>
      <w:r>
        <w:br/>
      </w:r>
      <w:r>
        <w:rPr>
          <w:w w:val="98.92681969536675"/>
          <w:rFonts w:ascii="URWPalladioL" w:hAnsi="URWPalladioL" w:eastAsia="URWPalladioL"/>
          <w:b w:val="0"/>
          <w:i w:val="0"/>
          <w:color w:val="000000"/>
          <w:sz w:val="18"/>
        </w:rPr>
        <w:t>Remund, David L. 2010.</w:t>
      </w:r>
      <w:r>
        <w:rPr>
          <w:w w:val="98.92681969536675"/>
          <w:rFonts w:ascii="URWPalladioL" w:hAnsi="URWPalladioL" w:eastAsia="URWPalladioL"/>
          <w:b w:val="0"/>
          <w:i w:val="0"/>
          <w:color w:val="000000"/>
          <w:sz w:val="18"/>
        </w:rPr>
        <w:t>Financial Literacy Explicated:</w:t>
      </w:r>
      <w:r>
        <w:rPr>
          <w:w w:val="98.92681969536675"/>
          <w:rFonts w:ascii="URWPalladioL" w:hAnsi="URWPalladioL" w:eastAsia="URWPalladioL"/>
          <w:b w:val="0"/>
          <w:i w:val="0"/>
          <w:color w:val="000000"/>
          <w:sz w:val="18"/>
        </w:rPr>
        <w:t>The Case for a Clearer Definition in an Increasingly Complex Economy.</w:t>
      </w:r>
      <w:r>
        <w:rPr>
          <w:w w:val="98.92681969536675"/>
          <w:rFonts w:ascii="URWPalladioL" w:hAnsi="URWPalladioL" w:eastAsia="URWPalladioL"/>
          <w:b w:val="0"/>
          <w:i/>
          <w:color w:val="000000"/>
          <w:sz w:val="18"/>
        </w:rPr>
        <w:t xml:space="preserve">Journal </w:t>
      </w:r>
      <w:r>
        <w:tab/>
      </w:r>
      <w:r>
        <w:rPr>
          <w:rFonts w:ascii="URWPalladioL" w:hAnsi="URWPalladioL" w:eastAsia="URWPalladioL"/>
          <w:b w:val="0"/>
          <w:i/>
          <w:color w:val="000000"/>
          <w:sz w:val="18"/>
        </w:rPr>
        <w:t>of Consumer Affairs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 44: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276.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[</w:t>
      </w:r>
      <w:r>
        <w:rPr>
          <w:rFonts w:ascii="URWPalladioL" w:hAnsi="URWPalladioL" w:eastAsia="URWPalladioL"/>
          <w:b w:val="0"/>
          <w:i w:val="0"/>
          <w:color w:val="0875B7"/>
          <w:sz w:val="18"/>
        </w:rPr>
        <w:hyperlink r:id="rId63" w:history="1">
          <w:r>
            <w:rPr>
              <w:rStyle w:val="Hyperlink"/>
            </w:rPr>
            <w:t>CrossRef</w:t>
          </w:r>
        </w:hyperlink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] </w:t>
      </w:r>
      <w:r>
        <w:br/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Richins, Marsha.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1994.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Special Possessions and the Expression of Material Values.</w:t>
      </w:r>
      <w:r>
        <w:rPr>
          <w:rFonts w:ascii="URWPalladioL" w:hAnsi="URWPalladioL" w:eastAsia="URWPalladioL"/>
          <w:b w:val="0"/>
          <w:i/>
          <w:color w:val="000000"/>
          <w:sz w:val="18"/>
        </w:rPr>
        <w:t>Journal of Consumer Research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 21: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522–33.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[</w:t>
      </w:r>
      <w:r>
        <w:rPr>
          <w:rFonts w:ascii="URWPalladioL" w:hAnsi="URWPalladioL" w:eastAsia="URWPalladioL"/>
          <w:b w:val="0"/>
          <w:i w:val="0"/>
          <w:color w:val="0875B7"/>
          <w:sz w:val="18"/>
        </w:rPr>
        <w:hyperlink r:id="rId64" w:history="1">
          <w:r>
            <w:rPr>
              <w:rStyle w:val="Hyperlink"/>
            </w:rPr>
            <w:t>CrossRef</w:t>
          </w:r>
        </w:hyperlink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] 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Richins, Marsha.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1999.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Material Values.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In</w:t>
      </w:r>
      <w:r>
        <w:rPr>
          <w:rFonts w:ascii="URWPalladioL" w:hAnsi="URWPalladioL" w:eastAsia="URWPalladioL"/>
          <w:b w:val="0"/>
          <w:i/>
          <w:color w:val="000000"/>
          <w:sz w:val="18"/>
        </w:rPr>
        <w:t xml:space="preserve"> The Elgar Companion to Consumer Research and Economic Psychology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Northampton: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Elgar,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pp. 374–80.</w:t>
      </w:r>
    </w:p>
    <w:p>
      <w:pPr>
        <w:autoSpaceDN w:val="0"/>
        <w:autoSpaceDE w:val="0"/>
        <w:widowControl/>
        <w:spacing w:line="178" w:lineRule="exact" w:before="52" w:after="0"/>
        <w:ind w:left="0" w:right="0" w:firstLine="0"/>
        <w:jc w:val="center"/>
      </w:pPr>
      <w:r>
        <w:rPr>
          <w:w w:val="98.67567486233182"/>
          <w:rFonts w:ascii="URWPalladioL" w:hAnsi="URWPalladioL" w:eastAsia="URWPalladioL"/>
          <w:b w:val="0"/>
          <w:i w:val="0"/>
          <w:color w:val="000000"/>
          <w:sz w:val="18"/>
        </w:rPr>
        <w:t>Richins, Marsha.</w:t>
      </w:r>
      <w:r>
        <w:rPr>
          <w:w w:val="98.67567486233182"/>
          <w:rFonts w:ascii="URWPalladioL" w:hAnsi="URWPalladioL" w:eastAsia="URWPalladioL"/>
          <w:b w:val="0"/>
          <w:i w:val="0"/>
          <w:color w:val="000000"/>
          <w:sz w:val="18"/>
        </w:rPr>
        <w:t>2004.</w:t>
      </w:r>
      <w:r>
        <w:rPr>
          <w:w w:val="98.67567486233182"/>
          <w:rFonts w:ascii="URWPalladioL" w:hAnsi="URWPalladioL" w:eastAsia="URWPalladioL"/>
          <w:b w:val="0"/>
          <w:i w:val="0"/>
          <w:color w:val="000000"/>
          <w:sz w:val="18"/>
        </w:rPr>
        <w:t>The Material Values Scale:</w:t>
      </w:r>
      <w:r>
        <w:rPr>
          <w:w w:val="98.67567486233182"/>
          <w:rFonts w:ascii="URWPalladioL" w:hAnsi="URWPalladioL" w:eastAsia="URWPalladioL"/>
          <w:b w:val="0"/>
          <w:i w:val="0"/>
          <w:color w:val="000000"/>
          <w:sz w:val="18"/>
        </w:rPr>
        <w:t>A Re-Inquiry into Its Measurement Properties and the Development of a Short Form.</w:t>
      </w:r>
    </w:p>
    <w:p>
      <w:pPr>
        <w:autoSpaceDN w:val="0"/>
        <w:tabs>
          <w:tab w:pos="436" w:val="left"/>
        </w:tabs>
        <w:autoSpaceDE w:val="0"/>
        <w:widowControl/>
        <w:spacing w:line="230" w:lineRule="exact" w:before="0" w:after="0"/>
        <w:ind w:left="0" w:right="0" w:firstLine="0"/>
        <w:jc w:val="left"/>
      </w:pPr>
      <w:r>
        <w:rPr>
          <w:rFonts w:ascii="URWPalladioL" w:hAnsi="URWPalladioL" w:eastAsia="URWPalladioL"/>
          <w:b w:val="0"/>
          <w:i/>
          <w:color w:val="000000"/>
          <w:sz w:val="18"/>
        </w:rPr>
        <w:t>Journal of Consumer Research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 31: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209–19.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[</w:t>
      </w:r>
      <w:r>
        <w:rPr>
          <w:rFonts w:ascii="URWPalladioL" w:hAnsi="URWPalladioL" w:eastAsia="URWPalladioL"/>
          <w:b w:val="0"/>
          <w:i w:val="0"/>
          <w:color w:val="0875B7"/>
          <w:sz w:val="18"/>
        </w:rPr>
        <w:hyperlink r:id="rId65" w:history="1">
          <w:r>
            <w:rPr>
              <w:rStyle w:val="Hyperlink"/>
            </w:rPr>
            <w:t>CrossRef</w:t>
          </w:r>
        </w:hyperlink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] </w:t>
      </w:r>
      <w:r>
        <w:br/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Richins, Marsha, and Scott Dawson.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1992.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A Consumer Values Orientation for Materialism and Its Measurement: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Scale Development 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and Validation.</w:t>
      </w:r>
      <w:r>
        <w:rPr>
          <w:rFonts w:ascii="URWPalladioL" w:hAnsi="URWPalladioL" w:eastAsia="URWPalladioL"/>
          <w:b w:val="0"/>
          <w:i/>
          <w:color w:val="000000"/>
          <w:sz w:val="18"/>
        </w:rPr>
        <w:t>Journal of Consumer Research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 19: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303–16.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[</w:t>
      </w:r>
      <w:r>
        <w:rPr>
          <w:rFonts w:ascii="URWPalladioL" w:hAnsi="URWPalladioL" w:eastAsia="URWPalladioL"/>
          <w:b w:val="0"/>
          <w:i w:val="0"/>
          <w:color w:val="0875B7"/>
          <w:sz w:val="18"/>
        </w:rPr>
        <w:hyperlink r:id="rId66" w:history="1">
          <w:r>
            <w:rPr>
              <w:rStyle w:val="Hyperlink"/>
            </w:rPr>
            <w:t>CrossRef</w:t>
          </w:r>
        </w:hyperlink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] </w:t>
      </w:r>
      <w:r>
        <w:br/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Rokeach, Milton.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1968.</w:t>
      </w:r>
      <w:r>
        <w:rPr>
          <w:rFonts w:ascii="URWPalladioL" w:hAnsi="URWPalladioL" w:eastAsia="URWPalladioL"/>
          <w:b w:val="0"/>
          <w:i/>
          <w:color w:val="000000"/>
          <w:sz w:val="18"/>
        </w:rPr>
        <w:t>Beliefs, Attitudes, and Values:</w:t>
      </w:r>
      <w:r>
        <w:rPr>
          <w:rFonts w:ascii="URWPalladioL" w:hAnsi="URWPalladioL" w:eastAsia="URWPalladioL"/>
          <w:b w:val="0"/>
          <w:i/>
          <w:color w:val="000000"/>
          <w:sz w:val="18"/>
        </w:rPr>
        <w:t>A Theory of Organization and Change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San Francisco: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Jossey-Bass.</w:t>
      </w:r>
    </w:p>
    <w:p>
      <w:pPr>
        <w:autoSpaceDN w:val="0"/>
        <w:autoSpaceDE w:val="0"/>
        <w:widowControl/>
        <w:spacing w:line="184" w:lineRule="exact" w:before="48" w:after="0"/>
        <w:ind w:left="0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18"/>
        </w:rPr>
        <w:t>Rokeach, Milton.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1973.</w:t>
      </w:r>
      <w:r>
        <w:rPr>
          <w:rFonts w:ascii="URWPalladioL" w:hAnsi="URWPalladioL" w:eastAsia="URWPalladioL"/>
          <w:b w:val="0"/>
          <w:i/>
          <w:color w:val="000000"/>
          <w:sz w:val="18"/>
        </w:rPr>
        <w:t>The Nature of Human Values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New York: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Free Press.</w:t>
      </w:r>
    </w:p>
    <w:p>
      <w:pPr>
        <w:autoSpaceDN w:val="0"/>
        <w:tabs>
          <w:tab w:pos="436" w:val="left"/>
        </w:tabs>
        <w:autoSpaceDE w:val="0"/>
        <w:widowControl/>
        <w:spacing w:line="230" w:lineRule="exact" w:before="0" w:after="0"/>
        <w:ind w:left="0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18"/>
        </w:rPr>
        <w:t>Royse, David, Michele Staton-Tindall, Karen Badger, and J. Matthew Webster.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2009.</w:t>
      </w:r>
      <w:r>
        <w:rPr>
          <w:rFonts w:ascii="URWPalladioL" w:hAnsi="URWPalladioL" w:eastAsia="URWPalladioL"/>
          <w:b w:val="0"/>
          <w:i/>
          <w:color w:val="000000"/>
          <w:sz w:val="18"/>
        </w:rPr>
        <w:t>Needs Assessment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New York: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Oxford University 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Press, ISBN 9780195368789.</w:t>
      </w:r>
    </w:p>
    <w:p>
      <w:pPr>
        <w:autoSpaceDN w:val="0"/>
        <w:tabs>
          <w:tab w:pos="430" w:val="left"/>
          <w:tab w:pos="436" w:val="left"/>
        </w:tabs>
        <w:autoSpaceDE w:val="0"/>
        <w:widowControl/>
        <w:spacing w:line="230" w:lineRule="exact" w:before="0" w:after="0"/>
        <w:ind w:left="0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18"/>
        </w:rPr>
        <w:t>Sauve, Andre Lemieux G. 1999.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Values of Senior Citizens Enrolled in a University Curricula Versus Those Who Are Not.</w:t>
      </w:r>
      <w:r>
        <w:rPr>
          <w:rFonts w:ascii="URWPalladioL" w:hAnsi="URWPalladioL" w:eastAsia="URWPalladioL"/>
          <w:b w:val="0"/>
          <w:i/>
          <w:color w:val="000000"/>
          <w:sz w:val="18"/>
        </w:rPr>
        <w:t xml:space="preserve">Educational </w:t>
      </w:r>
      <w:r>
        <w:tab/>
      </w:r>
      <w:r>
        <w:rPr>
          <w:rFonts w:ascii="URWPalladioL" w:hAnsi="URWPalladioL" w:eastAsia="URWPalladioL"/>
          <w:b w:val="0"/>
          <w:i/>
          <w:color w:val="000000"/>
          <w:sz w:val="18"/>
        </w:rPr>
        <w:t>Gerontology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 25: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67–88.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[</w:t>
      </w:r>
      <w:r>
        <w:rPr>
          <w:rFonts w:ascii="URWPalladioL" w:hAnsi="URWPalladioL" w:eastAsia="URWPalladioL"/>
          <w:b w:val="0"/>
          <w:i w:val="0"/>
          <w:color w:val="0875B7"/>
          <w:sz w:val="18"/>
        </w:rPr>
        <w:hyperlink r:id="rId67" w:history="1">
          <w:r>
            <w:rPr>
              <w:rStyle w:val="Hyperlink"/>
            </w:rPr>
            <w:t>CrossRef</w:t>
          </w:r>
        </w:hyperlink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] </w:t>
      </w:r>
      <w:r>
        <w:br/>
      </w:r>
      <w:r>
        <w:rPr>
          <w:w w:val="98.77621332804361"/>
          <w:rFonts w:ascii="URWPalladioL" w:hAnsi="URWPalladioL" w:eastAsia="URWPalladioL"/>
          <w:b w:val="0"/>
          <w:i w:val="0"/>
          <w:color w:val="000000"/>
          <w:sz w:val="18"/>
        </w:rPr>
        <w:t>Schomerus, Georg, and Matthias C. Angermeyer.</w:t>
      </w:r>
      <w:r>
        <w:rPr>
          <w:w w:val="98.77621332804361"/>
          <w:rFonts w:ascii="URWPalladioL" w:hAnsi="URWPalladioL" w:eastAsia="URWPalladioL"/>
          <w:b w:val="0"/>
          <w:i w:val="0"/>
          <w:color w:val="000000"/>
          <w:sz w:val="18"/>
        </w:rPr>
        <w:t>2021.</w:t>
      </w:r>
      <w:r>
        <w:rPr>
          <w:w w:val="98.77621332804361"/>
          <w:rFonts w:ascii="URWPalladioL" w:hAnsi="URWPalladioL" w:eastAsia="URWPalladioL"/>
          <w:b w:val="0"/>
          <w:i w:val="0"/>
          <w:color w:val="000000"/>
          <w:sz w:val="18"/>
        </w:rPr>
        <w:t>Blind Spots in Stigma Research?</w:t>
      </w:r>
      <w:r>
        <w:rPr>
          <w:w w:val="98.77621332804361"/>
          <w:rFonts w:ascii="URWPalladioL" w:hAnsi="URWPalladioL" w:eastAsia="URWPalladioL"/>
          <w:b w:val="0"/>
          <w:i w:val="0"/>
          <w:color w:val="000000"/>
          <w:sz w:val="18"/>
        </w:rPr>
        <w:t xml:space="preserve">Broadening Our Perspective on Mental Illness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Stigma by Exploring “What Matters Most” in Modern Western Societies.</w:t>
      </w:r>
      <w:r>
        <w:rPr>
          <w:rFonts w:ascii="URWPalladioL" w:hAnsi="URWPalladioL" w:eastAsia="URWPalladioL"/>
          <w:b w:val="0"/>
          <w:i/>
          <w:color w:val="000000"/>
          <w:sz w:val="18"/>
        </w:rPr>
        <w:t>Epidemiology and Psychiatric Sciences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 30: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1–6.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[</w:t>
      </w:r>
      <w:r>
        <w:rPr>
          <w:rFonts w:ascii="URWPalladioL" w:hAnsi="URWPalladioL" w:eastAsia="URWPalladioL"/>
          <w:b w:val="0"/>
          <w:i w:val="0"/>
          <w:color w:val="0875B7"/>
          <w:sz w:val="18"/>
        </w:rPr>
        <w:hyperlink r:id="rId68" w:history="1">
          <w:r>
            <w:rPr>
              <w:rStyle w:val="Hyperlink"/>
            </w:rPr>
            <w:t>CrossRef</w:t>
          </w:r>
        </w:hyperlink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] </w:t>
      </w:r>
      <w:r>
        <w:rPr>
          <w:w w:val="98.62537384033203"/>
          <w:rFonts w:ascii="URWPalladioL" w:hAnsi="URWPalladioL" w:eastAsia="URWPalladioL"/>
          <w:b w:val="0"/>
          <w:i w:val="0"/>
          <w:color w:val="000000"/>
          <w:sz w:val="18"/>
        </w:rPr>
        <w:t>Schwartz, Shalom H. 1992.</w:t>
      </w:r>
      <w:r>
        <w:rPr>
          <w:w w:val="98.62537384033203"/>
          <w:rFonts w:ascii="URWPalladioL" w:hAnsi="URWPalladioL" w:eastAsia="URWPalladioL"/>
          <w:b w:val="0"/>
          <w:i w:val="0"/>
          <w:color w:val="000000"/>
          <w:sz w:val="18"/>
        </w:rPr>
        <w:t>Universals in the Content and Structure of Values: Theoretical Advances and Empirical Tests in 20 Countries.</w:t>
      </w:r>
    </w:p>
    <w:p>
      <w:pPr>
        <w:autoSpaceDN w:val="0"/>
        <w:tabs>
          <w:tab w:pos="428" w:val="left"/>
          <w:tab w:pos="436" w:val="left"/>
        </w:tabs>
        <w:autoSpaceDE w:val="0"/>
        <w:widowControl/>
        <w:spacing w:line="230" w:lineRule="exact" w:before="0" w:after="0"/>
        <w:ind w:left="0" w:right="0" w:firstLine="0"/>
        <w:jc w:val="left"/>
      </w:pP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In</w:t>
      </w:r>
      <w:r>
        <w:rPr>
          <w:rFonts w:ascii="URWPalladioL" w:hAnsi="URWPalladioL" w:eastAsia="URWPalladioL"/>
          <w:b w:val="0"/>
          <w:i/>
          <w:color w:val="000000"/>
          <w:sz w:val="18"/>
        </w:rPr>
        <w:t xml:space="preserve"> Advances in Experimental Social Psychology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San Diego: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Academic Press, vol.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25, pp.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1–65.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[</w:t>
      </w:r>
      <w:r>
        <w:rPr>
          <w:rFonts w:ascii="URWPalladioL" w:hAnsi="URWPalladioL" w:eastAsia="URWPalladioL"/>
          <w:b w:val="0"/>
          <w:i w:val="0"/>
          <w:color w:val="0875B7"/>
          <w:sz w:val="18"/>
        </w:rPr>
        <w:hyperlink r:id="rId69" w:history="1">
          <w:r>
            <w:rPr>
              <w:rStyle w:val="Hyperlink"/>
            </w:rPr>
            <w:t>CrossRef</w:t>
          </w:r>
        </w:hyperlink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] </w:t>
      </w:r>
      <w:r>
        <w:br/>
      </w:r>
      <w:r>
        <w:rPr>
          <w:w w:val="98.77621332804361"/>
          <w:rFonts w:ascii="URWPalladioL" w:hAnsi="URWPalladioL" w:eastAsia="URWPalladioL"/>
          <w:b w:val="0"/>
          <w:i w:val="0"/>
          <w:color w:val="000000"/>
          <w:sz w:val="18"/>
        </w:rPr>
        <w:t>Schwartz, Shalom H. 2005.</w:t>
      </w:r>
      <w:r>
        <w:rPr>
          <w:w w:val="98.77621332804361"/>
          <w:rFonts w:ascii="URWPalladioL" w:hAnsi="URWPalladioL" w:eastAsia="URWPalladioL"/>
          <w:b w:val="0"/>
          <w:i w:val="0"/>
          <w:color w:val="000000"/>
          <w:sz w:val="18"/>
        </w:rPr>
        <w:t>Robustness and Fruitfulness of a Theory of Universals in Individual Values.</w:t>
      </w:r>
      <w:r>
        <w:rPr>
          <w:w w:val="98.77621332804361"/>
          <w:rFonts w:ascii="URWPalladioL" w:hAnsi="URWPalladioL" w:eastAsia="URWPalladioL"/>
          <w:b w:val="0"/>
          <w:i w:val="0"/>
          <w:color w:val="000000"/>
          <w:sz w:val="18"/>
        </w:rPr>
        <w:t>In</w:t>
      </w:r>
      <w:r>
        <w:rPr>
          <w:w w:val="98.77621332804361"/>
          <w:rFonts w:ascii="URWPalladioL" w:hAnsi="URWPalladioL" w:eastAsia="URWPalladioL"/>
          <w:b w:val="0"/>
          <w:i/>
          <w:color w:val="000000"/>
          <w:sz w:val="18"/>
        </w:rPr>
        <w:t xml:space="preserve"> Valores e Trabalho (Values and </w:t>
      </w:r>
      <w:r>
        <w:tab/>
      </w:r>
      <w:r>
        <w:rPr>
          <w:rFonts w:ascii="URWPalladioL" w:hAnsi="URWPalladioL" w:eastAsia="URWPalladioL"/>
          <w:b w:val="0"/>
          <w:i/>
          <w:color w:val="000000"/>
          <w:sz w:val="18"/>
        </w:rPr>
        <w:t>Work)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Edited by A. Tamayo and J. Porto.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Brasilia: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Editora Universidade de Brasilia.</w:t>
      </w:r>
    </w:p>
    <w:p>
      <w:pPr>
        <w:autoSpaceDN w:val="0"/>
        <w:tabs>
          <w:tab w:pos="432" w:val="left"/>
          <w:tab w:pos="436" w:val="left"/>
        </w:tabs>
        <w:autoSpaceDE w:val="0"/>
        <w:widowControl/>
        <w:spacing w:line="230" w:lineRule="exact" w:before="0" w:after="0"/>
        <w:ind w:left="0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18"/>
        </w:rPr>
        <w:t>Schwartz, Shalom H., and Wolfgang Bilsky.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1987.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Toward a Universal Psychological Structure of Human Values.</w:t>
      </w:r>
      <w:r>
        <w:rPr>
          <w:rFonts w:ascii="URWPalladioL" w:hAnsi="URWPalladioL" w:eastAsia="URWPalladioL"/>
          <w:b w:val="0"/>
          <w:i/>
          <w:color w:val="000000"/>
          <w:sz w:val="18"/>
        </w:rPr>
        <w:t xml:space="preserve">Journal of Personality </w:t>
      </w:r>
      <w:r>
        <w:tab/>
      </w:r>
      <w:r>
        <w:rPr>
          <w:rFonts w:ascii="URWPalladioL" w:hAnsi="URWPalladioL" w:eastAsia="URWPalladioL"/>
          <w:b w:val="0"/>
          <w:i/>
          <w:color w:val="000000"/>
          <w:sz w:val="18"/>
        </w:rPr>
        <w:t>and Social Psychology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 53: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550–62.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[</w:t>
      </w:r>
      <w:r>
        <w:rPr>
          <w:rFonts w:ascii="URWPalladioL" w:hAnsi="URWPalladioL" w:eastAsia="URWPalladioL"/>
          <w:b w:val="0"/>
          <w:i w:val="0"/>
          <w:color w:val="0875B7"/>
          <w:sz w:val="18"/>
        </w:rPr>
        <w:hyperlink r:id="rId70" w:history="1">
          <w:r>
            <w:rPr>
              <w:rStyle w:val="Hyperlink"/>
            </w:rPr>
            <w:t>CrossRef</w:t>
          </w:r>
        </w:hyperlink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] </w:t>
      </w:r>
      <w:r>
        <w:br/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Schwartz, Shalom H., and Wolfgang Bilsky.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1990.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Toward a Theory of the Universal Content and Structure of Values: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Extensions and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Cross-Cultural Replications.</w:t>
      </w:r>
      <w:r>
        <w:rPr>
          <w:rFonts w:ascii="URWPalladioL" w:hAnsi="URWPalladioL" w:eastAsia="URWPalladioL"/>
          <w:b w:val="0"/>
          <w:i/>
          <w:color w:val="000000"/>
          <w:sz w:val="18"/>
        </w:rPr>
        <w:t>Journal of Personality and Social Psychology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 58: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878–91.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[</w:t>
      </w:r>
      <w:r>
        <w:rPr>
          <w:rFonts w:ascii="URWPalladioL" w:hAnsi="URWPalladioL" w:eastAsia="URWPalladioL"/>
          <w:b w:val="0"/>
          <w:i w:val="0"/>
          <w:color w:val="0875B7"/>
          <w:sz w:val="18"/>
        </w:rPr>
        <w:hyperlink r:id="rId71" w:history="1">
          <w:r>
            <w:rPr>
              <w:rStyle w:val="Hyperlink"/>
            </w:rPr>
            <w:t>CrossRef</w:t>
          </w:r>
        </w:hyperlink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] </w:t>
      </w:r>
      <w:r>
        <w:br/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Sheskin, David.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2011.</w:t>
      </w:r>
      <w:r>
        <w:rPr>
          <w:rFonts w:ascii="URWPalladioL" w:hAnsi="URWPalladioL" w:eastAsia="URWPalladioL"/>
          <w:b w:val="0"/>
          <w:i/>
          <w:color w:val="000000"/>
          <w:sz w:val="18"/>
        </w:rPr>
        <w:t>Handbook of Parametric and Nonparametric Statistical Procedures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, 5th ed.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Boca Raton: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Chapman &amp; Hall/CRC. 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Sirgy, M. Joseph.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2018.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The Psychology of Material Well-Being.</w:t>
      </w:r>
      <w:r>
        <w:rPr>
          <w:rFonts w:ascii="URWPalladioL" w:hAnsi="URWPalladioL" w:eastAsia="URWPalladioL"/>
          <w:b w:val="0"/>
          <w:i/>
          <w:color w:val="000000"/>
          <w:sz w:val="18"/>
        </w:rPr>
        <w:t>Applied Research in Quality of Life:</w:t>
      </w:r>
      <w:r>
        <w:rPr>
          <w:rFonts w:ascii="URWPalladioL" w:hAnsi="URWPalladioL" w:eastAsia="URWPalladioL"/>
          <w:b w:val="0"/>
          <w:i/>
          <w:color w:val="000000"/>
          <w:sz w:val="18"/>
        </w:rPr>
        <w:t xml:space="preserve">The Official Journal of the International </w:t>
      </w:r>
      <w:r>
        <w:rPr>
          <w:rFonts w:ascii="URWPalladioL" w:hAnsi="URWPalladioL" w:eastAsia="URWPalladioL"/>
          <w:b w:val="0"/>
          <w:i/>
          <w:color w:val="000000"/>
          <w:sz w:val="18"/>
        </w:rPr>
        <w:t>Society for Quality-of-Life Studies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 13: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273.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[</w:t>
      </w:r>
      <w:r>
        <w:rPr>
          <w:rFonts w:ascii="URWPalladioL" w:hAnsi="URWPalladioL" w:eastAsia="URWPalladioL"/>
          <w:b w:val="0"/>
          <w:i w:val="0"/>
          <w:color w:val="0875B7"/>
          <w:sz w:val="18"/>
        </w:rPr>
        <w:hyperlink r:id="rId72" w:history="1">
          <w:r>
            <w:rPr>
              <w:rStyle w:val="Hyperlink"/>
            </w:rPr>
            <w:t>CrossRef</w:t>
          </w:r>
        </w:hyperlink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] </w:t>
      </w:r>
      <w:r>
        <w:br/>
      </w:r>
      <w:r>
        <w:rPr>
          <w:rFonts w:ascii="URWPalladioL" w:hAnsi="URWPalladioL" w:eastAsia="URWPalladioL"/>
          <w:b w:val="0"/>
          <w:i/>
          <w:color w:val="000000"/>
          <w:sz w:val="18"/>
        </w:rPr>
        <w:t>Social Survey Project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2018.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Online.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Olomouc: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ITTS s.r.o.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Available online:</w:t>
      </w:r>
      <w:r>
        <w:rPr>
          <w:rFonts w:ascii="URWPalladioL" w:hAnsi="URWPalladioL" w:eastAsia="URWPalladioL"/>
          <w:b w:val="0"/>
          <w:i w:val="0"/>
          <w:color w:val="0875B7"/>
          <w:sz w:val="18"/>
        </w:rPr>
        <w:hyperlink r:id="rId73" w:history="1">
          <w:r>
            <w:rPr>
              <w:rStyle w:val="Hyperlink"/>
            </w:rPr>
            <w:t>https://www.socialsurvey.eu/</w:t>
          </w:r>
        </w:hyperlink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 (accessed on 16 May 2021).</w:t>
      </w:r>
    </w:p>
    <w:p>
      <w:pPr>
        <w:sectPr>
          <w:pgSz w:w="11906" w:h="16838"/>
          <w:pgMar w:top="538" w:right="668" w:bottom="780" w:left="7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5261"/>
        <w:gridCol w:w="5261"/>
      </w:tblGrid>
      <w:tr>
        <w:trPr>
          <w:trHeight w:hRule="exact" w:val="272"/>
        </w:trPr>
        <w:tc>
          <w:tcPr>
            <w:tcW w:type="dxa" w:w="554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0" w:after="0"/>
              <w:ind w:left="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/>
                <w:color w:val="000000"/>
                <w:sz w:val="16"/>
              </w:rPr>
              <w:t>Risks</w:t>
            </w:r>
            <w:r>
              <w:rPr>
                <w:rFonts w:ascii="URWPalladioL" w:hAnsi="URWPalladioL" w:eastAsia="URWPalladioL"/>
                <w:b/>
                <w:i w:val="0"/>
                <w:color w:val="000000"/>
                <w:sz w:val="16"/>
              </w:rPr>
              <w:t xml:space="preserve"> 2021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,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6"/>
              </w:rPr>
              <w:t xml:space="preserve"> 9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, 205</w:t>
            </w:r>
          </w:p>
        </w:tc>
        <w:tc>
          <w:tcPr>
            <w:tcW w:type="dxa" w:w="493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" w:after="0"/>
              <w:ind w:left="0" w:right="4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24 of 24</w:t>
            </w:r>
          </w:p>
        </w:tc>
      </w:tr>
    </w:tbl>
    <w:p>
      <w:pPr>
        <w:autoSpaceDN w:val="0"/>
        <w:tabs>
          <w:tab w:pos="436" w:val="left"/>
        </w:tabs>
        <w:autoSpaceDE w:val="0"/>
        <w:widowControl/>
        <w:spacing w:line="230" w:lineRule="exact" w:before="582" w:after="0"/>
        <w:ind w:left="0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18"/>
        </w:rPr>
        <w:t>Song, Yongming, and Yi Peng.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2019.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A MCDM-Based Evaluation Approach for Imbalanced Classification Methods in Financial Risk 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Prediction.</w:t>
      </w:r>
      <w:r>
        <w:rPr>
          <w:rFonts w:ascii="URWPalladioL" w:hAnsi="URWPalladioL" w:eastAsia="URWPalladioL"/>
          <w:b w:val="0"/>
          <w:i/>
          <w:color w:val="000000"/>
          <w:sz w:val="18"/>
        </w:rPr>
        <w:t>IEEE Access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 7: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84897–906.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[</w:t>
      </w:r>
      <w:r>
        <w:rPr>
          <w:rFonts w:ascii="URWPalladioL" w:hAnsi="URWPalladioL" w:eastAsia="URWPalladioL"/>
          <w:b w:val="0"/>
          <w:i w:val="0"/>
          <w:color w:val="0875B7"/>
          <w:sz w:val="18"/>
        </w:rPr>
        <w:hyperlink r:id="rId74" w:history="1">
          <w:r>
            <w:rPr>
              <w:rStyle w:val="Hyperlink"/>
            </w:rPr>
            <w:t>CrossRef</w:t>
          </w:r>
        </w:hyperlink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] </w:t>
      </w:r>
      <w:r>
        <w:br/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Spranger, Eduard.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1921.</w:t>
      </w:r>
      <w:r>
        <w:rPr>
          <w:rFonts w:ascii="URWPalladioL" w:hAnsi="URWPalladioL" w:eastAsia="URWPalladioL"/>
          <w:b w:val="0"/>
          <w:i/>
          <w:color w:val="000000"/>
          <w:sz w:val="18"/>
        </w:rPr>
        <w:t>Lebensformen.</w:t>
      </w:r>
      <w:r>
        <w:rPr>
          <w:rFonts w:ascii="URWPalladioL" w:hAnsi="URWPalladioL" w:eastAsia="URWPalladioL"/>
          <w:b w:val="0"/>
          <w:i/>
          <w:color w:val="000000"/>
          <w:sz w:val="18"/>
        </w:rPr>
        <w:t>Geisteswissenschaftliche Psychologie und Ethik der Persönlichkeit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Halle: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M. Niemeyer. </w:t>
      </w:r>
      <w:r>
        <w:rPr>
          <w:w w:val="98.92681969536675"/>
          <w:rFonts w:ascii="URWPalladioL" w:hAnsi="URWPalladioL" w:eastAsia="URWPalladioL"/>
          <w:b w:val="0"/>
          <w:i w:val="0"/>
          <w:color w:val="000000"/>
          <w:sz w:val="18"/>
        </w:rPr>
        <w:t>Strömbäck, Camilla, Th</w:t>
      </w:r>
      <w:r>
        <w:rPr>
          <w:w w:val="98.92681969536675"/>
          <w:rFonts w:ascii="VnURWPalladioL" w:hAnsi="VnURWPalladioL" w:eastAsia="VnURWPalladioL"/>
          <w:b w:val="0"/>
          <w:i w:val="0"/>
          <w:color w:val="000000"/>
          <w:sz w:val="18"/>
        </w:rPr>
        <w:t>é</w:t>
      </w:r>
      <w:r>
        <w:rPr>
          <w:w w:val="98.92681969536675"/>
          <w:rFonts w:ascii="URWPalladioL" w:hAnsi="URWPalladioL" w:eastAsia="URWPalladioL"/>
          <w:b w:val="0"/>
          <w:i w:val="0"/>
          <w:color w:val="000000"/>
          <w:sz w:val="18"/>
        </w:rPr>
        <w:t>r</w:t>
      </w:r>
      <w:r>
        <w:rPr>
          <w:w w:val="98.92681969536675"/>
          <w:rFonts w:ascii="VnURWPalladioL" w:hAnsi="VnURWPalladioL" w:eastAsia="VnURWPalladioL"/>
          <w:b w:val="0"/>
          <w:i w:val="0"/>
          <w:color w:val="000000"/>
          <w:sz w:val="18"/>
        </w:rPr>
        <w:t>è</w:t>
      </w:r>
      <w:r>
        <w:rPr>
          <w:w w:val="98.92681969536675"/>
          <w:rFonts w:ascii="URWPalladioL" w:hAnsi="URWPalladioL" w:eastAsia="URWPalladioL"/>
          <w:b w:val="0"/>
          <w:i w:val="0"/>
          <w:color w:val="000000"/>
          <w:sz w:val="18"/>
        </w:rPr>
        <w:t>se Lind, Kenny Skagerlund, Daniel Västfjäll, and Gustav Tinghög.</w:t>
      </w:r>
      <w:r>
        <w:rPr>
          <w:w w:val="98.92681969536675"/>
          <w:rFonts w:ascii="URWPalladioL" w:hAnsi="URWPalladioL" w:eastAsia="URWPalladioL"/>
          <w:b w:val="0"/>
          <w:i w:val="0"/>
          <w:color w:val="000000"/>
          <w:sz w:val="18"/>
        </w:rPr>
        <w:t>2017.</w:t>
      </w:r>
      <w:r>
        <w:rPr>
          <w:w w:val="98.92681969536675"/>
          <w:rFonts w:ascii="URWPalladioL" w:hAnsi="URWPalladioL" w:eastAsia="URWPalladioL"/>
          <w:b w:val="0"/>
          <w:i w:val="0"/>
          <w:color w:val="000000"/>
          <w:sz w:val="18"/>
        </w:rPr>
        <w:t xml:space="preserve">Does Self-Control Predict Financial 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Behavior and Financial Well-Being?</w:t>
      </w:r>
      <w:r>
        <w:rPr>
          <w:rFonts w:ascii="URWPalladioL" w:hAnsi="URWPalladioL" w:eastAsia="URWPalladioL"/>
          <w:b w:val="0"/>
          <w:i/>
          <w:color w:val="000000"/>
          <w:sz w:val="18"/>
        </w:rPr>
        <w:t>Journal of Behavioral and Experimental Finance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 14: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30–38.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[</w:t>
      </w:r>
      <w:r>
        <w:rPr>
          <w:rFonts w:ascii="URWPalladioL" w:hAnsi="URWPalladioL" w:eastAsia="URWPalladioL"/>
          <w:b w:val="0"/>
          <w:i w:val="0"/>
          <w:color w:val="0875B7"/>
          <w:sz w:val="18"/>
        </w:rPr>
        <w:hyperlink r:id="rId75" w:history="1">
          <w:r>
            <w:rPr>
              <w:rStyle w:val="Hyperlink"/>
            </w:rPr>
            <w:t>CrossRef</w:t>
          </w:r>
        </w:hyperlink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] </w:t>
      </w:r>
      <w:r>
        <w:br/>
      </w:r>
      <w:r>
        <w:rPr>
          <w:w w:val="98.725954691569"/>
          <w:rFonts w:ascii="URWPalladioL" w:hAnsi="URWPalladioL" w:eastAsia="URWPalladioL"/>
          <w:b w:val="0"/>
          <w:i w:val="0"/>
          <w:color w:val="000000"/>
          <w:sz w:val="18"/>
        </w:rPr>
        <w:t>Taagepera, Rein.</w:t>
      </w:r>
      <w:r>
        <w:rPr>
          <w:w w:val="98.725954691569"/>
          <w:rFonts w:ascii="URWPalladioL" w:hAnsi="URWPalladioL" w:eastAsia="URWPalladioL"/>
          <w:b w:val="0"/>
          <w:i w:val="0"/>
          <w:color w:val="000000"/>
          <w:sz w:val="18"/>
        </w:rPr>
        <w:t>2008.</w:t>
      </w:r>
      <w:r>
        <w:rPr>
          <w:w w:val="98.725954691569"/>
          <w:rFonts w:ascii="URWPalladioL" w:hAnsi="URWPalladioL" w:eastAsia="URWPalladioL"/>
          <w:b w:val="0"/>
          <w:i/>
          <w:color w:val="000000"/>
          <w:sz w:val="18"/>
        </w:rPr>
        <w:t>Making Social Sciences More Scientific:</w:t>
      </w:r>
      <w:r>
        <w:rPr>
          <w:w w:val="98.725954691569"/>
          <w:rFonts w:ascii="URWPalladioL" w:hAnsi="URWPalladioL" w:eastAsia="URWPalladioL"/>
          <w:b w:val="0"/>
          <w:i/>
          <w:color w:val="000000"/>
          <w:sz w:val="18"/>
        </w:rPr>
        <w:t>The Need for Predictive Models</w:t>
      </w:r>
      <w:r>
        <w:rPr>
          <w:w w:val="98.725954691569"/>
          <w:rFonts w:ascii="URWPalladioL" w:hAnsi="URWPalladioL" w:eastAsia="URWPalladioL"/>
          <w:b w:val="0"/>
          <w:i w:val="0"/>
          <w:color w:val="000000"/>
          <w:sz w:val="18"/>
        </w:rPr>
        <w:t>.</w:t>
      </w:r>
      <w:r>
        <w:rPr>
          <w:w w:val="98.725954691569"/>
          <w:rFonts w:ascii="URWPalladioL" w:hAnsi="URWPalladioL" w:eastAsia="URWPalladioL"/>
          <w:b w:val="0"/>
          <w:i w:val="0"/>
          <w:color w:val="000000"/>
          <w:sz w:val="18"/>
        </w:rPr>
        <w:t>Oxford:</w:t>
      </w:r>
      <w:r>
        <w:rPr>
          <w:w w:val="98.725954691569"/>
          <w:rFonts w:ascii="URWPalladioL" w:hAnsi="URWPalladioL" w:eastAsia="URWPalladioL"/>
          <w:b w:val="0"/>
          <w:i w:val="0"/>
          <w:color w:val="000000"/>
          <w:sz w:val="18"/>
        </w:rPr>
        <w:t>Oxford University Press.</w:t>
      </w:r>
      <w:r>
        <w:rPr>
          <w:w w:val="98.725954691569"/>
          <w:rFonts w:ascii="URWPalladioL" w:hAnsi="URWPalladioL" w:eastAsia="URWPalladioL"/>
          <w:b w:val="0"/>
          <w:i w:val="0"/>
          <w:color w:val="000000"/>
          <w:sz w:val="18"/>
        </w:rPr>
        <w:t>[</w:t>
      </w:r>
      <w:r>
        <w:rPr>
          <w:w w:val="98.725954691569"/>
          <w:rFonts w:ascii="URWPalladioL" w:hAnsi="URWPalladioL" w:eastAsia="URWPalladioL"/>
          <w:b w:val="0"/>
          <w:i w:val="0"/>
          <w:color w:val="0875B7"/>
          <w:sz w:val="18"/>
        </w:rPr>
        <w:hyperlink r:id="rId76" w:history="1">
          <w:r>
            <w:rPr>
              <w:rStyle w:val="Hyperlink"/>
            </w:rPr>
            <w:t>CrossRef</w:t>
          </w:r>
        </w:hyperlink>
      </w:r>
      <w:r>
        <w:rPr>
          <w:w w:val="98.725954691569"/>
          <w:rFonts w:ascii="URWPalladioL" w:hAnsi="URWPalladioL" w:eastAsia="URWPalladioL"/>
          <w:b w:val="0"/>
          <w:i w:val="0"/>
          <w:color w:val="000000"/>
          <w:sz w:val="18"/>
        </w:rPr>
        <w:t xml:space="preserve">] 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Taft, Marzieh, Zare Hosein, and Seyyed Mehrizi.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2013.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The Relation between Financial Literacy, Financial Wellbeing and Financial 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Concerns.</w:t>
      </w:r>
      <w:r>
        <w:rPr>
          <w:rFonts w:ascii="URWPalladioL" w:hAnsi="URWPalladioL" w:eastAsia="URWPalladioL"/>
          <w:b w:val="0"/>
          <w:i/>
          <w:color w:val="000000"/>
          <w:sz w:val="18"/>
        </w:rPr>
        <w:t>International Journal of Business and Management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 8: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63–75.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[</w:t>
      </w:r>
      <w:r>
        <w:rPr>
          <w:rFonts w:ascii="URWPalladioL" w:hAnsi="URWPalladioL" w:eastAsia="URWPalladioL"/>
          <w:b w:val="0"/>
          <w:i w:val="0"/>
          <w:color w:val="0875B7"/>
          <w:sz w:val="18"/>
        </w:rPr>
        <w:hyperlink r:id="rId77" w:history="1">
          <w:r>
            <w:rPr>
              <w:rStyle w:val="Hyperlink"/>
            </w:rPr>
            <w:t>CrossRef</w:t>
          </w:r>
        </w:hyperlink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] </w:t>
      </w:r>
      <w:r>
        <w:br/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Tahiri Jouti, Ahmed.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2018.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Islamic Finance: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Financial Inclusion or Migration?</w:t>
      </w:r>
      <w:r>
        <w:rPr>
          <w:rFonts w:ascii="URWPalladioL" w:hAnsi="URWPalladioL" w:eastAsia="URWPalladioL"/>
          <w:b w:val="0"/>
          <w:i/>
          <w:color w:val="000000"/>
          <w:sz w:val="18"/>
        </w:rPr>
        <w:t>ISRA International Journal of Islamic Finance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 10: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277–88.</w:t>
      </w:r>
    </w:p>
    <w:p>
      <w:pPr>
        <w:autoSpaceDN w:val="0"/>
        <w:autoSpaceDE w:val="0"/>
        <w:widowControl/>
        <w:spacing w:line="230" w:lineRule="exact" w:before="0" w:after="0"/>
        <w:ind w:left="0" w:right="0" w:firstLine="436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18"/>
        </w:rPr>
        <w:t>[</w:t>
      </w:r>
      <w:r>
        <w:rPr>
          <w:rFonts w:ascii="URWPalladioL" w:hAnsi="URWPalladioL" w:eastAsia="URWPalladioL"/>
          <w:b w:val="0"/>
          <w:i w:val="0"/>
          <w:color w:val="0875B7"/>
          <w:sz w:val="18"/>
        </w:rPr>
        <w:hyperlink r:id="rId78" w:history="1">
          <w:r>
            <w:rPr>
              <w:rStyle w:val="Hyperlink"/>
            </w:rPr>
            <w:t>CrossRef</w:t>
          </w:r>
        </w:hyperlink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] </w:t>
      </w:r>
      <w:r>
        <w:br/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Tang, Thomas Li-ping.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1992.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The Meaning of Money Revisited.</w:t>
      </w:r>
      <w:r>
        <w:rPr>
          <w:rFonts w:ascii="URWPalladioL" w:hAnsi="URWPalladioL" w:eastAsia="URWPalladioL"/>
          <w:b w:val="0"/>
          <w:i/>
          <w:color w:val="000000"/>
          <w:sz w:val="18"/>
        </w:rPr>
        <w:t>Journal of Organizational Behavior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 13: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197–202.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[</w:t>
      </w:r>
      <w:r>
        <w:rPr>
          <w:rFonts w:ascii="URWPalladioL" w:hAnsi="URWPalladioL" w:eastAsia="URWPalladioL"/>
          <w:b w:val="0"/>
          <w:i w:val="0"/>
          <w:color w:val="0875B7"/>
          <w:sz w:val="18"/>
        </w:rPr>
        <w:hyperlink r:id="rId79" w:history="1">
          <w:r>
            <w:rPr>
              <w:rStyle w:val="Hyperlink"/>
            </w:rPr>
            <w:t>CrossRef</w:t>
          </w:r>
        </w:hyperlink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] 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Taylor, Mark.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2011.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Measuring Financial Capability and Its Determinants Using Survey Data.</w:t>
      </w:r>
      <w:r>
        <w:rPr>
          <w:rFonts w:ascii="URWPalladioL" w:hAnsi="URWPalladioL" w:eastAsia="URWPalladioL"/>
          <w:b w:val="0"/>
          <w:i/>
          <w:color w:val="000000"/>
          <w:sz w:val="18"/>
        </w:rPr>
        <w:t>Social Indicators Research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 102: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297–314.</w:t>
      </w:r>
    </w:p>
    <w:p>
      <w:pPr>
        <w:autoSpaceDN w:val="0"/>
        <w:tabs>
          <w:tab w:pos="432" w:val="left"/>
          <w:tab w:pos="436" w:val="left"/>
        </w:tabs>
        <w:autoSpaceDE w:val="0"/>
        <w:widowControl/>
        <w:spacing w:line="230" w:lineRule="exact" w:before="0" w:after="0"/>
        <w:ind w:left="0" w:right="0" w:firstLine="0"/>
        <w:jc w:val="left"/>
      </w:pP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[</w:t>
      </w:r>
      <w:r>
        <w:rPr>
          <w:rFonts w:ascii="URWPalladioL" w:hAnsi="URWPalladioL" w:eastAsia="URWPalladioL"/>
          <w:b w:val="0"/>
          <w:i w:val="0"/>
          <w:color w:val="0875B7"/>
          <w:sz w:val="18"/>
        </w:rPr>
        <w:hyperlink r:id="rId80" w:history="1">
          <w:r>
            <w:rPr>
              <w:rStyle w:val="Hyperlink"/>
            </w:rPr>
            <w:t>CrossRef</w:t>
          </w:r>
        </w:hyperlink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] </w:t>
      </w:r>
      <w:r>
        <w:br/>
      </w:r>
      <w:r>
        <w:rPr>
          <w:w w:val="98.62537384033203"/>
          <w:rFonts w:ascii="URWPalladioL" w:hAnsi="URWPalladioL" w:eastAsia="URWPalladioL"/>
          <w:b w:val="0"/>
          <w:i w:val="0"/>
          <w:color w:val="000000"/>
          <w:sz w:val="18"/>
        </w:rPr>
        <w:t>Vacul</w:t>
      </w:r>
      <w:r>
        <w:rPr>
          <w:w w:val="98.62537384033203"/>
          <w:rFonts w:ascii="VnURWPalladioL" w:hAnsi="VnURWPalladioL" w:eastAsia="VnURWPalladioL"/>
          <w:b w:val="0"/>
          <w:i w:val="0"/>
          <w:color w:val="000000"/>
          <w:sz w:val="18"/>
        </w:rPr>
        <w:t>í</w:t>
      </w:r>
      <w:r>
        <w:rPr>
          <w:w w:val="98.62537384033203"/>
          <w:rFonts w:ascii="URWPalladioL" w:hAnsi="URWPalladioL" w:eastAsia="URWPalladioL"/>
          <w:b w:val="0"/>
          <w:i w:val="0"/>
          <w:color w:val="000000"/>
          <w:sz w:val="18"/>
        </w:rPr>
        <w:t>k, Martin, Jakub Proch</w:t>
      </w:r>
      <w:r>
        <w:rPr>
          <w:w w:val="98.62537384033203"/>
          <w:rFonts w:ascii="VnURWPalladioL" w:hAnsi="VnURWPalladioL" w:eastAsia="VnURWPalladioL"/>
          <w:b w:val="0"/>
          <w:i w:val="0"/>
          <w:color w:val="000000"/>
          <w:sz w:val="18"/>
        </w:rPr>
        <w:t>á</w:t>
      </w:r>
      <w:r>
        <w:rPr>
          <w:w w:val="98.62537384033203"/>
          <w:rFonts w:ascii="URWPalladioL" w:hAnsi="URWPalladioL" w:eastAsia="URWPalladioL"/>
          <w:b w:val="0"/>
          <w:i w:val="0"/>
          <w:color w:val="000000"/>
          <w:sz w:val="18"/>
        </w:rPr>
        <w:t>zka, and Petr Kveton.</w:t>
      </w:r>
      <w:r>
        <w:rPr>
          <w:w w:val="98.62537384033203"/>
          <w:rFonts w:ascii="URWPalladioL" w:hAnsi="URWPalladioL" w:eastAsia="URWPalladioL"/>
          <w:b w:val="0"/>
          <w:i w:val="0"/>
          <w:color w:val="000000"/>
          <w:sz w:val="18"/>
        </w:rPr>
        <w:t>2007.</w:t>
      </w:r>
      <w:r>
        <w:rPr>
          <w:w w:val="98.62537384033203"/>
          <w:rFonts w:ascii="URWPalladioL" w:hAnsi="URWPalladioL" w:eastAsia="URWPalladioL"/>
          <w:b w:val="0"/>
          <w:i w:val="0"/>
          <w:color w:val="000000"/>
          <w:sz w:val="18"/>
        </w:rPr>
        <w:t xml:space="preserve">The Relation Between Prosocial Behavior and Demanding Prosocial Behavior. </w:t>
      </w:r>
      <w:r>
        <w:rPr>
          <w:rFonts w:ascii="URWPalladioL" w:hAnsi="URWPalladioL" w:eastAsia="URWPalladioL"/>
          <w:b w:val="0"/>
          <w:i/>
          <w:color w:val="000000"/>
          <w:sz w:val="18"/>
        </w:rPr>
        <w:t>Studia Psychologica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 49: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157–66.</w:t>
      </w:r>
    </w:p>
    <w:p>
      <w:pPr>
        <w:autoSpaceDN w:val="0"/>
        <w:tabs>
          <w:tab w:pos="432" w:val="left"/>
        </w:tabs>
        <w:autoSpaceDE w:val="0"/>
        <w:widowControl/>
        <w:spacing w:line="230" w:lineRule="exact" w:before="0" w:after="0"/>
        <w:ind w:left="0" w:right="0" w:firstLine="0"/>
        <w:jc w:val="left"/>
      </w:pPr>
      <w:r>
        <w:rPr>
          <w:w w:val="98.87664582994249"/>
          <w:rFonts w:ascii="URWPalladioL" w:hAnsi="URWPalladioL" w:eastAsia="URWPalladioL"/>
          <w:b w:val="0"/>
          <w:i w:val="0"/>
          <w:color w:val="000000"/>
          <w:sz w:val="18"/>
        </w:rPr>
        <w:t>van Raaij, W. Fred.</w:t>
      </w:r>
      <w:r>
        <w:rPr>
          <w:w w:val="98.87664582994249"/>
          <w:rFonts w:ascii="URWPalladioL" w:hAnsi="URWPalladioL" w:eastAsia="URWPalladioL"/>
          <w:b w:val="0"/>
          <w:i w:val="0"/>
          <w:color w:val="000000"/>
          <w:sz w:val="18"/>
        </w:rPr>
        <w:t>2016.</w:t>
      </w:r>
      <w:r>
        <w:rPr>
          <w:w w:val="98.87664582994249"/>
          <w:rFonts w:ascii="URWPalladioL" w:hAnsi="URWPalladioL" w:eastAsia="URWPalladioL"/>
          <w:b w:val="0"/>
          <w:i w:val="0"/>
          <w:color w:val="000000"/>
          <w:sz w:val="18"/>
        </w:rPr>
        <w:t>Responsible Financial Behavior.</w:t>
      </w:r>
      <w:r>
        <w:rPr>
          <w:w w:val="98.87664582994249"/>
          <w:rFonts w:ascii="URWPalladioL" w:hAnsi="URWPalladioL" w:eastAsia="URWPalladioL"/>
          <w:b w:val="0"/>
          <w:i w:val="0"/>
          <w:color w:val="000000"/>
          <w:sz w:val="18"/>
        </w:rPr>
        <w:t>In</w:t>
      </w:r>
      <w:r>
        <w:rPr>
          <w:w w:val="98.87664582994249"/>
          <w:rFonts w:ascii="URWPalladioL" w:hAnsi="URWPalladioL" w:eastAsia="URWPalladioL"/>
          <w:b w:val="0"/>
          <w:i/>
          <w:color w:val="000000"/>
          <w:sz w:val="18"/>
        </w:rPr>
        <w:t xml:space="preserve"> Understanding Consumer Financial Behavior:</w:t>
      </w:r>
      <w:r>
        <w:rPr>
          <w:w w:val="98.87664582994249"/>
          <w:rFonts w:ascii="URWPalladioL" w:hAnsi="URWPalladioL" w:eastAsia="URWPalladioL"/>
          <w:b w:val="0"/>
          <w:i/>
          <w:color w:val="000000"/>
          <w:sz w:val="18"/>
        </w:rPr>
        <w:t xml:space="preserve">Money Management in an Age of </w:t>
      </w:r>
      <w:r>
        <w:rPr>
          <w:rFonts w:ascii="URWPalladioL" w:hAnsi="URWPalladioL" w:eastAsia="URWPalladioL"/>
          <w:b w:val="0"/>
          <w:i/>
          <w:color w:val="000000"/>
          <w:sz w:val="18"/>
        </w:rPr>
        <w:t>Financial Illiteracy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Edited by W. Fred van Raaij.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New York: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Palgrave Macmillan US, pp.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127–41.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[</w:t>
      </w:r>
      <w:r>
        <w:rPr>
          <w:rFonts w:ascii="URWPalladioL" w:hAnsi="URWPalladioL" w:eastAsia="URWPalladioL"/>
          <w:b w:val="0"/>
          <w:i w:val="0"/>
          <w:color w:val="0875B7"/>
          <w:sz w:val="18"/>
        </w:rPr>
        <w:hyperlink r:id="rId81" w:history="1">
          <w:r>
            <w:rPr>
              <w:rStyle w:val="Hyperlink"/>
            </w:rPr>
            <w:t>CrossRef</w:t>
          </w:r>
        </w:hyperlink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] </w:t>
      </w:r>
      <w:r>
        <w:br/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von Mises, Ludwig.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1998.</w:t>
      </w:r>
      <w:r>
        <w:rPr>
          <w:rFonts w:ascii="URWPalladioL" w:hAnsi="URWPalladioL" w:eastAsia="URWPalladioL"/>
          <w:b w:val="0"/>
          <w:i/>
          <w:color w:val="000000"/>
          <w:sz w:val="18"/>
        </w:rPr>
        <w:t>Human Action:</w:t>
      </w:r>
      <w:r>
        <w:rPr>
          <w:rFonts w:ascii="URWPalladioL" w:hAnsi="URWPalladioL" w:eastAsia="URWPalladioL"/>
          <w:b w:val="0"/>
          <w:i/>
          <w:color w:val="000000"/>
          <w:sz w:val="18"/>
        </w:rPr>
        <w:t>A Treatise on Economics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Alabama: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The Ludwig von Mises Institute.</w:t>
      </w:r>
    </w:p>
    <w:p>
      <w:pPr>
        <w:autoSpaceDN w:val="0"/>
        <w:tabs>
          <w:tab w:pos="430" w:val="left"/>
          <w:tab w:pos="436" w:val="left"/>
        </w:tabs>
        <w:autoSpaceDE w:val="0"/>
        <w:widowControl/>
        <w:spacing w:line="230" w:lineRule="exact" w:before="0" w:after="0"/>
        <w:ind w:left="0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18"/>
        </w:rPr>
        <w:t>Vural,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Gamze,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and Aichetou Beichar.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2020.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The Relationship between Financial Literacy and Individual Financial Decisions: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An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Explaratory Study.</w:t>
      </w:r>
      <w:r>
        <w:rPr>
          <w:rFonts w:ascii="URWPalladioL" w:hAnsi="URWPalladioL" w:eastAsia="URWPalladioL"/>
          <w:b w:val="0"/>
          <w:i/>
          <w:color w:val="000000"/>
          <w:sz w:val="18"/>
        </w:rPr>
        <w:t>Finansal Okuryazarlik ve Bireysel Finansal Kararlar Arasindaki Ili¸ski Üzerine Ke¸sifsel Bir Çali¸sma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 29: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243–58. 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Wang, Minfang.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2020.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Financial Risk Prediction Model of International Trade Enterprises of Marine Transportation.</w:t>
      </w:r>
      <w:r>
        <w:rPr>
          <w:rFonts w:ascii="URWPalladioL" w:hAnsi="URWPalladioL" w:eastAsia="URWPalladioL"/>
          <w:b w:val="0"/>
          <w:i/>
          <w:color w:val="000000"/>
          <w:sz w:val="18"/>
        </w:rPr>
        <w:t xml:space="preserve">Journal of Coastal </w:t>
      </w:r>
      <w:r>
        <w:tab/>
      </w:r>
      <w:r>
        <w:rPr>
          <w:rFonts w:ascii="URWPalladioL" w:hAnsi="URWPalladioL" w:eastAsia="URWPalladioL"/>
          <w:b w:val="0"/>
          <w:i/>
          <w:color w:val="000000"/>
          <w:sz w:val="18"/>
        </w:rPr>
        <w:t>Research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 103: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173–76.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[</w:t>
      </w:r>
      <w:r>
        <w:rPr>
          <w:rFonts w:ascii="URWPalladioL" w:hAnsi="URWPalladioL" w:eastAsia="URWPalladioL"/>
          <w:b w:val="0"/>
          <w:i w:val="0"/>
          <w:color w:val="0875B7"/>
          <w:sz w:val="18"/>
        </w:rPr>
        <w:hyperlink r:id="rId82" w:history="1">
          <w:r>
            <w:rPr>
              <w:rStyle w:val="Hyperlink"/>
            </w:rPr>
            <w:t>CrossRef</w:t>
          </w:r>
        </w:hyperlink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] </w:t>
      </w:r>
      <w:r>
        <w:br/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Williams, Oliver J., and Stephen E. Satchell.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2011.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Social Welfare Issues of Financial Literacy and Their Implications for Regulation.</w:t>
      </w:r>
    </w:p>
    <w:p>
      <w:pPr>
        <w:autoSpaceDN w:val="0"/>
        <w:tabs>
          <w:tab w:pos="430" w:val="left"/>
          <w:tab w:pos="436" w:val="left"/>
        </w:tabs>
        <w:autoSpaceDE w:val="0"/>
        <w:widowControl/>
        <w:spacing w:line="230" w:lineRule="exact" w:before="0" w:after="0"/>
        <w:ind w:left="0" w:right="0" w:firstLine="0"/>
        <w:jc w:val="left"/>
      </w:pPr>
      <w:r>
        <w:tab/>
      </w:r>
      <w:r>
        <w:rPr>
          <w:rFonts w:ascii="URWPalladioL" w:hAnsi="URWPalladioL" w:eastAsia="URWPalladioL"/>
          <w:b w:val="0"/>
          <w:i/>
          <w:color w:val="000000"/>
          <w:sz w:val="18"/>
        </w:rPr>
        <w:t>Journal of Regulatory Economics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 40: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1–40.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[</w:t>
      </w:r>
      <w:r>
        <w:rPr>
          <w:rFonts w:ascii="URWPalladioL" w:hAnsi="URWPalladioL" w:eastAsia="URWPalladioL"/>
          <w:b w:val="0"/>
          <w:i w:val="0"/>
          <w:color w:val="0875B7"/>
          <w:sz w:val="18"/>
        </w:rPr>
        <w:hyperlink r:id="rId83" w:history="1">
          <w:r>
            <w:rPr>
              <w:rStyle w:val="Hyperlink"/>
            </w:rPr>
            <w:t>CrossRef</w:t>
          </w:r>
        </w:hyperlink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] </w:t>
      </w:r>
      <w:r>
        <w:br/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Xiao,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Jing J.,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M. J. Alhabeeb,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Gong-Soog Hong,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and George W. Haynes.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2001.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Attitude toward Risk and Risk-Taking Behavior of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Business-Owning Families.</w:t>
      </w:r>
      <w:r>
        <w:rPr>
          <w:rFonts w:ascii="URWPalladioL" w:hAnsi="URWPalladioL" w:eastAsia="URWPalladioL"/>
          <w:b w:val="0"/>
          <w:i/>
          <w:color w:val="000000"/>
          <w:sz w:val="18"/>
        </w:rPr>
        <w:t>Journal of Consumer Affairs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 35: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307–25.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[</w:t>
      </w:r>
      <w:r>
        <w:rPr>
          <w:rFonts w:ascii="URWPalladioL" w:hAnsi="URWPalladioL" w:eastAsia="URWPalladioL"/>
          <w:b w:val="0"/>
          <w:i w:val="0"/>
          <w:color w:val="0875B7"/>
          <w:sz w:val="18"/>
        </w:rPr>
        <w:hyperlink r:id="rId84" w:history="1">
          <w:r>
            <w:rPr>
              <w:rStyle w:val="Hyperlink"/>
            </w:rPr>
            <w:t>CrossRef</w:t>
          </w:r>
        </w:hyperlink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] </w:t>
      </w:r>
      <w:r>
        <w:br/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Xiao, Jing Jian, Cheng Chen, and Fuzhong Chen.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2014.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Consumer Financial Capability and Financial Satisfaction.</w:t>
      </w:r>
      <w:r>
        <w:rPr>
          <w:rFonts w:ascii="URWPalladioL" w:hAnsi="URWPalladioL" w:eastAsia="URWPalladioL"/>
          <w:b w:val="0"/>
          <w:i/>
          <w:color w:val="000000"/>
          <w:sz w:val="18"/>
        </w:rPr>
        <w:t xml:space="preserve">Social Indicators </w:t>
      </w:r>
      <w:r>
        <w:tab/>
      </w:r>
      <w:r>
        <w:rPr>
          <w:rFonts w:ascii="URWPalladioL" w:hAnsi="URWPalladioL" w:eastAsia="URWPalladioL"/>
          <w:b w:val="0"/>
          <w:i/>
          <w:color w:val="000000"/>
          <w:sz w:val="18"/>
        </w:rPr>
        <w:t>Research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 118: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415–32.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[</w:t>
      </w:r>
      <w:r>
        <w:rPr>
          <w:rFonts w:ascii="URWPalladioL" w:hAnsi="URWPalladioL" w:eastAsia="URWPalladioL"/>
          <w:b w:val="0"/>
          <w:i w:val="0"/>
          <w:color w:val="0875B7"/>
          <w:sz w:val="18"/>
        </w:rPr>
        <w:hyperlink r:id="rId85" w:history="1">
          <w:r>
            <w:rPr>
              <w:rStyle w:val="Hyperlink"/>
            </w:rPr>
            <w:t>CrossRef</w:t>
          </w:r>
        </w:hyperlink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] </w:t>
      </w:r>
      <w:r>
        <w:br/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Yamauchi, Kent T., and Donald J. Templer.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1982.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The Development of a Money Attitude Scale.</w:t>
      </w:r>
      <w:r>
        <w:rPr>
          <w:rFonts w:ascii="URWPalladioL" w:hAnsi="URWPalladioL" w:eastAsia="URWPalladioL"/>
          <w:b w:val="0"/>
          <w:i/>
          <w:color w:val="000000"/>
          <w:sz w:val="18"/>
        </w:rPr>
        <w:t>Journal of Personality Assessment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 46: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522–28.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[</w:t>
      </w:r>
      <w:r>
        <w:rPr>
          <w:rFonts w:ascii="URWPalladioL" w:hAnsi="URWPalladioL" w:eastAsia="URWPalladioL"/>
          <w:b w:val="0"/>
          <w:i w:val="0"/>
          <w:color w:val="0875B7"/>
          <w:sz w:val="18"/>
        </w:rPr>
        <w:hyperlink r:id="rId86" w:history="1">
          <w:r>
            <w:rPr>
              <w:rStyle w:val="Hyperlink"/>
            </w:rPr>
            <w:t>CrossRef</w:t>
          </w:r>
        </w:hyperlink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] [</w:t>
      </w:r>
      <w:r>
        <w:rPr>
          <w:rFonts w:ascii="URWPalladioL" w:hAnsi="URWPalladioL" w:eastAsia="URWPalladioL"/>
          <w:b w:val="0"/>
          <w:i w:val="0"/>
          <w:color w:val="0875B7"/>
          <w:sz w:val="18"/>
        </w:rPr>
        <w:hyperlink r:id="rId87" w:history="1">
          <w:r>
            <w:rPr>
              <w:rStyle w:val="Hyperlink"/>
            </w:rPr>
            <w:t>PubMed</w:t>
          </w:r>
        </w:hyperlink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] </w:t>
      </w:r>
      <w:r>
        <w:br/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Yao, Rui, Deanna L. Sharpe, and Feifei Wang.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2011.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Decomposing the Age Effect on Risk Tolerance.</w:t>
      </w:r>
      <w:r>
        <w:rPr>
          <w:rFonts w:ascii="URWPalladioL" w:hAnsi="URWPalladioL" w:eastAsia="URWPalladioL"/>
          <w:b w:val="0"/>
          <w:i/>
          <w:color w:val="000000"/>
          <w:sz w:val="18"/>
        </w:rPr>
        <w:t>The Journal of Socio-Economics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 40: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879–87.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[</w:t>
      </w:r>
      <w:r>
        <w:rPr>
          <w:rFonts w:ascii="URWPalladioL" w:hAnsi="URWPalladioL" w:eastAsia="URWPalladioL"/>
          <w:b w:val="0"/>
          <w:i w:val="0"/>
          <w:color w:val="0875B7"/>
          <w:sz w:val="18"/>
        </w:rPr>
        <w:hyperlink r:id="rId88" w:history="1">
          <w:r>
            <w:rPr>
              <w:rStyle w:val="Hyperlink"/>
            </w:rPr>
            <w:t>CrossRef</w:t>
          </w:r>
        </w:hyperlink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] </w:t>
      </w:r>
      <w:r>
        <w:br/>
      </w:r>
      <w:r>
        <w:rPr>
          <w:w w:val="98.62537384033203"/>
          <w:rFonts w:ascii="URWPalladioL" w:hAnsi="URWPalladioL" w:eastAsia="URWPalladioL"/>
          <w:b w:val="0"/>
          <w:i w:val="0"/>
          <w:color w:val="000000"/>
          <w:sz w:val="18"/>
        </w:rPr>
        <w:t>Yeh, Hsiang-Yuan, Yu-Ching Yeh, and Da-Bai Shen.</w:t>
      </w:r>
      <w:r>
        <w:rPr>
          <w:w w:val="98.62537384033203"/>
          <w:rFonts w:ascii="URWPalladioL" w:hAnsi="URWPalladioL" w:eastAsia="URWPalladioL"/>
          <w:b w:val="0"/>
          <w:i w:val="0"/>
          <w:color w:val="000000"/>
          <w:sz w:val="18"/>
        </w:rPr>
        <w:t>2020.</w:t>
      </w:r>
      <w:r>
        <w:rPr>
          <w:w w:val="98.62537384033203"/>
          <w:rFonts w:ascii="URWPalladioL" w:hAnsi="URWPalladioL" w:eastAsia="URWPalladioL"/>
          <w:b w:val="0"/>
          <w:i w:val="0"/>
          <w:color w:val="000000"/>
          <w:sz w:val="18"/>
        </w:rPr>
        <w:t>Word Vector Models Approach to Text Regression of Financial Risk Prediction.</w:t>
      </w:r>
    </w:p>
    <w:p>
      <w:pPr>
        <w:autoSpaceDN w:val="0"/>
        <w:tabs>
          <w:tab w:pos="432" w:val="left"/>
          <w:tab w:pos="436" w:val="left"/>
        </w:tabs>
        <w:autoSpaceDE w:val="0"/>
        <w:widowControl/>
        <w:spacing w:line="230" w:lineRule="exact" w:before="0" w:after="0"/>
        <w:ind w:left="0" w:right="0" w:firstLine="0"/>
        <w:jc w:val="left"/>
      </w:pPr>
      <w:r>
        <w:rPr>
          <w:rFonts w:ascii="URWPalladioL" w:hAnsi="URWPalladioL" w:eastAsia="URWPalladioL"/>
          <w:b w:val="0"/>
          <w:i/>
          <w:color w:val="000000"/>
          <w:sz w:val="18"/>
        </w:rPr>
        <w:t>Symmetry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 12: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89.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[</w:t>
      </w:r>
      <w:r>
        <w:rPr>
          <w:rFonts w:ascii="URWPalladioL" w:hAnsi="URWPalladioL" w:eastAsia="URWPalladioL"/>
          <w:b w:val="0"/>
          <w:i w:val="0"/>
          <w:color w:val="0875B7"/>
          <w:sz w:val="18"/>
        </w:rPr>
        <w:hyperlink r:id="rId89" w:history="1">
          <w:r>
            <w:rPr>
              <w:rStyle w:val="Hyperlink"/>
            </w:rPr>
            <w:t>CrossRef</w:t>
          </w:r>
        </w:hyperlink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] </w:t>
      </w:r>
      <w:r>
        <w:br/>
      </w:r>
      <w:r>
        <w:rPr>
          <w:w w:val="98.62537384033203"/>
          <w:rFonts w:ascii="URWPalladioL" w:hAnsi="URWPalladioL" w:eastAsia="URWPalladioL"/>
          <w:b w:val="0"/>
          <w:i w:val="0"/>
          <w:color w:val="000000"/>
          <w:sz w:val="18"/>
        </w:rPr>
        <w:t>Zatloukal, Leoš, Miloš Havl</w:t>
      </w:r>
      <w:r>
        <w:rPr>
          <w:w w:val="98.62537384033203"/>
          <w:rFonts w:ascii="VnURWPalladioL" w:hAnsi="VnURWPalladioL" w:eastAsia="VnURWPalladioL"/>
          <w:b w:val="0"/>
          <w:i w:val="0"/>
          <w:color w:val="000000"/>
          <w:sz w:val="18"/>
        </w:rPr>
        <w:t>í</w:t>
      </w:r>
      <w:r>
        <w:rPr>
          <w:w w:val="98.62537384033203"/>
          <w:rFonts w:ascii="URWPalladioL" w:hAnsi="URWPalladioL" w:eastAsia="URWPalladioL"/>
          <w:b w:val="0"/>
          <w:i w:val="0"/>
          <w:color w:val="000000"/>
          <w:sz w:val="18"/>
        </w:rPr>
        <w:t>k, Zdislav Doleˇcek, and Jaroslav Šotola. 2011. Komplexn</w:t>
      </w:r>
      <w:r>
        <w:rPr>
          <w:w w:val="98.62537384033203"/>
          <w:rFonts w:ascii="VnURWPalladioL" w:hAnsi="VnURWPalladioL" w:eastAsia="VnURWPalladioL"/>
          <w:b w:val="0"/>
          <w:i w:val="0"/>
          <w:color w:val="000000"/>
          <w:sz w:val="18"/>
        </w:rPr>
        <w:t>í</w:t>
      </w:r>
      <w:r>
        <w:rPr>
          <w:w w:val="98.62537384033203"/>
          <w:rFonts w:ascii="URWPalladioL" w:hAnsi="URWPalladioL" w:eastAsia="URWPalladioL"/>
          <w:b w:val="0"/>
          <w:i w:val="0"/>
          <w:color w:val="000000"/>
          <w:sz w:val="18"/>
        </w:rPr>
        <w:t xml:space="preserve"> Posuzov</w:t>
      </w:r>
      <w:r>
        <w:rPr>
          <w:w w:val="98.62537384033203"/>
          <w:rFonts w:ascii="VnURWPalladioL" w:hAnsi="VnURWPalladioL" w:eastAsia="VnURWPalladioL"/>
          <w:b w:val="0"/>
          <w:i w:val="0"/>
          <w:color w:val="000000"/>
          <w:sz w:val="18"/>
        </w:rPr>
        <w:t>á</w:t>
      </w:r>
      <w:r>
        <w:rPr>
          <w:w w:val="98.62537384033203"/>
          <w:rFonts w:ascii="URWPalladioL" w:hAnsi="URWPalladioL" w:eastAsia="URWPalladioL"/>
          <w:b w:val="0"/>
          <w:i w:val="0"/>
          <w:color w:val="000000"/>
          <w:sz w:val="18"/>
        </w:rPr>
        <w:t>n</w:t>
      </w:r>
      <w:r>
        <w:rPr>
          <w:w w:val="98.62537384033203"/>
          <w:rFonts w:ascii="VnURWPalladioL" w:hAnsi="VnURWPalladioL" w:eastAsia="VnURWPalladioL"/>
          <w:b w:val="0"/>
          <w:i w:val="0"/>
          <w:color w:val="000000"/>
          <w:sz w:val="18"/>
        </w:rPr>
        <w:t>í</w:t>
      </w:r>
      <w:r>
        <w:rPr>
          <w:w w:val="98.62537384033203"/>
          <w:rFonts w:ascii="URWPalladioL" w:hAnsi="URWPalladioL" w:eastAsia="URWPalladioL"/>
          <w:b w:val="0"/>
          <w:i w:val="0"/>
          <w:color w:val="000000"/>
          <w:sz w:val="18"/>
        </w:rPr>
        <w:t xml:space="preserve"> Potˇreb Klient˚u v R</w:t>
      </w:r>
      <w:r>
        <w:rPr>
          <w:w w:val="98.62537384033203"/>
          <w:rFonts w:ascii="VnURWPalladioL" w:hAnsi="VnURWPalladioL" w:eastAsia="VnURWPalladioL"/>
          <w:b w:val="0"/>
          <w:i w:val="0"/>
          <w:color w:val="000000"/>
          <w:sz w:val="18"/>
        </w:rPr>
        <w:t>á</w:t>
      </w:r>
      <w:r>
        <w:rPr>
          <w:w w:val="98.62537384033203"/>
          <w:rFonts w:ascii="URWPalladioL" w:hAnsi="URWPalladioL" w:eastAsia="URWPalladioL"/>
          <w:b w:val="0"/>
          <w:i w:val="0"/>
          <w:color w:val="000000"/>
          <w:sz w:val="18"/>
        </w:rPr>
        <w:t>mci Poradensk</w:t>
      </w:r>
      <w:r>
        <w:rPr>
          <w:w w:val="98.62537384033203"/>
          <w:rFonts w:ascii="VnURWPalladioL" w:hAnsi="VnURWPalladioL" w:eastAsia="VnURWPalladioL"/>
          <w:b w:val="0"/>
          <w:i w:val="0"/>
          <w:color w:val="000000"/>
          <w:sz w:val="18"/>
        </w:rPr>
        <w:t>é</w:t>
      </w:r>
      <w:r>
        <w:rPr>
          <w:w w:val="98.62537384033203"/>
          <w:rFonts w:ascii="URWPalladioL" w:hAnsi="URWPalladioL" w:eastAsia="URWPalladioL"/>
          <w:b w:val="0"/>
          <w:i w:val="0"/>
          <w:color w:val="000000"/>
          <w:sz w:val="18"/>
        </w:rPr>
        <w:t xml:space="preserve">ho </w:t>
      </w:r>
      <w:r>
        <w:tab/>
      </w:r>
      <w:r>
        <w:rPr>
          <w:w w:val="98.87664582994249"/>
          <w:rFonts w:ascii="URWPalladioL" w:hAnsi="URWPalladioL" w:eastAsia="URWPalladioL"/>
          <w:b w:val="0"/>
          <w:i w:val="0"/>
          <w:color w:val="000000"/>
          <w:sz w:val="18"/>
        </w:rPr>
        <w:t>Rozhovoru z Hlediska Pˇr</w:t>
      </w:r>
      <w:r>
        <w:rPr>
          <w:w w:val="98.87664582994249"/>
          <w:rFonts w:ascii="VnURWPalladioL" w:hAnsi="VnURWPalladioL" w:eastAsia="VnURWPalladioL"/>
          <w:b w:val="0"/>
          <w:i w:val="0"/>
          <w:color w:val="000000"/>
          <w:sz w:val="18"/>
        </w:rPr>
        <w:t>í</w:t>
      </w:r>
      <w:r>
        <w:rPr>
          <w:w w:val="98.87664582994249"/>
          <w:rFonts w:ascii="URWPalladioL" w:hAnsi="URWPalladioL" w:eastAsia="URWPalladioL"/>
          <w:b w:val="0"/>
          <w:i w:val="0"/>
          <w:color w:val="000000"/>
          <w:sz w:val="18"/>
        </w:rPr>
        <w:t>stupu Zamˇeˇren</w:t>
      </w:r>
      <w:r>
        <w:rPr>
          <w:w w:val="98.87664582994249"/>
          <w:rFonts w:ascii="VnURWPalladioL" w:hAnsi="VnURWPalladioL" w:eastAsia="VnURWPalladioL"/>
          <w:b w:val="0"/>
          <w:i w:val="0"/>
          <w:color w:val="000000"/>
          <w:sz w:val="18"/>
        </w:rPr>
        <w:t>é</w:t>
      </w:r>
      <w:r>
        <w:rPr>
          <w:w w:val="98.87664582994249"/>
          <w:rFonts w:ascii="URWPalladioL" w:hAnsi="URWPalladioL" w:eastAsia="URWPalladioL"/>
          <w:b w:val="0"/>
          <w:i w:val="0"/>
          <w:color w:val="000000"/>
          <w:sz w:val="18"/>
        </w:rPr>
        <w:t>ho Na</w:t>
      </w:r>
      <w:r>
        <w:rPr>
          <w:w w:val="98.87664582994249"/>
          <w:rFonts w:ascii="URWPalladioL" w:hAnsi="URWPalladioL" w:eastAsia="URWPalladioL"/>
          <w:b w:val="0"/>
          <w:i w:val="0"/>
          <w:color w:val="000000"/>
          <w:sz w:val="18"/>
        </w:rPr>
        <w:t>ˇ</w:t>
      </w:r>
      <w:r>
        <w:rPr>
          <w:w w:val="98.87664582994249"/>
          <w:rFonts w:ascii="URWPalladioL" w:hAnsi="URWPalladioL" w:eastAsia="URWPalladioL"/>
          <w:b w:val="0"/>
          <w:i w:val="0"/>
          <w:color w:val="000000"/>
          <w:sz w:val="18"/>
        </w:rPr>
        <w:t>Rešen</w:t>
      </w:r>
      <w:r>
        <w:rPr>
          <w:w w:val="98.87664582994249"/>
          <w:rFonts w:ascii="VnURWPalladioL" w:hAnsi="VnURWPalladioL" w:eastAsia="VnURWPalladioL"/>
          <w:b w:val="0"/>
          <w:i w:val="0"/>
          <w:color w:val="000000"/>
          <w:sz w:val="18"/>
        </w:rPr>
        <w:t>í</w:t>
      </w:r>
      <w:r>
        <w:rPr>
          <w:w w:val="98.87664582994249"/>
          <w:rFonts w:ascii="URWPalladioL" w:hAnsi="URWPalladioL" w:eastAsia="URWPalladioL"/>
          <w:b w:val="0"/>
          <w:i w:val="0"/>
          <w:color w:val="000000"/>
          <w:sz w:val="18"/>
        </w:rPr>
        <w:t>.</w:t>
      </w:r>
      <w:r>
        <w:rPr>
          <w:w w:val="98.87664582994249"/>
          <w:rFonts w:ascii="URWPalladioL" w:hAnsi="URWPalladioL" w:eastAsia="URWPalladioL"/>
          <w:b w:val="0"/>
          <w:i/>
          <w:color w:val="000000"/>
          <w:sz w:val="18"/>
        </w:rPr>
        <w:t>Soci</w:t>
      </w:r>
      <w:r>
        <w:rPr>
          <w:w w:val="98.87664582994249"/>
          <w:rFonts w:ascii="URWPalladioL" w:hAnsi="URWPalladioL" w:eastAsia="URWPalladioL"/>
          <w:b w:val="0"/>
          <w:i/>
          <w:color w:val="000000"/>
          <w:sz w:val="18"/>
        </w:rPr>
        <w:t>á</w:t>
      </w:r>
      <w:r>
        <w:rPr>
          <w:w w:val="98.87664582994249"/>
          <w:rFonts w:ascii="URWPalladioL" w:hAnsi="URWPalladioL" w:eastAsia="URWPalladioL"/>
          <w:b w:val="0"/>
          <w:i/>
          <w:color w:val="000000"/>
          <w:sz w:val="18"/>
        </w:rPr>
        <w:t>ln</w:t>
      </w:r>
      <w:r>
        <w:rPr>
          <w:w w:val="98.87664582994249"/>
          <w:rFonts w:ascii="URWPalladioL" w:hAnsi="URWPalladioL" w:eastAsia="URWPalladioL"/>
          <w:b w:val="0"/>
          <w:i/>
          <w:color w:val="000000"/>
          <w:sz w:val="18"/>
        </w:rPr>
        <w:t>í</w:t>
      </w:r>
      <w:r>
        <w:rPr>
          <w:w w:val="98.87664582994249"/>
          <w:rFonts w:ascii="URWPalladioL" w:hAnsi="URWPalladioL" w:eastAsia="URWPalladioL"/>
          <w:b w:val="0"/>
          <w:i/>
          <w:color w:val="000000"/>
          <w:sz w:val="18"/>
        </w:rPr>
        <w:t xml:space="preserve"> Pr</w:t>
      </w:r>
      <w:r>
        <w:rPr>
          <w:w w:val="98.87664582994249"/>
          <w:rFonts w:ascii="URWPalladioL" w:hAnsi="URWPalladioL" w:eastAsia="URWPalladioL"/>
          <w:b w:val="0"/>
          <w:i/>
          <w:color w:val="000000"/>
          <w:sz w:val="18"/>
        </w:rPr>
        <w:t>á</w:t>
      </w:r>
      <w:r>
        <w:rPr>
          <w:w w:val="98.87664582994249"/>
          <w:rFonts w:ascii="URWPalladioL" w:hAnsi="URWPalladioL" w:eastAsia="URWPalladioL"/>
          <w:b w:val="0"/>
          <w:i/>
          <w:color w:val="000000"/>
          <w:sz w:val="18"/>
        </w:rPr>
        <w:t>ce:</w:t>
      </w:r>
      <w:r>
        <w:rPr>
          <w:w w:val="98.87664582994249"/>
          <w:rFonts w:ascii="URWPalladioL" w:hAnsi="URWPalladioL" w:eastAsia="URWPalladioL"/>
          <w:b w:val="0"/>
          <w:i/>
          <w:color w:val="000000"/>
          <w:sz w:val="18"/>
        </w:rPr>
        <w:t>=Soci</w:t>
      </w:r>
      <w:r>
        <w:rPr>
          <w:w w:val="98.87664582994249"/>
          <w:rFonts w:ascii="URWPalladioL" w:hAnsi="URWPalladioL" w:eastAsia="URWPalladioL"/>
          <w:b w:val="0"/>
          <w:i/>
          <w:color w:val="000000"/>
          <w:sz w:val="18"/>
        </w:rPr>
        <w:t>á</w:t>
      </w:r>
      <w:r>
        <w:rPr>
          <w:w w:val="98.87664582994249"/>
          <w:rFonts w:ascii="URWPalladioL" w:hAnsi="URWPalladioL" w:eastAsia="URWPalladioL"/>
          <w:b w:val="0"/>
          <w:i/>
          <w:color w:val="000000"/>
          <w:sz w:val="18"/>
        </w:rPr>
        <w:t>lna Pr</w:t>
      </w:r>
      <w:r>
        <w:rPr>
          <w:w w:val="98.87664582994249"/>
          <w:rFonts w:ascii="URWPalladioL" w:hAnsi="URWPalladioL" w:eastAsia="URWPalladioL"/>
          <w:b w:val="0"/>
          <w:i/>
          <w:color w:val="000000"/>
          <w:sz w:val="18"/>
        </w:rPr>
        <w:t>á</w:t>
      </w:r>
      <w:r>
        <w:rPr>
          <w:w w:val="98.87664582994249"/>
          <w:rFonts w:ascii="URWPalladioL" w:hAnsi="URWPalladioL" w:eastAsia="URWPalladioL"/>
          <w:b w:val="0"/>
          <w:i/>
          <w:color w:val="000000"/>
          <w:sz w:val="18"/>
        </w:rPr>
        <w:t>ca:</w:t>
      </w:r>
      <w:r>
        <w:rPr>
          <w:w w:val="98.87664582994249"/>
          <w:rFonts w:ascii="URWPalladioL" w:hAnsi="URWPalladioL" w:eastAsia="URWPalladioL"/>
          <w:b w:val="0"/>
          <w:i/>
          <w:color w:val="000000"/>
          <w:sz w:val="18"/>
        </w:rPr>
        <w:t>Odborn</w:t>
      </w:r>
      <w:r>
        <w:rPr>
          <w:w w:val="98.87664582994249"/>
          <w:rFonts w:ascii="URWPalladioL" w:hAnsi="URWPalladioL" w:eastAsia="URWPalladioL"/>
          <w:b w:val="0"/>
          <w:i/>
          <w:color w:val="000000"/>
          <w:sz w:val="18"/>
        </w:rPr>
        <w:t>á</w:t>
      </w:r>
      <w:r>
        <w:rPr>
          <w:w w:val="98.87664582994249"/>
          <w:rFonts w:ascii="URWPalladioL" w:hAnsi="URWPalladioL" w:eastAsia="URWPalladioL"/>
          <w:b w:val="0"/>
          <w:i/>
          <w:color w:val="000000"/>
          <w:sz w:val="18"/>
        </w:rPr>
        <w:t xml:space="preserve"> Revue pro Soci</w:t>
      </w:r>
      <w:r>
        <w:rPr>
          <w:w w:val="98.87664582994249"/>
          <w:rFonts w:ascii="URWPalladioL" w:hAnsi="URWPalladioL" w:eastAsia="URWPalladioL"/>
          <w:b w:val="0"/>
          <w:i/>
          <w:color w:val="000000"/>
          <w:sz w:val="18"/>
        </w:rPr>
        <w:t>á</w:t>
      </w:r>
      <w:r>
        <w:rPr>
          <w:w w:val="98.87664582994249"/>
          <w:rFonts w:ascii="URWPalladioL" w:hAnsi="URWPalladioL" w:eastAsia="URWPalladioL"/>
          <w:b w:val="0"/>
          <w:i/>
          <w:color w:val="000000"/>
          <w:sz w:val="18"/>
        </w:rPr>
        <w:t>ln</w:t>
      </w:r>
      <w:r>
        <w:rPr>
          <w:w w:val="98.87664582994249"/>
          <w:rFonts w:ascii="URWPalladioL" w:hAnsi="URWPalladioL" w:eastAsia="URWPalladioL"/>
          <w:b w:val="0"/>
          <w:i/>
          <w:color w:val="000000"/>
          <w:sz w:val="18"/>
        </w:rPr>
        <w:t>í</w:t>
      </w:r>
      <w:r>
        <w:rPr>
          <w:w w:val="98.87664582994249"/>
          <w:rFonts w:ascii="URWPalladioL" w:hAnsi="URWPalladioL" w:eastAsia="URWPalladioL"/>
          <w:b w:val="0"/>
          <w:i/>
          <w:color w:val="000000"/>
          <w:sz w:val="18"/>
        </w:rPr>
        <w:t xml:space="preserve"> Pr</w:t>
      </w:r>
      <w:r>
        <w:rPr>
          <w:w w:val="98.87664582994249"/>
          <w:rFonts w:ascii="URWPalladioL" w:hAnsi="URWPalladioL" w:eastAsia="URWPalladioL"/>
          <w:b w:val="0"/>
          <w:i/>
          <w:color w:val="000000"/>
          <w:sz w:val="18"/>
        </w:rPr>
        <w:t>á</w:t>
      </w:r>
      <w:r>
        <w:rPr>
          <w:w w:val="98.87664582994249"/>
          <w:rFonts w:ascii="URWPalladioL" w:hAnsi="URWPalladioL" w:eastAsia="URWPalladioL"/>
          <w:b w:val="0"/>
          <w:i/>
          <w:color w:val="000000"/>
          <w:sz w:val="18"/>
        </w:rPr>
        <w:t>ci</w:t>
      </w:r>
      <w:r>
        <w:rPr>
          <w:w w:val="98.87664582994249"/>
          <w:rFonts w:ascii="URWPalladioL" w:hAnsi="URWPalladioL" w:eastAsia="URWPalladioL"/>
          <w:b w:val="0"/>
          <w:i w:val="0"/>
          <w:color w:val="000000"/>
          <w:sz w:val="18"/>
        </w:rPr>
        <w:t xml:space="preserve"> 11:</w:t>
      </w:r>
      <w:r>
        <w:rPr>
          <w:w w:val="98.87664582994249"/>
          <w:rFonts w:ascii="URWPalladioL" w:hAnsi="URWPalladioL" w:eastAsia="URWPalladioL"/>
          <w:b w:val="0"/>
          <w:i w:val="0"/>
          <w:color w:val="000000"/>
          <w:sz w:val="18"/>
        </w:rPr>
        <w:t xml:space="preserve">81–92. 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Zhao, Jing.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2020.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Corporate Financial Risk Prediction Based on Embedded System and Deep Learning.</w:t>
      </w:r>
      <w:r>
        <w:rPr>
          <w:rFonts w:ascii="URWPalladioL" w:hAnsi="URWPalladioL" w:eastAsia="URWPalladioL"/>
          <w:b w:val="0"/>
          <w:i/>
          <w:color w:val="000000"/>
          <w:sz w:val="18"/>
        </w:rPr>
        <w:t>Microprocessors and Microsys-</w:t>
      </w:r>
      <w:r>
        <w:tab/>
      </w:r>
      <w:r>
        <w:rPr>
          <w:rFonts w:ascii="URWPalladioL" w:hAnsi="URWPalladioL" w:eastAsia="URWPalladioL"/>
          <w:b w:val="0"/>
          <w:i/>
          <w:color w:val="000000"/>
          <w:sz w:val="18"/>
        </w:rPr>
        <w:t>tems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, January.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Available online:</w:t>
      </w:r>
      <w:r>
        <w:rPr>
          <w:rFonts w:ascii="URWPalladioL" w:hAnsi="URWPalladioL" w:eastAsia="URWPalladioL"/>
          <w:b w:val="0"/>
          <w:i w:val="0"/>
          <w:color w:val="0875B7"/>
          <w:sz w:val="18"/>
        </w:rPr>
        <w:hyperlink r:id="rId90" w:history="1">
          <w:r>
            <w:rPr>
              <w:rStyle w:val="Hyperlink"/>
            </w:rPr>
            <w:t xml:space="preserve">https://search.ebscohost.com/login.aspx?direct=true&amp;db=edselp&amp;AN=S0141933120305627&amp; </w:t>
          </w:r>
        </w:hyperlink>
      </w:r>
      <w:r>
        <w:tab/>
      </w:r>
      <w:r>
        <w:rPr>
          <w:rFonts w:ascii="URWPalladioL" w:hAnsi="URWPalladioL" w:eastAsia="URWPalladioL"/>
          <w:b w:val="0"/>
          <w:i w:val="0"/>
          <w:color w:val="0875B7"/>
          <w:sz w:val="18"/>
        </w:rPr>
        <w:hyperlink r:id="rId90" w:history="1">
          <w:r>
            <w:rPr>
              <w:rStyle w:val="Hyperlink"/>
            </w:rPr>
            <w:t>authtype=shib&amp;lang=cs&amp;site=eds-live&amp;scope=site&amp;authtype=shib&amp;custid=s7108593</w:t>
          </w:r>
        </w:hyperlink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 (accessed on 16 May 2021).</w:t>
      </w:r>
    </w:p>
    <w:sectPr w:rsidR="00FC693F" w:rsidRPr="0006063C" w:rsidSect="00034616">
      <w:pgSz w:w="11906" w:h="16838"/>
      <w:pgMar w:top="538" w:right="670" w:bottom="1440" w:left="71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yperlink" Target="https://orcid.org/0000-0003-3660-5995" TargetMode="External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hyperlink" Target="https://doi.org/10.3390/risks9110205" TargetMode="External"/><Relationship Id="rId18" Type="http://schemas.openxmlformats.org/officeDocument/2006/relationships/image" Target="media/image8.png"/><Relationship Id="rId19" Type="http://schemas.openxmlformats.org/officeDocument/2006/relationships/hyperlink" Target="https://creativecommons.org/licenses/by/4.0/" TargetMode="External"/><Relationship Id="rId20" Type="http://schemas.openxmlformats.org/officeDocument/2006/relationships/hyperlink" Target="https://www.mdpi.com/journal/risks" TargetMode="External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hyperlink" Target="https://search.ebscohost.com/login.aspx?direct=true&amp;scope=site&amp;db=nlebk&amp;db=nlabk&amp;AN=931378" TargetMode="External"/><Relationship Id="rId25" Type="http://schemas.openxmlformats.org/officeDocument/2006/relationships/hyperlink" Target="http://doi.org/10.1016/j.socscimed.2013.10.016" TargetMode="External"/><Relationship Id="rId26" Type="http://schemas.openxmlformats.org/officeDocument/2006/relationships/hyperlink" Target="http://doi.org/10.1186/1472-6955-6-10" TargetMode="External"/><Relationship Id="rId27" Type="http://schemas.openxmlformats.org/officeDocument/2006/relationships/hyperlink" Target="http://www.ncbi.nlm.nih.gov/pubmed/17996067" TargetMode="External"/><Relationship Id="rId28" Type="http://schemas.openxmlformats.org/officeDocument/2006/relationships/hyperlink" Target="http://doi.org/10.1080/00220272.2019.1650115" TargetMode="External"/><Relationship Id="rId29" Type="http://schemas.openxmlformats.org/officeDocument/2006/relationships/hyperlink" Target="http://doi.org/10.1007/s11205-019-02219-4" TargetMode="External"/><Relationship Id="rId30" Type="http://schemas.openxmlformats.org/officeDocument/2006/relationships/hyperlink" Target="http://doi.org/10.1080/00224545.1989.9711700" TargetMode="External"/><Relationship Id="rId31" Type="http://schemas.openxmlformats.org/officeDocument/2006/relationships/hyperlink" Target="http://doi.org/10.1111/fare.12445" TargetMode="External"/><Relationship Id="rId32" Type="http://schemas.openxmlformats.org/officeDocument/2006/relationships/hyperlink" Target="http://doi.org/10.1016/0148-2963(94)90067-1" TargetMode="External"/><Relationship Id="rId33" Type="http://schemas.openxmlformats.org/officeDocument/2006/relationships/hyperlink" Target="http://www.europeansocialsurvey.org/" TargetMode="External"/><Relationship Id="rId34" Type="http://schemas.openxmlformats.org/officeDocument/2006/relationships/hyperlink" Target="http://doi.org/10.1007/s10834-020-09727-3" TargetMode="External"/><Relationship Id="rId35" Type="http://schemas.openxmlformats.org/officeDocument/2006/relationships/hyperlink" Target="http://doi.org/10.1080/03643100902769160" TargetMode="External"/><Relationship Id="rId36" Type="http://schemas.openxmlformats.org/officeDocument/2006/relationships/hyperlink" Target="http://doi.org/10.1080/13645579.2012.716973" TargetMode="External"/><Relationship Id="rId37" Type="http://schemas.openxmlformats.org/officeDocument/2006/relationships/hyperlink" Target="http://doi.org/10.1080/10437797.2015.1043195" TargetMode="External"/><Relationship Id="rId38" Type="http://schemas.openxmlformats.org/officeDocument/2006/relationships/hyperlink" Target="http://doi.org/10.1016/0191-8869(84)90025-4" TargetMode="External"/><Relationship Id="rId39" Type="http://schemas.openxmlformats.org/officeDocument/2006/relationships/hyperlink" Target="http://doi.org/10.1023/A:1022994314982" TargetMode="External"/><Relationship Id="rId40" Type="http://schemas.openxmlformats.org/officeDocument/2006/relationships/hyperlink" Target="http://doi.org/10.1108/17506181211265040" TargetMode="External"/><Relationship Id="rId41" Type="http://schemas.openxmlformats.org/officeDocument/2006/relationships/hyperlink" Target="http://doi.org/10.1007/s10615-011-0335-4" TargetMode="External"/><Relationship Id="rId42" Type="http://schemas.openxmlformats.org/officeDocument/2006/relationships/hyperlink" Target="http://doi.org/10.1080/00224545.1980.9924285" TargetMode="External"/><Relationship Id="rId43" Type="http://schemas.openxmlformats.org/officeDocument/2006/relationships/hyperlink" Target="http://doi.org/10.1080/00224545.1981.9924346" TargetMode="External"/><Relationship Id="rId44" Type="http://schemas.openxmlformats.org/officeDocument/2006/relationships/hyperlink" Target="https://www.consumerinterests.org/assets/docs/CIA/CIA2002/hogarth-hilgert_financial%20knowledge.pdf" TargetMode="External"/><Relationship Id="rId45" Type="http://schemas.openxmlformats.org/officeDocument/2006/relationships/hyperlink" Target="https://papers.ssrn.com/sol3/papers.cfm?abstract_id=1498674" TargetMode="External"/><Relationship Id="rId46" Type="http://schemas.openxmlformats.org/officeDocument/2006/relationships/hyperlink" Target="http://doi.org/10.1515/9781400869589" TargetMode="External"/><Relationship Id="rId47" Type="http://schemas.openxmlformats.org/officeDocument/2006/relationships/hyperlink" Target="https://www.worldvaluessurvey.org/wvs.jsp" TargetMode="External"/><Relationship Id="rId48" Type="http://schemas.openxmlformats.org/officeDocument/2006/relationships/hyperlink" Target="http://doi.org/10.1080/00223980.1995.9914930" TargetMode="External"/><Relationship Id="rId49" Type="http://schemas.openxmlformats.org/officeDocument/2006/relationships/hyperlink" Target="http://doi.org/10.1080/00207598808247787" TargetMode="External"/><Relationship Id="rId50" Type="http://schemas.openxmlformats.org/officeDocument/2006/relationships/hyperlink" Target="http://doi.org/10.1007/s10834-020-09678-9" TargetMode="External"/><Relationship Id="rId51" Type="http://schemas.openxmlformats.org/officeDocument/2006/relationships/hyperlink" Target="https://www.zvab.com/buch-suchen/titel/mikrokosmos-3-b%E4nde/autor/lotze/" TargetMode="External"/><Relationship Id="rId52" Type="http://schemas.openxmlformats.org/officeDocument/2006/relationships/hyperlink" Target="http://www.nber.org/papers/w17821" TargetMode="External"/><Relationship Id="rId53" Type="http://schemas.openxmlformats.org/officeDocument/2006/relationships/hyperlink" Target="http://doi.org/10.1016/j.joep.2013.02.005" TargetMode="External"/><Relationship Id="rId54" Type="http://schemas.openxmlformats.org/officeDocument/2006/relationships/hyperlink" Target="http://doi.org/10.1111/j.1741-3729.2010.00614.x" TargetMode="External"/><Relationship Id="rId55" Type="http://schemas.openxmlformats.org/officeDocument/2006/relationships/hyperlink" Target="http://doi.org/10.1023/A:1025016606328" TargetMode="External"/><Relationship Id="rId56" Type="http://schemas.openxmlformats.org/officeDocument/2006/relationships/hyperlink" Target="http://doi.org/10.22610/jebs.v10i2(J).2220" TargetMode="External"/><Relationship Id="rId57" Type="http://schemas.openxmlformats.org/officeDocument/2006/relationships/hyperlink" Target="http://doi.org/10.1108/IJBM-07-2017-0153" TargetMode="External"/><Relationship Id="rId58" Type="http://schemas.openxmlformats.org/officeDocument/2006/relationships/hyperlink" Target="http://doi.org/10.1093/jcr/ucx109" TargetMode="External"/><Relationship Id="rId59" Type="http://schemas.openxmlformats.org/officeDocument/2006/relationships/hyperlink" Target="http://doi.org/10.1787/9789264194830-en" TargetMode="External"/><Relationship Id="rId60" Type="http://schemas.openxmlformats.org/officeDocument/2006/relationships/hyperlink" Target="http://doi.org/10.1108/MF-04-2019-0175" TargetMode="External"/><Relationship Id="rId61" Type="http://schemas.openxmlformats.org/officeDocument/2006/relationships/hyperlink" Target="http://doi.org/10.1108/07363761011063330" TargetMode="External"/><Relationship Id="rId62" Type="http://schemas.openxmlformats.org/officeDocument/2006/relationships/hyperlink" Target="http://doi.org/10.1007/BF00941623" TargetMode="External"/><Relationship Id="rId63" Type="http://schemas.openxmlformats.org/officeDocument/2006/relationships/hyperlink" Target="http://doi.org/10.1111/j.1745-6606.2010.01169.x" TargetMode="External"/><Relationship Id="rId64" Type="http://schemas.openxmlformats.org/officeDocument/2006/relationships/hyperlink" Target="http://doi.org/10.1086/209415" TargetMode="External"/><Relationship Id="rId65" Type="http://schemas.openxmlformats.org/officeDocument/2006/relationships/hyperlink" Target="http://doi.org/10.1086/383436" TargetMode="External"/><Relationship Id="rId66" Type="http://schemas.openxmlformats.org/officeDocument/2006/relationships/hyperlink" Target="http://doi.org/10.1086/209304" TargetMode="External"/><Relationship Id="rId67" Type="http://schemas.openxmlformats.org/officeDocument/2006/relationships/hyperlink" Target="http://doi.org/10.1080/036012799268025" TargetMode="External"/><Relationship Id="rId68" Type="http://schemas.openxmlformats.org/officeDocument/2006/relationships/hyperlink" Target="http://doi.org/10.1017/S2045796021000111" TargetMode="External"/><Relationship Id="rId69" Type="http://schemas.openxmlformats.org/officeDocument/2006/relationships/hyperlink" Target="http://doi.org/10.1016/S0065-2601(08)60281-6" TargetMode="External"/><Relationship Id="rId70" Type="http://schemas.openxmlformats.org/officeDocument/2006/relationships/hyperlink" Target="http://doi.org/10.1037/0022-3514.53.3.550" TargetMode="External"/><Relationship Id="rId71" Type="http://schemas.openxmlformats.org/officeDocument/2006/relationships/hyperlink" Target="http://doi.org/10.1037/0022-3514.58.5.878" TargetMode="External"/><Relationship Id="rId72" Type="http://schemas.openxmlformats.org/officeDocument/2006/relationships/hyperlink" Target="http://doi.org/10.1007/s11482-017-9590-z" TargetMode="External"/><Relationship Id="rId73" Type="http://schemas.openxmlformats.org/officeDocument/2006/relationships/hyperlink" Target="https://www.socialsurvey.eu/" TargetMode="External"/><Relationship Id="rId74" Type="http://schemas.openxmlformats.org/officeDocument/2006/relationships/hyperlink" Target="http://doi.org/10.1109/ACCESS.2019.2924923" TargetMode="External"/><Relationship Id="rId75" Type="http://schemas.openxmlformats.org/officeDocument/2006/relationships/hyperlink" Target="http://doi.org/10.1016/j.jbef.2017.04.002" TargetMode="External"/><Relationship Id="rId76" Type="http://schemas.openxmlformats.org/officeDocument/2006/relationships/hyperlink" Target="http://doi.org/10.1093/acprof:oso/9780199534661.001.0001" TargetMode="External"/><Relationship Id="rId77" Type="http://schemas.openxmlformats.org/officeDocument/2006/relationships/hyperlink" Target="http://doi.org/10.5539/ijbm.v8n11p63" TargetMode="External"/><Relationship Id="rId78" Type="http://schemas.openxmlformats.org/officeDocument/2006/relationships/hyperlink" Target="http://doi.org/10.1108/IJIF-07-2018-0074" TargetMode="External"/><Relationship Id="rId79" Type="http://schemas.openxmlformats.org/officeDocument/2006/relationships/hyperlink" Target="http://doi.org/10.1002/job.4030130209" TargetMode="External"/><Relationship Id="rId80" Type="http://schemas.openxmlformats.org/officeDocument/2006/relationships/hyperlink" Target="http://doi.org/10.1007/s11205-010-9681-9" TargetMode="External"/><Relationship Id="rId81" Type="http://schemas.openxmlformats.org/officeDocument/2006/relationships/hyperlink" Target="http://doi.org/10.1057/9781137544254_10" TargetMode="External"/><Relationship Id="rId82" Type="http://schemas.openxmlformats.org/officeDocument/2006/relationships/hyperlink" Target="http://doi.org/10.2112/SI103-037.1" TargetMode="External"/><Relationship Id="rId83" Type="http://schemas.openxmlformats.org/officeDocument/2006/relationships/hyperlink" Target="http://doi.org/10.1007/s11149-011-9151-6" TargetMode="External"/><Relationship Id="rId84" Type="http://schemas.openxmlformats.org/officeDocument/2006/relationships/hyperlink" Target="http://doi.org/10.1111/j.1745-6606.2001.tb00116.x" TargetMode="External"/><Relationship Id="rId85" Type="http://schemas.openxmlformats.org/officeDocument/2006/relationships/hyperlink" Target="http://doi.org/10.1007/s11205-013-0414-8" TargetMode="External"/><Relationship Id="rId86" Type="http://schemas.openxmlformats.org/officeDocument/2006/relationships/hyperlink" Target="http://doi.org/10.1207/s15327752jpa4605_14" TargetMode="External"/><Relationship Id="rId87" Type="http://schemas.openxmlformats.org/officeDocument/2006/relationships/hyperlink" Target="http://www.ncbi.nlm.nih.gov/pubmed/16367635" TargetMode="External"/><Relationship Id="rId88" Type="http://schemas.openxmlformats.org/officeDocument/2006/relationships/hyperlink" Target="http://doi.org/10.1016/j.socec.2011.08.023" TargetMode="External"/><Relationship Id="rId89" Type="http://schemas.openxmlformats.org/officeDocument/2006/relationships/hyperlink" Target="http://doi.org/10.3390/sym12010089" TargetMode="External"/><Relationship Id="rId90" Type="http://schemas.openxmlformats.org/officeDocument/2006/relationships/hyperlink" Target="https://search.ebscohost.com/login.aspx?direct=true&amp;db=edselp&amp;AN=S0141933120305627&amp;authtype=shib&amp;lang=cs&amp;site=eds-live&amp;scope=site&amp;authtype=shib&amp;custid=s710859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