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235" w:lineRule="auto" w:before="0" w:after="0"/>
        <w:ind w:left="0" w:right="20" w:firstLine="0"/>
        <w:jc w:val="right"/>
      </w:pPr>
      <w:r>
        <w:rPr>
          <w:rFonts w:ascii="Lato" w:hAnsi="Lato" w:eastAsia="Lato"/>
          <w:b/>
          <w:i w:val="0"/>
          <w:color w:val="404040"/>
          <w:sz w:val="26"/>
        </w:rPr>
        <w:t>产品公告</w:t>
      </w:r>
    </w:p>
    <w:p>
      <w:pPr>
        <w:autoSpaceDN w:val="0"/>
        <w:autoSpaceDE w:val="0"/>
        <w:widowControl/>
        <w:spacing w:line="240" w:lineRule="auto" w:before="40" w:after="0"/>
        <w:ind w:left="0" w:right="0" w:firstLine="0"/>
        <w:jc w:val="left"/>
      </w:pPr>
      <w:r>
        <w:drawing>
          <wp:inline xmlns:a="http://schemas.openxmlformats.org/drawingml/2006/main" xmlns:pic="http://schemas.openxmlformats.org/drawingml/2006/picture">
            <wp:extent cx="1925320" cy="1727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25320" cy="172719"/>
                    </a:xfrm>
                    <a:prstGeom prst="rect"/>
                  </pic:spPr>
                </pic:pic>
              </a:graphicData>
            </a:graphic>
          </wp:inline>
        </w:drawing>
      </w:r>
    </w:p>
    <w:p>
      <w:pPr>
        <w:autoSpaceDN w:val="0"/>
        <w:autoSpaceDE w:val="0"/>
        <w:widowControl/>
        <w:spacing w:line="281" w:lineRule="auto" w:before="154" w:after="0"/>
        <w:ind w:left="30" w:right="4752" w:firstLine="0"/>
        <w:jc w:val="left"/>
      </w:pPr>
      <w:r>
        <w:rPr>
          <w:rFonts w:ascii="ArialMT" w:hAnsi="ArialMT" w:eastAsia="ArialMT"/>
          <w:b w:val="0"/>
          <w:i w:val="0"/>
          <w:color w:val="404040"/>
          <w:sz w:val="20"/>
        </w:rPr>
        <w:t>3000 N. Sam Houston Pkwy E., 休斯顿, 德克萨斯州 77032 电话: 281-871-3602</w:t>
      </w:r>
      <w:r/>
      <w:r>
        <w:rPr>
          <w:rFonts w:ascii="ArialMT" w:hAnsi="ArialMT" w:eastAsia="ArialMT"/>
          <w:b w:val="0"/>
          <w:i w:val="0"/>
          <w:color w:val="404040"/>
          <w:sz w:val="20"/>
        </w:rPr>
      </w:r>
    </w:p>
    <w:p>
      <w:pPr>
        <w:autoSpaceDN w:val="0"/>
        <w:autoSpaceDE w:val="0"/>
        <w:widowControl/>
        <w:spacing w:line="298" w:lineRule="auto" w:before="496" w:after="0"/>
        <w:ind w:left="30" w:right="0" w:firstLine="0"/>
        <w:jc w:val="left"/>
      </w:pPr>
      <w:r>
        <w:rPr>
          <w:rFonts w:ascii="Arial" w:hAnsi="Arial" w:eastAsia="Arial"/>
          <w:b/>
          <w:i w:val="0"/>
          <w:color w:val="000000"/>
          <w:sz w:val="22"/>
        </w:rPr>
        <w:t>立即发布</w:t>
      </w:r>
    </w:p>
    <w:p>
      <w:pPr>
        <w:autoSpaceDN w:val="0"/>
        <w:autoSpaceDE w:val="0"/>
        <w:widowControl/>
        <w:spacing w:line="288" w:lineRule="auto" w:before="402" w:after="0"/>
        <w:ind w:left="288" w:right="288" w:firstLine="0"/>
        <w:jc w:val="center"/>
      </w:pPr>
      <w:r>
        <w:rPr>
          <w:rFonts w:ascii="Arial" w:hAnsi="Arial" w:eastAsia="Arial"/>
          <w:b/>
          <w:i w:val="0"/>
          <w:color w:val="404040"/>
          <w:sz w:val="22"/>
        </w:rPr>
        <w:t>哈里伯顿通过矩阵体HYPERSTEER™ MX定向钻头减少井眼建设时间</w:t>
      </w:r>
      <w:r>
        <w:rPr>
          <w:rFonts w:ascii="Arial" w:hAnsi="Arial" w:eastAsia="Arial"/>
          <w:b/>
          <w:i w:val="0"/>
          <w:color w:val="404040"/>
          <w:sz w:val="22"/>
        </w:rPr>
      </w:r>
      <w:r>
        <w:rPr>
          <w:rFonts w:ascii="Arial" w:hAnsi="Arial" w:eastAsia="Arial"/>
          <w:b/>
          <w:i w:val="0"/>
          <w:color w:val="404040"/>
          <w:sz w:val="14"/>
        </w:rPr>
      </w:r>
      <w:r>
        <w:rPr>
          <w:rFonts w:ascii="Arial" w:hAnsi="Arial" w:eastAsia="Arial"/>
          <w:b/>
          <w:i w:val="0"/>
          <w:color w:val="404040"/>
          <w:sz w:val="22"/>
        </w:rPr>
      </w:r>
    </w:p>
    <w:p>
      <w:pPr>
        <w:autoSpaceDN w:val="0"/>
        <w:autoSpaceDE w:val="0"/>
        <w:widowControl/>
        <w:spacing w:line="259" w:lineRule="auto" w:before="182" w:after="0"/>
        <w:ind w:left="288" w:right="288" w:firstLine="0"/>
        <w:jc w:val="center"/>
      </w:pPr>
      <w:r>
        <w:rPr>
          <w:rFonts w:ascii="Arial" w:hAnsi="Arial" w:eastAsia="Arial"/>
          <w:b w:val="0"/>
          <w:i/>
          <w:color w:val="404040"/>
          <w:sz w:val="22"/>
        </w:rPr>
        <w:t>无柄矩阵体技术延长了钻头寿命并降低了在磨蚀条件下的井眼建设成本</w:t>
      </w:r>
      <w:r>
        <w:rPr>
          <w:rFonts w:ascii="Arial" w:hAnsi="Arial" w:eastAsia="Arial"/>
          <w:b w:val="0"/>
          <w:i/>
          <w:color w:val="404040"/>
          <w:sz w:val="22"/>
        </w:rPr>
      </w:r>
    </w:p>
    <w:p>
      <w:pPr>
        <w:autoSpaceDN w:val="0"/>
        <w:autoSpaceDE w:val="0"/>
        <w:widowControl/>
        <w:spacing w:line="278" w:lineRule="auto" w:before="400" w:after="0"/>
        <w:ind w:left="30" w:right="0" w:firstLine="0"/>
        <w:jc w:val="left"/>
      </w:pPr>
      <w:r>
        <w:rPr>
          <w:rFonts w:ascii="Arial" w:hAnsi="Arial" w:eastAsia="Arial"/>
          <w:b/>
          <w:i w:val="0"/>
          <w:color w:val="000000"/>
          <w:sz w:val="22"/>
        </w:rPr>
        <w:t>休斯顿 – 2026年1月5日 – 哈里伯顿公司（纽约证券交易所代码：HAL）推出了一款行业首创的无柄矩阵体钻头，该钻头改善了日间控制。这款钻头能够实现更长的运行时间和更少的更换次数，抵抗侵蚀和磨损，并在高流量、磨料环境中表现可靠。</w:t>
      </w:r>
      <w:r>
        <w:rPr>
          <w:rFonts w:ascii="ArialMT" w:hAnsi="ArialMT" w:eastAsia="ArialMT"/>
          <w:b w:val="0"/>
          <w:i w:val="0"/>
          <w:color w:val="000000"/>
          <w:sz w:val="22"/>
        </w:rP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1155CC"/>
          <w:sz w:val="14"/>
        </w:rPr>
      </w:r>
      <w:r>
        <w:rPr>
          <w:u w:val="single" w:color="1154cc"/>
          <w:rFonts w:ascii="ArialMT" w:hAnsi="ArialMT" w:eastAsia="ArialMT"/>
          <w:b w:val="0"/>
          <w:i w:val="0"/>
          <w:color w:val="1155CC"/>
          <w:sz w:val="22"/>
        </w:rPr>
      </w:r>
      <w:r>
        <w:rPr>
          <w:rFonts w:ascii="ArialMT" w:hAnsi="ArialMT" w:eastAsia="ArialMT"/>
          <w:b w:val="0"/>
          <w:i w:val="0"/>
          <w:color w:val="1155CC"/>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78" w:lineRule="auto" w:before="186" w:after="0"/>
        <w:ind w:left="30" w:right="0" w:firstLine="0"/>
        <w:jc w:val="left"/>
      </w:pPr>
      <w:r>
        <w:rPr>
          <w:rFonts w:ascii="ArialMT" w:hAnsi="ArialMT" w:eastAsia="ArialMT"/>
          <w:b w:val="0"/>
          <w:i w:val="0"/>
          <w:color w:val="404040"/>
          <w:sz w:val="22"/>
        </w:rPr>
        <w:t>“HyperSteer™ MX定向钻头标志着钻井技术的一次重大进步，”哈里伯顿公司钻头与服务副总裁Amr Hassan表示。“这项技术将HyperSteer™定向钻头的精确导向性与耐用的矩阵体相结合。它使操作人员能够在恶劣环境中进行更长时间的钻井作业，并支持减少井眼时间和最大化定向性能的努力，以满足客户需求。”</w:t>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78" w:lineRule="auto" w:before="188" w:after="0"/>
        <w:ind w:left="30" w:right="432" w:firstLine="0"/>
        <w:jc w:val="left"/>
      </w:pPr>
      <w:r>
        <w:rPr>
          <w:rFonts w:ascii="ArialMT" w:hAnsi="ArialMT" w:eastAsia="ArialMT"/>
          <w:b w:val="0"/>
          <w:i w:val="0"/>
          <w:color w:val="404040"/>
          <w:sz w:val="22"/>
        </w:rPr>
        <w:t>HyperSteer™ MX定向钻头采用先进的矩阵材料，以抵抗侵蚀和磨损，在磨蚀性高流量环境中延长钻头寿命，并在操作过程中提高效率和可靠性。</w:t>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78" w:lineRule="auto" w:before="188" w:after="0"/>
        <w:ind w:left="30" w:right="144" w:firstLine="0"/>
        <w:jc w:val="left"/>
      </w:pPr>
      <w:r>
        <w:rPr>
          <w:rFonts w:ascii="ArialMT" w:hAnsi="ArialMT" w:eastAsia="ArialMT"/>
          <w:b w:val="0"/>
          <w:i w:val="0"/>
          <w:color w:val="404040"/>
          <w:sz w:val="22"/>
        </w:rPr>
        <w:t>HyperSteer™ MX定向钻头提供精确的转向能力，可在垂直、曲线和横向段最大化性能，并最小化井眼时间和降低井眼建设成本。该钻头减少了行程，降低了意外事件的暴露风险，并在最具磨蚀性的环境中保持定向精度。</w:t>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81" w:lineRule="auto" w:before="188" w:after="0"/>
        <w:ind w:left="30" w:right="144" w:firstLine="0"/>
        <w:jc w:val="left"/>
      </w:pPr>
      <w:r>
        <w:rPr>
          <w:rFonts w:ascii="ArialMT" w:hAnsi="ArialMT" w:eastAsia="ArialMT"/>
          <w:b w:val="0"/>
          <w:i w:val="0"/>
          <w:color w:val="404040"/>
          <w:sz w:val="22"/>
        </w:rPr>
        <w:t>HyperSteer™ MX 定向钻头扩展了 HyperSteer™ 投资组合，并体现了哈里伯顿对创新工程解决方案的投资，这些解决方案旨在使资产价值最大化。</w:t>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14"/>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88" w:lineRule="auto" w:before="488" w:after="0"/>
        <w:ind w:left="30" w:right="432" w:firstLine="0"/>
        <w:jc w:val="left"/>
      </w:pPr>
      <w:r>
        <w:rPr>
          <w:rFonts w:ascii="Arial" w:hAnsi="Arial" w:eastAsia="Arial"/>
          <w:b/>
          <w:i w:val="0"/>
          <w:color w:val="404040"/>
          <w:sz w:val="22"/>
        </w:rPr>
        <w:t>关于哈里伯顿 哈里伯顿是全球能源行业领先的产品和服务提供商之一。公司成立于1919年，我们创造创新的技术、产品和服务，帮助客户在资产的整个生命周期内实现价值最大化，并推动可持续能源的未来发展。访问我们的网站或在社交媒体上与我们联系</w:t>
      </w: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rFonts w:ascii="ArialMT" w:hAnsi="ArialMT" w:eastAsia="ArialMT"/>
          <w:b w:val="0"/>
          <w:i w:val="0"/>
          <w:color w:val="404040"/>
          <w:sz w:val="22"/>
        </w:rPr>
      </w:r>
      <w:r>
        <w:rPr>
          <w:u w:val="single" w:color="1154cc"/>
          <w:rFonts w:ascii="ArialMT" w:hAnsi="ArialMT" w:eastAsia="ArialMT"/>
          <w:b w:val="0"/>
          <w:i w:val="0"/>
          <w:color w:val="1155CC"/>
          <w:sz w:val="22"/>
        </w:rPr>
      </w:r>
      <w:r>
        <w:rPr>
          <w:rFonts w:ascii="ArialMT" w:hAnsi="ArialMT" w:eastAsia="ArialMT"/>
          <w:b w:val="0"/>
          <w:i w:val="0"/>
          <w:color w:val="404040"/>
          <w:sz w:val="22"/>
        </w:rPr>
      </w:r>
      <w:r>
        <w:rPr>
          <w:rFonts w:ascii="ArialMT" w:hAnsi="ArialMT" w:eastAsia="ArialMT"/>
          <w:b w:val="0"/>
          <w:i w:val="0"/>
          <w:color w:val="404040"/>
          <w:sz w:val="22"/>
        </w:rPr>
      </w:r>
    </w:p>
    <w:p>
      <w:pPr>
        <w:autoSpaceDN w:val="0"/>
        <w:autoSpaceDE w:val="0"/>
        <w:widowControl/>
        <w:spacing w:line="286" w:lineRule="auto" w:before="308" w:after="0"/>
        <w:ind w:left="0" w:right="0" w:firstLine="0"/>
        <w:jc w:val="center"/>
      </w:pPr>
      <w:r>
        <w:rPr>
          <w:rFonts w:ascii="ArialMT" w:hAnsi="ArialMT" w:eastAsia="ArialMT"/>
          <w:b w:val="0"/>
          <w:i w:val="0"/>
          <w:color w:val="404040"/>
          <w:sz w:val="22"/>
        </w:rPr>
        <w:t>###</w:t>
      </w:r>
    </w:p>
    <w:p>
      <w:pPr>
        <w:autoSpaceDN w:val="0"/>
        <w:autoSpaceDE w:val="0"/>
        <w:widowControl/>
        <w:spacing w:line="298" w:lineRule="auto" w:before="688" w:after="0"/>
        <w:ind w:left="0" w:right="84" w:firstLine="0"/>
        <w:jc w:val="right"/>
      </w:pPr>
      <w:r>
        <w:rPr>
          <w:rFonts w:ascii="ArialMT" w:hAnsi="ArialMT" w:eastAsia="ArialMT"/>
          <w:b w:val="0"/>
          <w:i w:val="0"/>
          <w:color w:val="404040"/>
          <w:sz w:val="20"/>
        </w:rPr>
        <w:t>第1页，共2页</w:t>
      </w:r>
      <w:r>
        <w:rPr>
          <w:rFonts w:ascii="Arial" w:hAnsi="Arial" w:eastAsia="Arial"/>
          <w:b/>
          <w:i w:val="0"/>
          <w:color w:val="404040"/>
          <w:sz w:val="20"/>
        </w:rPr>
      </w:r>
      <w:r>
        <w:rPr>
          <w:rFonts w:ascii="ArialMT" w:hAnsi="ArialMT" w:eastAsia="ArialMT"/>
          <w:b w:val="0"/>
          <w:i w:val="0"/>
          <w:color w:val="404040"/>
          <w:sz w:val="20"/>
        </w:rPr>
      </w:r>
      <w:r>
        <w:rPr>
          <w:rFonts w:ascii="Arial" w:hAnsi="Arial" w:eastAsia="Arial"/>
          <w:b/>
          <w:i w:val="0"/>
          <w:color w:val="404040"/>
          <w:sz w:val="20"/>
        </w:rPr>
      </w:r>
    </w:p>
    <w:p>
      <w:pPr>
        <w:sectPr>
          <w:pgSz w:w="12240" w:h="15840"/>
          <w:pgMar w:top="346" w:right="1358" w:bottom="444" w:left="1410" w:header="720" w:footer="720" w:gutter="0"/>
          <w:cols w:space="720" w:num="1" w:equalWidth="0">
            <w:col w:w="9472" w:space="0"/>
          </w:cols>
          <w:docGrid w:linePitch="360"/>
        </w:sectPr>
      </w:pPr>
    </w:p>
    <w:p>
      <w:pPr>
        <w:autoSpaceDN w:val="0"/>
        <w:autoSpaceDE w:val="0"/>
        <w:widowControl/>
        <w:spacing w:line="220" w:lineRule="exact" w:before="0" w:after="126"/>
        <w:ind w:left="0" w:right="0"/>
      </w:pPr>
    </w:p>
    <w:p>
      <w:pPr>
        <w:autoSpaceDN w:val="0"/>
        <w:autoSpaceDE w:val="0"/>
        <w:widowControl/>
        <w:spacing w:line="235" w:lineRule="auto" w:before="0" w:after="0"/>
        <w:ind w:left="0" w:right="20" w:firstLine="0"/>
        <w:jc w:val="right"/>
      </w:pPr>
      <w:r>
        <w:rPr>
          <w:rFonts w:ascii="Lato" w:hAnsi="Lato" w:eastAsia="Lato"/>
          <w:b/>
          <w:i w:val="0"/>
          <w:color w:val="404040"/>
          <w:sz w:val="26"/>
        </w:rPr>
        <w:t>产品公告</w:t>
      </w:r>
    </w:p>
    <w:p>
      <w:pPr>
        <w:autoSpaceDN w:val="0"/>
        <w:autoSpaceDE w:val="0"/>
        <w:widowControl/>
        <w:spacing w:line="240" w:lineRule="auto" w:before="40" w:after="0"/>
        <w:ind w:left="0" w:right="0" w:firstLine="0"/>
        <w:jc w:val="left"/>
      </w:pPr>
      <w:r>
        <w:drawing>
          <wp:inline xmlns:a="http://schemas.openxmlformats.org/drawingml/2006/main" xmlns:pic="http://schemas.openxmlformats.org/drawingml/2006/picture">
            <wp:extent cx="1925320" cy="17271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25320" cy="172719"/>
                    </a:xfrm>
                    <a:prstGeom prst="rect"/>
                  </pic:spPr>
                </pic:pic>
              </a:graphicData>
            </a:graphic>
          </wp:inline>
        </w:drawing>
      </w:r>
    </w:p>
    <w:p>
      <w:pPr>
        <w:autoSpaceDN w:val="0"/>
        <w:autoSpaceDE w:val="0"/>
        <w:widowControl/>
        <w:spacing w:line="281" w:lineRule="auto" w:before="154" w:after="0"/>
        <w:ind w:left="30" w:right="4752" w:firstLine="0"/>
        <w:jc w:val="left"/>
      </w:pPr>
      <w:r>
        <w:rPr>
          <w:rFonts w:ascii="ArialMT" w:hAnsi="ArialMT" w:eastAsia="ArialMT"/>
          <w:b w:val="0"/>
          <w:i w:val="0"/>
          <w:color w:val="404040"/>
          <w:sz w:val="20"/>
        </w:rPr>
        <w:t>3000 N. Sam Houston Pkwy E., 休斯顿, 得克萨斯州 77032 电话: 281-871-3602</w:t>
      </w:r>
      <w:r/>
      <w:r>
        <w:rPr>
          <w:rFonts w:ascii="ArialMT" w:hAnsi="ArialMT" w:eastAsia="ArialMT"/>
          <w:b w:val="0"/>
          <w:i w:val="0"/>
          <w:color w:val="404040"/>
          <w:sz w:val="20"/>
        </w:rPr>
      </w:r>
    </w:p>
    <w:p>
      <w:pPr>
        <w:autoSpaceDN w:val="0"/>
        <w:autoSpaceDE w:val="0"/>
        <w:widowControl/>
        <w:spacing w:line="300" w:lineRule="auto" w:before="498" w:after="172"/>
        <w:ind w:left="30" w:right="0" w:firstLine="0"/>
        <w:jc w:val="left"/>
      </w:pPr>
      <w:r>
        <w:rPr>
          <w:rFonts w:ascii="Arial" w:hAnsi="Arial" w:eastAsia="Arial"/>
          <w:b/>
          <w:i w:val="0"/>
          <w:color w:val="404040"/>
          <w:sz w:val="22"/>
        </w:rPr>
        <w:t>联系人</w:t>
      </w:r>
    </w:p>
    <w:p>
      <w:pPr>
        <w:sectPr>
          <w:pgSz w:w="12240" w:h="15840"/>
          <w:pgMar w:top="346" w:right="1358" w:bottom="444" w:left="1410" w:header="720" w:footer="720" w:gutter="0"/>
          <w:cols w:space="720" w:num="1" w:equalWidth="0">
            <w:col w:w="9472" w:space="0"/>
            <w:col w:w="9472" w:space="0"/>
          </w:cols>
          <w:docGrid w:linePitch="360"/>
        </w:sectPr>
      </w:pPr>
    </w:p>
    <w:p>
      <w:pPr>
        <w:autoSpaceDN w:val="0"/>
        <w:autoSpaceDE w:val="0"/>
        <w:widowControl/>
        <w:spacing w:line="278" w:lineRule="auto" w:before="0" w:after="0"/>
        <w:ind w:left="26" w:right="1008" w:firstLine="0"/>
        <w:jc w:val="left"/>
      </w:pPr>
      <w:r>
        <w:rPr>
          <w:rFonts w:ascii="Arial" w:hAnsi="Arial" w:eastAsia="Arial"/>
          <w:b/>
          <w:i w:val="0"/>
          <w:color w:val="404040"/>
          <w:sz w:val="22"/>
        </w:rPr>
        <w:t>媒体联系人：亚历山德拉·弗朗西斯基</w:t>
      </w:r>
      <w:r/>
      <w:r>
        <w:rPr>
          <w:rFonts w:ascii="ArialMT" w:hAnsi="ArialMT" w:eastAsia="ArialMT"/>
          <w:b w:val="0"/>
          <w:i w:val="0"/>
          <w:color w:val="404040"/>
          <w:sz w:val="22"/>
        </w:rPr>
      </w:r>
      <w:r>
        <w:rPr>
          <w:u w:val="single" w:color="1154cc"/>
          <w:rFonts w:ascii="ArialMT" w:hAnsi="ArialMT" w:eastAsia="ArialMT"/>
          <w:b w:val="0"/>
          <w:i w:val="0"/>
          <w:color w:val="1155CC"/>
          <w:sz w:val="22"/>
        </w:rPr>
      </w:r>
      <w:r/>
      <w:r>
        <w:rPr>
          <w:rFonts w:ascii="ArialMT" w:hAnsi="ArialMT" w:eastAsia="ArialMT"/>
          <w:b w:val="0"/>
          <w:i w:val="0"/>
          <w:color w:val="404040"/>
          <w:sz w:val="22"/>
        </w:rPr>
      </w:r>
    </w:p>
    <w:p>
      <w:pPr>
        <w:sectPr>
          <w:type w:val="continuous"/>
          <w:pgSz w:w="12240" w:h="15840"/>
          <w:pgMar w:top="346" w:right="1358" w:bottom="444" w:left="1410" w:header="720" w:footer="720" w:gutter="0"/>
          <w:cols w:space="720" w:num="2" w:equalWidth="0">
            <w:col w:w="3312" w:space="0"/>
            <w:col w:w="6160" w:space="0"/>
            <w:col w:w="9472" w:space="0"/>
            <w:col w:w="9472" w:space="0"/>
          </w:cols>
          <w:docGrid w:linePitch="360"/>
        </w:sectPr>
      </w:pPr>
    </w:p>
    <w:p>
      <w:pPr>
        <w:autoSpaceDN w:val="0"/>
        <w:autoSpaceDE w:val="0"/>
        <w:widowControl/>
        <w:spacing w:line="278" w:lineRule="auto" w:before="0" w:after="0"/>
        <w:ind w:left="1142" w:right="2016" w:firstLine="0"/>
        <w:jc w:val="left"/>
      </w:pPr>
      <w:r>
        <w:rPr>
          <w:rFonts w:ascii="Arial" w:hAnsi="Arial" w:eastAsia="Arial"/>
          <w:b/>
          <w:i w:val="0"/>
          <w:color w:val="404040"/>
          <w:sz w:val="22"/>
        </w:rPr>
        <w:t>投资者关系联系人：大卫·科尔曼</w:t>
      </w:r>
      <w:r/>
      <w:r>
        <w:rPr>
          <w:rFonts w:ascii="ArialMT" w:hAnsi="ArialMT" w:eastAsia="ArialMT"/>
          <w:b w:val="0"/>
          <w:i w:val="0"/>
          <w:color w:val="404040"/>
          <w:sz w:val="22"/>
        </w:rPr>
      </w:r>
      <w:r/>
      <w:r>
        <w:rPr>
          <w:u w:val="single" w:color="1154cc"/>
          <w:rFonts w:ascii="ArialMT" w:hAnsi="ArialMT" w:eastAsia="ArialMT"/>
          <w:b w:val="0"/>
          <w:i w:val="0"/>
          <w:color w:val="1155CC"/>
          <w:sz w:val="22"/>
        </w:rPr>
      </w:r>
      <w:r/>
      <w:r>
        <w:rPr>
          <w:rFonts w:ascii="ArialMT" w:hAnsi="ArialMT" w:eastAsia="ArialMT"/>
          <w:b w:val="0"/>
          <w:i w:val="0"/>
          <w:color w:val="404040"/>
          <w:sz w:val="22"/>
        </w:rPr>
      </w:r>
    </w:p>
    <w:sectPr w:rsidR="00FC693F" w:rsidRPr="0006063C" w:rsidSect="00034616">
      <w:type w:val="nextColumn"/>
      <w:pgSz w:w="12240" w:h="15840"/>
      <w:pgMar w:top="346" w:right="1358" w:bottom="444" w:left="1410" w:header="720" w:footer="720" w:gutter="0"/>
      <w:cols w:space="720" w:num="2" w:equalWidth="0">
        <w:col w:w="3312" w:space="0"/>
        <w:col w:w="6160" w:space="0"/>
        <w:col w:w="9472" w:space="0"/>
        <w:col w:w="9472"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halliburton.com/en/products/hypersteer-directional-drill-bits?utm_campaign=hypersteer_mx&amp;utm_id=701aJ00000ZCj23QAD&amp;utm_source=product_announcement&amp;utm_medium=pdf" TargetMode="External"/><Relationship Id="rId11" Type="http://schemas.openxmlformats.org/officeDocument/2006/relationships/hyperlink" Target="https://www.halliburton.com/?utm_campaign=hypersteer_mx&amp;utm_id=701aJ00000ZCj23QAD&amp;utm_source=product_announcement&amp;utm_medium=pdf" TargetMode="External"/><Relationship Id="rId12" Type="http://schemas.openxmlformats.org/officeDocument/2006/relationships/hyperlink" Target="http://www.linkedin.com/company/halliburton" TargetMode="External"/><Relationship Id="rId13" Type="http://schemas.openxmlformats.org/officeDocument/2006/relationships/hyperlink" Target="http://www.youtube.com/halliburton" TargetMode="External"/><Relationship Id="rId14" Type="http://schemas.openxmlformats.org/officeDocument/2006/relationships/hyperlink" Target="https://www.instagram.com/halliburton" TargetMode="External"/><Relationship Id="rId15" Type="http://schemas.openxmlformats.org/officeDocument/2006/relationships/hyperlink" Target="mailto:pr@halliburton.com" TargetMode="External"/><Relationship Id="rId16" Type="http://schemas.openxmlformats.org/officeDocument/2006/relationships/hyperlink" Target="mailto:investors@halliburt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