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810">
          <v:rect xmlns:o="urn:schemas-microsoft-com:office:office" xmlns:v="urn:schemas-microsoft-com:vml" id="rectole0000000000" style="width:172.0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Тест 5.1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Добавяне на продукт към кошницата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Да се натисне бутона "Add to cart"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Интернет връзка и наличие на бутон "Add to cart" на сайта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URL: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29.05.218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ВелизарАМ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5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Натискане на бутона Add to cart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Отваряне на заглавната страница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с група продукти 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бутон "ADD to cart" под всеки от тях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Падащо меню с осъвременено съдържание на кошницата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" Id="docRId4" Type="http://schemas.openxmlformats.org/officeDocument/2006/relationships/hyperlink" /><Relationship Target="styles.xml" Id="docRId6" Type="http://schemas.openxmlformats.org/officeDocument/2006/relationships/styles" /></Relationships>
</file>