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82" w:dyaOrig="829">
          <v:rect xmlns:o="urn:schemas-microsoft-com:office:office" xmlns:v="urn:schemas-microsoft-com:vml" id="rectole0000000000" style="width:174.100000pt;height:4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Тест 5.2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 adding shipping fee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Автоматично начисляване на пощенска такса при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добавяне на продукт в кошницата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Интернет връзка и наличие на бутон "Add to cart" на сайта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URL: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</w:t>
              </w:r>
            </w:hyperlink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29.05.218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ВелизарАМ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825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отваряне на </w:t>
            </w: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2.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Натискане на бутона Add to cart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Отваряне на интернет страница с група продукти 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бутон "ADD to cart" под всеки от тях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Отваряне на падащо меню с ясно видима такса за пощенска пратка.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automationpractice.com/index.php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Mode="External" Target="http://automationpractice.com/index.php" Id="docRId4" Type="http://schemas.openxmlformats.org/officeDocument/2006/relationships/hyperlink" /><Relationship Target="styles.xml" Id="docRId6" Type="http://schemas.openxmlformats.org/officeDocument/2006/relationships/styles" /></Relationships>
</file>