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4" w:dyaOrig="829">
          <v:rect xmlns:o="urn:schemas-microsoft-com:office:office" xmlns:v="urn:schemas-microsoft-com:vml" id="rectole0000000000" style="width:182.20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Тест 5.3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Отваряне на меню за вписване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Да се пробва "Sign in" бутонът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Интернет връзка и наличие на бутон "Sign in" на сайта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URL: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29.05.218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ВелизарАМ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82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Натискане на бутона Sign in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заглавната страница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Отваряне на нова страница с полета за вписване на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данни за регистрация.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automationpractice.com/index.php" Id="docRId4" Type="http://schemas.openxmlformats.org/officeDocument/2006/relationships/hyperlink" /><Relationship Target="styles.xml" Id="docRId6" Type="http://schemas.openxmlformats.org/officeDocument/2006/relationships/styles" /></Relationships>
</file>