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1DF62" w14:textId="77777777" w:rsidR="00562411" w:rsidRPr="00562411" w:rsidRDefault="00562411" w:rsidP="00562411">
      <w:pPr>
        <w:pStyle w:val="Heading1"/>
        <w:rPr>
          <w:rFonts w:ascii="Palatino Linotype" w:hAnsi="Palatino Linotype"/>
        </w:rPr>
      </w:pPr>
      <w:bookmarkStart w:id="0" w:name="_Toc461048122"/>
      <w:bookmarkStart w:id="1" w:name="_Toc462334257"/>
      <w:r w:rsidRPr="00562411">
        <w:rPr>
          <w:rFonts w:ascii="Palatino Linotype" w:hAnsi="Palatino Linotype"/>
        </w:rPr>
        <w:t>Feature Updates</w:t>
      </w:r>
      <w:bookmarkEnd w:id="0"/>
      <w:bookmarkEnd w:id="1"/>
    </w:p>
    <w:p w14:paraId="2D93A05F" w14:textId="77777777" w:rsidR="00562411" w:rsidRPr="00562411" w:rsidRDefault="00562411" w:rsidP="00562411">
      <w:pPr>
        <w:pStyle w:val="Heading2"/>
        <w:rPr>
          <w:rFonts w:ascii="Palatino Linotype" w:hAnsi="Palatino Linotype"/>
          <w:color w:val="0070C0"/>
        </w:rPr>
      </w:pPr>
      <w:bookmarkStart w:id="2" w:name="_Toc461048123"/>
      <w:bookmarkStart w:id="3" w:name="_Toc462334258"/>
      <w:r w:rsidRPr="00562411">
        <w:rPr>
          <w:rFonts w:ascii="Palatino Linotype" w:hAnsi="Palatino Linotype"/>
          <w:color w:val="0070C0"/>
        </w:rPr>
        <w:t>NoC Construction Improvements</w:t>
      </w:r>
      <w:bookmarkEnd w:id="2"/>
      <w:bookmarkEnd w:id="3"/>
    </w:p>
    <w:p w14:paraId="137C3A53" w14:textId="7FD3C1B6" w:rsidR="00562411" w:rsidRPr="00562411" w:rsidRDefault="001B2148" w:rsidP="00562411">
      <w:pPr>
        <w:pStyle w:val="Heading3"/>
        <w:rPr>
          <w:rFonts w:ascii="Palatino Linotype" w:hAnsi="Palatino Linotype"/>
        </w:rPr>
      </w:pPr>
      <w:bookmarkStart w:id="4" w:name="_Toc461048124"/>
      <w:bookmarkStart w:id="5" w:name="_Toc462334259"/>
      <w:r>
        <w:rPr>
          <w:rFonts w:ascii="Palatino Linotype" w:hAnsi="Palatino Linotype"/>
        </w:rPr>
        <w:t>Isolate and reduce c</w:t>
      </w:r>
      <w:r w:rsidR="00562411" w:rsidRPr="00562411">
        <w:rPr>
          <w:rFonts w:ascii="Palatino Linotype" w:hAnsi="Palatino Linotype"/>
        </w:rPr>
        <w:t>ongestion</w:t>
      </w:r>
      <w:bookmarkEnd w:id="4"/>
      <w:bookmarkEnd w:id="5"/>
    </w:p>
    <w:p w14:paraId="1FD64584" w14:textId="77777777" w:rsidR="00562411" w:rsidRPr="00562411" w:rsidRDefault="00562411" w:rsidP="009750EF">
      <w:pPr>
        <w:rPr>
          <w:rFonts w:ascii="Palatino Linotype" w:hAnsi="Palatino Linotype"/>
        </w:rPr>
      </w:pPr>
      <w:r w:rsidRPr="00562411">
        <w:rPr>
          <w:rFonts w:ascii="Palatino Linotype" w:hAnsi="Palatino Linotype"/>
        </w:rPr>
        <w:t xml:space="preserve">NocStudio can now take special consideration while mapping high bandwidth traffic (based on the traffic rate or overall load on the transmitting and receiving interfaces) to isolate them from other traffic so as to reduce congestion in the NoC. </w:t>
      </w:r>
    </w:p>
    <w:p w14:paraId="7A3597BD" w14:textId="77777777" w:rsidR="00562411" w:rsidRPr="00562411" w:rsidRDefault="00562411" w:rsidP="00562411">
      <w:pPr>
        <w:pStyle w:val="ListParagraph"/>
        <w:numPr>
          <w:ilvl w:val="0"/>
          <w:numId w:val="43"/>
        </w:numPr>
        <w:rPr>
          <w:rFonts w:ascii="Palatino Linotype" w:hAnsi="Palatino Linotype"/>
        </w:rPr>
      </w:pPr>
      <w:r w:rsidRPr="00562411">
        <w:rPr>
          <w:rFonts w:ascii="Palatino Linotype" w:hAnsi="Palatino Linotype"/>
        </w:rPr>
        <w:t xml:space="preserve">The user can also sort traffic flows so as to map high bandwidth traffic flows first using the option “high_rate_traffic_flows” in the sort order argument to the map_opt command. NocStudio also automatically uses “high_rate_traffic_flows” as one of the many sort orders to sort traffic flows in each iteration of map_opt. </w:t>
      </w:r>
    </w:p>
    <w:p w14:paraId="750B361A" w14:textId="78B2A095" w:rsidR="00562411" w:rsidRPr="00562411" w:rsidRDefault="00562411" w:rsidP="00562411">
      <w:pPr>
        <w:pStyle w:val="ListParagraph"/>
        <w:numPr>
          <w:ilvl w:val="0"/>
          <w:numId w:val="43"/>
        </w:numPr>
        <w:rPr>
          <w:rFonts w:ascii="Palatino Linotype" w:hAnsi="Palatino Linotype"/>
        </w:rPr>
      </w:pPr>
      <w:r w:rsidRPr="00562411">
        <w:rPr>
          <w:rFonts w:ascii="Palatino Linotype" w:hAnsi="Palatino Linotype"/>
        </w:rPr>
        <w:t>The user can choose to make NocStudio avoid the mapping of high rate traffic flows and low rate traffic flows on the same VC as part of its mapping algorithm by using the “separate_high_rate_traffic_flows” argument in map_opt</w:t>
      </w:r>
      <w:r w:rsidR="003910C5">
        <w:rPr>
          <w:rFonts w:ascii="Palatino Linotype" w:hAnsi="Palatino Linotype"/>
        </w:rPr>
        <w:t>.</w:t>
      </w:r>
    </w:p>
    <w:p w14:paraId="4A277ACE" w14:textId="77777777" w:rsidR="00562411" w:rsidRPr="00562411" w:rsidRDefault="00562411" w:rsidP="00562411">
      <w:pPr>
        <w:pStyle w:val="Heading3"/>
        <w:rPr>
          <w:rFonts w:ascii="Palatino Linotype" w:hAnsi="Palatino Linotype"/>
        </w:rPr>
      </w:pPr>
      <w:bookmarkStart w:id="6" w:name="_Toc461048125"/>
      <w:bookmarkStart w:id="7" w:name="_Toc462334260"/>
      <w:r w:rsidRPr="00562411">
        <w:rPr>
          <w:rFonts w:ascii="Palatino Linotype" w:hAnsi="Palatino Linotype"/>
        </w:rPr>
        <w:t>Automated FIFO sizing</w:t>
      </w:r>
      <w:bookmarkEnd w:id="6"/>
      <w:bookmarkEnd w:id="7"/>
    </w:p>
    <w:p w14:paraId="679F184F" w14:textId="77777777" w:rsidR="00562411" w:rsidRPr="00562411" w:rsidRDefault="00562411" w:rsidP="009750EF">
      <w:pPr>
        <w:rPr>
          <w:rFonts w:ascii="Palatino Linotype" w:hAnsi="Palatino Linotype"/>
        </w:rPr>
      </w:pPr>
      <w:r w:rsidRPr="00562411">
        <w:rPr>
          <w:rFonts w:ascii="Palatino Linotype" w:hAnsi="Palatino Linotype"/>
        </w:rPr>
        <w:t>Automatic sizing of FIFO depth on VC’s with high bandwidth traffic during tune_links to prevent congestion in the NoC and head of line blocking.</w:t>
      </w:r>
    </w:p>
    <w:p w14:paraId="5D7488FB" w14:textId="77777777" w:rsidR="00562411" w:rsidRPr="00562411" w:rsidRDefault="00562411" w:rsidP="00562411">
      <w:pPr>
        <w:pStyle w:val="Heading3"/>
        <w:rPr>
          <w:rFonts w:ascii="Palatino Linotype" w:hAnsi="Palatino Linotype"/>
        </w:rPr>
      </w:pPr>
      <w:bookmarkStart w:id="8" w:name="_Toc461048126"/>
      <w:bookmarkStart w:id="9" w:name="_Toc462334261"/>
      <w:r w:rsidRPr="00562411">
        <w:rPr>
          <w:rFonts w:ascii="Palatino Linotype" w:hAnsi="Palatino Linotype"/>
        </w:rPr>
        <w:t>Automated tune_links</w:t>
      </w:r>
      <w:bookmarkEnd w:id="8"/>
      <w:bookmarkEnd w:id="9"/>
    </w:p>
    <w:p w14:paraId="5AB7EFCE" w14:textId="77777777" w:rsidR="00562411" w:rsidRPr="00562411" w:rsidRDefault="00562411" w:rsidP="009750EF">
      <w:pPr>
        <w:rPr>
          <w:rFonts w:ascii="Palatino Linotype" w:hAnsi="Palatino Linotype"/>
        </w:rPr>
      </w:pPr>
      <w:r w:rsidRPr="00562411">
        <w:rPr>
          <w:rFonts w:ascii="Palatino Linotype" w:hAnsi="Palatino Linotype"/>
          <w:i/>
        </w:rPr>
        <w:t>tune_links</w:t>
      </w:r>
      <w:r w:rsidRPr="00562411">
        <w:rPr>
          <w:rFonts w:ascii="Palatino Linotype" w:hAnsi="Palatino Linotype"/>
        </w:rPr>
        <w:t xml:space="preserve"> is now run automatically at the end of map_opt to tune the link widths and FIFO depths. </w:t>
      </w:r>
      <w:r w:rsidRPr="00562411">
        <w:rPr>
          <w:rFonts w:ascii="Palatino Linotype" w:hAnsi="Palatino Linotype"/>
          <w:i/>
        </w:rPr>
        <w:t>tune_links</w:t>
      </w:r>
      <w:r w:rsidRPr="00562411">
        <w:rPr>
          <w:rFonts w:ascii="Palatino Linotype" w:hAnsi="Palatino Linotype"/>
        </w:rPr>
        <w:t xml:space="preserve"> is also a separate command that a customer can choose to run.</w:t>
      </w:r>
    </w:p>
    <w:p w14:paraId="5D779DE2" w14:textId="77777777" w:rsidR="00562411" w:rsidRPr="00562411" w:rsidRDefault="00562411" w:rsidP="00562411">
      <w:pPr>
        <w:pStyle w:val="Heading2"/>
        <w:rPr>
          <w:rFonts w:ascii="Palatino Linotype" w:hAnsi="Palatino Linotype"/>
          <w:color w:val="0070C0"/>
        </w:rPr>
      </w:pPr>
      <w:bookmarkStart w:id="10" w:name="_Toc462334262"/>
      <w:bookmarkStart w:id="11" w:name="_Toc461048127"/>
      <w:r w:rsidRPr="00562411">
        <w:rPr>
          <w:rFonts w:ascii="Palatino Linotype" w:hAnsi="Palatino Linotype"/>
          <w:color w:val="0070C0"/>
        </w:rPr>
        <w:t>GUI Enhancements</w:t>
      </w:r>
      <w:bookmarkEnd w:id="10"/>
    </w:p>
    <w:p w14:paraId="50F0BE18" w14:textId="77777777" w:rsidR="00562411" w:rsidRPr="00562411" w:rsidRDefault="00562411" w:rsidP="00562411">
      <w:pPr>
        <w:pStyle w:val="Heading3"/>
        <w:rPr>
          <w:rFonts w:ascii="Palatino Linotype" w:hAnsi="Palatino Linotype"/>
        </w:rPr>
      </w:pPr>
      <w:bookmarkStart w:id="12" w:name="_Toc462334263"/>
      <w:r w:rsidRPr="00562411">
        <w:rPr>
          <w:rFonts w:ascii="Palatino Linotype" w:hAnsi="Palatino Linotype"/>
        </w:rPr>
        <w:t>Hide toolbars to increase screen real estate</w:t>
      </w:r>
      <w:bookmarkEnd w:id="12"/>
    </w:p>
    <w:p w14:paraId="3EB97423" w14:textId="77777777" w:rsidR="00562411" w:rsidRPr="00562411" w:rsidRDefault="00562411" w:rsidP="002B1CF1">
      <w:pPr>
        <w:rPr>
          <w:rFonts w:ascii="Palatino Linotype" w:eastAsiaTheme="minorHAnsi" w:hAnsi="Palatino Linotype"/>
        </w:rPr>
      </w:pPr>
      <w:r w:rsidRPr="00562411">
        <w:rPr>
          <w:rFonts w:ascii="Palatino Linotype" w:hAnsi="Palatino Linotype"/>
        </w:rPr>
        <w:t>Press Ctrl+H to hide/unhide the drawing toolbar and the top toolbar to increase the screen real estate.</w:t>
      </w:r>
    </w:p>
    <w:p w14:paraId="6BA93F40" w14:textId="77777777" w:rsidR="00562411" w:rsidRPr="00562411" w:rsidRDefault="00562411" w:rsidP="00562411">
      <w:pPr>
        <w:pStyle w:val="Heading3"/>
        <w:rPr>
          <w:rFonts w:ascii="Palatino Linotype" w:hAnsi="Palatino Linotype"/>
        </w:rPr>
      </w:pPr>
      <w:bookmarkStart w:id="13" w:name="_Toc462334264"/>
      <w:r w:rsidRPr="00562411">
        <w:rPr>
          <w:rFonts w:ascii="Palatino Linotype" w:hAnsi="Palatino Linotype"/>
        </w:rPr>
        <w:t>Minimize the toolbars and the property panels to side tabs</w:t>
      </w:r>
      <w:bookmarkEnd w:id="13"/>
      <w:r w:rsidRPr="00562411">
        <w:rPr>
          <w:rFonts w:ascii="Palatino Linotype" w:hAnsi="Palatino Linotype"/>
        </w:rPr>
        <w:t xml:space="preserve">     </w:t>
      </w:r>
    </w:p>
    <w:p w14:paraId="56EC609A" w14:textId="77777777" w:rsidR="00562411" w:rsidRPr="00562411" w:rsidRDefault="00562411" w:rsidP="002B1CF1">
      <w:pPr>
        <w:rPr>
          <w:rFonts w:ascii="Palatino Linotype" w:eastAsiaTheme="minorHAnsi" w:hAnsi="Palatino Linotype"/>
        </w:rPr>
      </w:pPr>
      <w:r w:rsidRPr="00562411">
        <w:rPr>
          <w:rFonts w:ascii="Palatino Linotype" w:hAnsi="Palatino Linotype"/>
        </w:rPr>
        <w:t>The drawing toolbar, top toolbar and the property toolbar can be minimized to the sides to appear as tabs.</w:t>
      </w:r>
    </w:p>
    <w:p w14:paraId="4542D294" w14:textId="77777777" w:rsidR="00562411" w:rsidRPr="00562411" w:rsidRDefault="00562411" w:rsidP="00562411">
      <w:pPr>
        <w:pStyle w:val="Heading3"/>
        <w:rPr>
          <w:rFonts w:ascii="Palatino Linotype" w:hAnsi="Palatino Linotype"/>
        </w:rPr>
      </w:pPr>
      <w:bookmarkStart w:id="14" w:name="_Toc462334265"/>
      <w:r w:rsidRPr="00562411">
        <w:rPr>
          <w:rFonts w:ascii="Palatino Linotype" w:hAnsi="Palatino Linotype"/>
        </w:rPr>
        <w:t>Hide inactive layers after mapping</w:t>
      </w:r>
      <w:bookmarkEnd w:id="14"/>
    </w:p>
    <w:p w14:paraId="2F95616A" w14:textId="327089D1" w:rsidR="00562411" w:rsidRPr="00562411" w:rsidRDefault="00562411" w:rsidP="002B1CF1">
      <w:pPr>
        <w:rPr>
          <w:rFonts w:ascii="Palatino Linotype" w:eastAsiaTheme="minorHAnsi" w:hAnsi="Palatino Linotype"/>
        </w:rPr>
      </w:pPr>
      <w:r w:rsidRPr="00562411">
        <w:rPr>
          <w:rFonts w:ascii="Palatino Linotype" w:hAnsi="Palatino Linotype"/>
        </w:rPr>
        <w:t>The layers that don’t have any traffic mapped on them are automatically hidden after mapping</w:t>
      </w:r>
      <w:r w:rsidR="001B2148">
        <w:rPr>
          <w:rFonts w:ascii="Palatino Linotype" w:hAnsi="Palatino Linotype"/>
        </w:rPr>
        <w:t>.</w:t>
      </w:r>
      <w:r w:rsidRPr="00562411">
        <w:rPr>
          <w:rFonts w:ascii="Palatino Linotype" w:hAnsi="Palatino Linotype"/>
        </w:rPr>
        <w:t xml:space="preserve">  </w:t>
      </w:r>
    </w:p>
    <w:p w14:paraId="10C6FDB2" w14:textId="77777777" w:rsidR="00562411" w:rsidRPr="00562411" w:rsidRDefault="00562411" w:rsidP="00562411">
      <w:pPr>
        <w:pStyle w:val="Heading3"/>
        <w:rPr>
          <w:rFonts w:ascii="Palatino Linotype" w:hAnsi="Palatino Linotype"/>
        </w:rPr>
      </w:pPr>
      <w:bookmarkStart w:id="15" w:name="_Toc462334266"/>
      <w:r w:rsidRPr="00562411">
        <w:rPr>
          <w:rFonts w:ascii="Palatino Linotype" w:hAnsi="Palatino Linotype"/>
        </w:rPr>
        <w:lastRenderedPageBreak/>
        <w:t>New way to add/remove link and port blockages in the Blockage View</w:t>
      </w:r>
      <w:bookmarkEnd w:id="15"/>
    </w:p>
    <w:p w14:paraId="3CFF5581" w14:textId="5817278C" w:rsidR="00562411" w:rsidRPr="00562411" w:rsidRDefault="00562411" w:rsidP="002B1CF1">
      <w:pPr>
        <w:rPr>
          <w:rFonts w:ascii="Palatino Linotype" w:eastAsiaTheme="minorHAnsi" w:hAnsi="Palatino Linotype"/>
        </w:rPr>
      </w:pPr>
      <w:r w:rsidRPr="00562411">
        <w:rPr>
          <w:rFonts w:ascii="Palatino Linotype" w:hAnsi="Palatino Linotype"/>
        </w:rPr>
        <w:t>In the blockage view, left click on a link to add/remove a link blockage (add</w:t>
      </w:r>
      <w:r w:rsidR="00E863BB">
        <w:rPr>
          <w:rFonts w:ascii="Palatino Linotype" w:hAnsi="Palatino Linotype"/>
        </w:rPr>
        <w:t>/remove</w:t>
      </w:r>
      <w:r w:rsidRPr="00562411">
        <w:rPr>
          <w:rFonts w:ascii="Palatino Linotype" w:hAnsi="Palatino Linotype"/>
        </w:rPr>
        <w:t xml:space="preserve"> blockage to that link on all layers), and right click to add/remove a port blockage (add</w:t>
      </w:r>
      <w:r w:rsidR="00E863BB">
        <w:rPr>
          <w:rFonts w:ascii="Palatino Linotype" w:hAnsi="Palatino Linotype"/>
        </w:rPr>
        <w:t>/remove</w:t>
      </w:r>
      <w:r w:rsidRPr="00562411">
        <w:rPr>
          <w:rFonts w:ascii="Palatino Linotype" w:hAnsi="Palatino Linotype"/>
        </w:rPr>
        <w:t xml:space="preserve"> blockage on the link only on the clicked layer)</w:t>
      </w:r>
      <w:r w:rsidR="00B166EB">
        <w:rPr>
          <w:rFonts w:ascii="Palatino Linotype" w:hAnsi="Palatino Linotype"/>
        </w:rPr>
        <w:t>.</w:t>
      </w:r>
      <w:r w:rsidRPr="00562411">
        <w:rPr>
          <w:rFonts w:ascii="Palatino Linotype" w:hAnsi="Palatino Linotype"/>
        </w:rPr>
        <w:t xml:space="preserve">            </w:t>
      </w:r>
    </w:p>
    <w:p w14:paraId="2A80066A" w14:textId="7E0B00E9" w:rsidR="00562411" w:rsidRPr="00562411" w:rsidRDefault="00562411" w:rsidP="00562411">
      <w:pPr>
        <w:pStyle w:val="Heading3"/>
        <w:rPr>
          <w:rFonts w:ascii="Palatino Linotype" w:hAnsi="Palatino Linotype"/>
        </w:rPr>
      </w:pPr>
      <w:bookmarkStart w:id="16" w:name="_Toc462334267"/>
      <w:r w:rsidRPr="00562411">
        <w:rPr>
          <w:rFonts w:ascii="Palatino Linotype" w:hAnsi="Palatino Linotype"/>
        </w:rPr>
        <w:t>Collapse all the buttons to add the different bridges to single ‘Add’ button</w:t>
      </w:r>
      <w:bookmarkEnd w:id="16"/>
    </w:p>
    <w:p w14:paraId="0C82CE1A" w14:textId="1474A84D" w:rsidR="00562411" w:rsidRPr="00562411" w:rsidRDefault="00562411" w:rsidP="002B1CF1">
      <w:pPr>
        <w:rPr>
          <w:rFonts w:ascii="Palatino Linotype" w:eastAsiaTheme="minorHAnsi" w:hAnsi="Palatino Linotype"/>
        </w:rPr>
      </w:pPr>
      <w:r w:rsidRPr="00562411">
        <w:rPr>
          <w:rFonts w:ascii="Palatino Linotype" w:hAnsi="Palatino Linotype"/>
        </w:rPr>
        <w:t xml:space="preserve">The add buttons of different </w:t>
      </w:r>
      <w:r w:rsidR="0001420F">
        <w:rPr>
          <w:rFonts w:ascii="Palatino Linotype" w:hAnsi="Palatino Linotype"/>
        </w:rPr>
        <w:t xml:space="preserve">bridges </w:t>
      </w:r>
      <w:r w:rsidRPr="00562411">
        <w:rPr>
          <w:rFonts w:ascii="Palatino Linotype" w:hAnsi="Palatino Linotype"/>
        </w:rPr>
        <w:t>are all collapsed into one ‘Add’ button</w:t>
      </w:r>
      <w:r w:rsidR="00B166EB">
        <w:rPr>
          <w:rFonts w:ascii="Palatino Linotype" w:hAnsi="Palatino Linotype"/>
        </w:rPr>
        <w:t>.</w:t>
      </w:r>
    </w:p>
    <w:p w14:paraId="11297AC3" w14:textId="77777777" w:rsidR="00562411" w:rsidRPr="00562411" w:rsidRDefault="00562411" w:rsidP="00562411">
      <w:pPr>
        <w:pStyle w:val="Heading3"/>
        <w:rPr>
          <w:rFonts w:ascii="Palatino Linotype" w:hAnsi="Palatino Linotype"/>
        </w:rPr>
      </w:pPr>
      <w:bookmarkStart w:id="17" w:name="_Toc462334268"/>
      <w:r w:rsidRPr="00562411">
        <w:rPr>
          <w:rFonts w:ascii="Palatino Linotype" w:hAnsi="Palatino Linotype"/>
        </w:rPr>
        <w:t>Errored commands remain on console for editing</w:t>
      </w:r>
      <w:bookmarkEnd w:id="17"/>
    </w:p>
    <w:p w14:paraId="7F5750F8" w14:textId="4426E27F" w:rsidR="00562411" w:rsidRPr="00562411" w:rsidRDefault="00562411" w:rsidP="002B1CF1">
      <w:pPr>
        <w:rPr>
          <w:rFonts w:ascii="Palatino Linotype" w:eastAsiaTheme="minorHAnsi" w:hAnsi="Palatino Linotype"/>
        </w:rPr>
      </w:pPr>
      <w:r w:rsidRPr="00562411">
        <w:rPr>
          <w:rFonts w:ascii="Palatino Linotype" w:hAnsi="Palatino Linotype"/>
        </w:rPr>
        <w:t>An errored command remains on the console so that the user can edit it rather than having to retype the entire command</w:t>
      </w:r>
      <w:r w:rsidR="00B166EB">
        <w:rPr>
          <w:rFonts w:ascii="Palatino Linotype" w:hAnsi="Palatino Linotype"/>
        </w:rPr>
        <w:t>.</w:t>
      </w:r>
      <w:r w:rsidR="00F01705">
        <w:rPr>
          <w:rFonts w:ascii="Palatino Linotype" w:hAnsi="Palatino Linotype"/>
        </w:rPr>
        <w:tab/>
      </w:r>
      <w:r w:rsidRPr="00562411">
        <w:rPr>
          <w:rFonts w:ascii="Palatino Linotype" w:hAnsi="Palatino Linotype"/>
        </w:rPr>
        <w:t xml:space="preserve">         </w:t>
      </w:r>
    </w:p>
    <w:p w14:paraId="53CA3AE5" w14:textId="77777777" w:rsidR="00562411" w:rsidRPr="00562411" w:rsidRDefault="00562411" w:rsidP="00562411">
      <w:pPr>
        <w:pStyle w:val="Heading3"/>
        <w:rPr>
          <w:rFonts w:ascii="Palatino Linotype" w:hAnsi="Palatino Linotype"/>
        </w:rPr>
      </w:pPr>
      <w:bookmarkStart w:id="18" w:name="_Toc462334269"/>
      <w:r w:rsidRPr="00562411">
        <w:rPr>
          <w:rFonts w:ascii="Palatino Linotype" w:hAnsi="Palatino Linotype"/>
        </w:rPr>
        <w:t>Change color of link when clicked</w:t>
      </w:r>
      <w:bookmarkEnd w:id="18"/>
    </w:p>
    <w:p w14:paraId="10424653" w14:textId="77777777" w:rsidR="00562411" w:rsidRPr="00562411" w:rsidRDefault="00562411" w:rsidP="002B1CF1">
      <w:pPr>
        <w:rPr>
          <w:rFonts w:ascii="Palatino Linotype" w:eastAsiaTheme="minorHAnsi" w:hAnsi="Palatino Linotype"/>
        </w:rPr>
      </w:pPr>
      <w:r w:rsidRPr="00562411">
        <w:rPr>
          <w:rFonts w:ascii="Palatino Linotype" w:hAnsi="Palatino Linotype"/>
        </w:rPr>
        <w:t xml:space="preserve">When a link is clicked, its color changes to pink so that the user knows which link he is currently viewing the state/properties of.      </w:t>
      </w:r>
    </w:p>
    <w:p w14:paraId="59909D8A" w14:textId="77777777" w:rsidR="00562411" w:rsidRPr="00562411" w:rsidRDefault="00562411" w:rsidP="00562411">
      <w:pPr>
        <w:pStyle w:val="Heading2"/>
        <w:rPr>
          <w:rFonts w:ascii="Palatino Linotype" w:hAnsi="Palatino Linotype"/>
          <w:color w:val="0070C0"/>
        </w:rPr>
      </w:pPr>
      <w:bookmarkStart w:id="19" w:name="_Toc462334270"/>
      <w:r w:rsidRPr="00562411">
        <w:rPr>
          <w:rFonts w:ascii="Palatino Linotype" w:hAnsi="Palatino Linotype"/>
          <w:color w:val="0070C0"/>
        </w:rPr>
        <w:t>Multi-NoC</w:t>
      </w:r>
      <w:bookmarkEnd w:id="11"/>
      <w:bookmarkEnd w:id="19"/>
      <w:r w:rsidRPr="00562411">
        <w:rPr>
          <w:rFonts w:ascii="Palatino Linotype" w:hAnsi="Palatino Linotype"/>
          <w:color w:val="0070C0"/>
        </w:rPr>
        <w:t xml:space="preserve"> </w:t>
      </w:r>
    </w:p>
    <w:p w14:paraId="1BF8AA9A" w14:textId="77777777" w:rsidR="00562411" w:rsidRPr="00562411" w:rsidRDefault="00562411" w:rsidP="003D7BE1">
      <w:pPr>
        <w:rPr>
          <w:rFonts w:ascii="Palatino Linotype" w:hAnsi="Palatino Linotype"/>
        </w:rPr>
      </w:pPr>
      <w:r w:rsidRPr="00562411">
        <w:rPr>
          <w:rFonts w:ascii="Palatino Linotype" w:hAnsi="Palatino Linotype"/>
        </w:rPr>
        <w:t>RTL from multiple NoCs can now be integrated into the same design for simulation.  Each NoC must have a unique mesh name and the following NocStudio property setting:</w:t>
      </w:r>
    </w:p>
    <w:p w14:paraId="2DB585E7" w14:textId="77777777" w:rsidR="00562411" w:rsidRPr="00562411" w:rsidRDefault="00562411" w:rsidP="003D7BE1">
      <w:pPr>
        <w:pStyle w:val="Command36"/>
        <w:rPr>
          <w:rFonts w:ascii="Palatino Linotype" w:hAnsi="Palatino Linotype"/>
        </w:rPr>
      </w:pPr>
      <w:r w:rsidRPr="00562411">
        <w:rPr>
          <w:rFonts w:ascii="Palatino Linotype" w:hAnsi="Palatino Linotype"/>
        </w:rPr>
        <w:t>prop_default tag_project_name yes</w:t>
      </w:r>
    </w:p>
    <w:p w14:paraId="27DEABFD" w14:textId="77777777" w:rsidR="00562411" w:rsidRPr="00562411" w:rsidRDefault="00562411" w:rsidP="003D7BE1">
      <w:pPr>
        <w:rPr>
          <w:rFonts w:ascii="Palatino Linotype" w:hAnsi="Palatino Linotype"/>
        </w:rPr>
      </w:pPr>
      <w:r w:rsidRPr="00562411">
        <w:rPr>
          <w:rFonts w:ascii="Palatino Linotype" w:hAnsi="Palatino Linotype"/>
        </w:rPr>
        <w:t>Two or more NoCs can be integrated with no upper limit to the number of NoCs. Only one coherent NoC is supported per set of NoCs. Crux NoCs cannot be mixed with Orion/Gemini NoCs.</w:t>
      </w:r>
    </w:p>
    <w:p w14:paraId="3AA720EC" w14:textId="77777777" w:rsidR="00562411" w:rsidRPr="00562411" w:rsidRDefault="00562411" w:rsidP="00562411">
      <w:pPr>
        <w:pStyle w:val="Heading2"/>
        <w:rPr>
          <w:rFonts w:ascii="Palatino Linotype" w:hAnsi="Palatino Linotype"/>
          <w:color w:val="0070C0"/>
        </w:rPr>
      </w:pPr>
      <w:bookmarkStart w:id="20" w:name="_Toc448175324"/>
      <w:bookmarkStart w:id="21" w:name="_Toc449192994"/>
      <w:bookmarkStart w:id="22" w:name="_Toc449546450"/>
      <w:bookmarkStart w:id="23" w:name="_Toc449669573"/>
      <w:bookmarkStart w:id="24" w:name="_Toc449669807"/>
      <w:bookmarkStart w:id="25" w:name="_Toc449670064"/>
      <w:bookmarkStart w:id="26" w:name="_Toc449893376"/>
      <w:bookmarkStart w:id="27" w:name="_Toc461048129"/>
      <w:bookmarkStart w:id="28" w:name="_Toc462334272"/>
      <w:bookmarkEnd w:id="20"/>
      <w:bookmarkEnd w:id="21"/>
      <w:bookmarkEnd w:id="22"/>
      <w:bookmarkEnd w:id="23"/>
      <w:bookmarkEnd w:id="24"/>
      <w:bookmarkEnd w:id="25"/>
      <w:bookmarkEnd w:id="26"/>
      <w:r w:rsidRPr="00562411">
        <w:rPr>
          <w:rFonts w:ascii="Palatino Linotype" w:hAnsi="Palatino Linotype"/>
          <w:color w:val="0070C0"/>
        </w:rPr>
        <w:t>Synchronizer Depth and FIFO Sizing</w:t>
      </w:r>
      <w:bookmarkEnd w:id="27"/>
      <w:bookmarkEnd w:id="28"/>
      <w:r w:rsidRPr="00562411">
        <w:rPr>
          <w:rFonts w:ascii="Palatino Linotype" w:hAnsi="Palatino Linotype"/>
          <w:color w:val="0070C0"/>
        </w:rPr>
        <w:t xml:space="preserve"> </w:t>
      </w:r>
    </w:p>
    <w:p w14:paraId="38A6E3F0" w14:textId="77777777" w:rsidR="00562411" w:rsidRPr="00562411" w:rsidRDefault="00562411" w:rsidP="002C06A1">
      <w:pPr>
        <w:rPr>
          <w:rFonts w:ascii="Palatino Linotype" w:hAnsi="Palatino Linotype"/>
        </w:rPr>
      </w:pPr>
      <w:r w:rsidRPr="00562411">
        <w:rPr>
          <w:rFonts w:ascii="Palatino Linotype" w:hAnsi="Palatino Linotype"/>
        </w:rPr>
        <w:t>NocStudio now supports programmable synchronizer depths, both for general synchronizers (ns_demet.v) and for reset synchronizers (ns_rst_n.v). Users may select synchronizer depths, based on their own library/process requirements, on a per-clock-domain granularity.</w:t>
      </w:r>
    </w:p>
    <w:p w14:paraId="75833EBC" w14:textId="77777777" w:rsidR="00562411" w:rsidRPr="00562411" w:rsidRDefault="00562411" w:rsidP="00562411">
      <w:pPr>
        <w:pStyle w:val="Heading2"/>
        <w:rPr>
          <w:rFonts w:ascii="Palatino Linotype" w:hAnsi="Palatino Linotype"/>
          <w:color w:val="0070C0"/>
        </w:rPr>
      </w:pPr>
      <w:bookmarkStart w:id="29" w:name="_Toc462334273"/>
      <w:r w:rsidRPr="00562411">
        <w:rPr>
          <w:rFonts w:ascii="Palatino Linotype" w:hAnsi="Palatino Linotype"/>
          <w:color w:val="0070C0"/>
        </w:rPr>
        <w:t>Multi-cell-size NoCs</w:t>
      </w:r>
      <w:bookmarkEnd w:id="29"/>
    </w:p>
    <w:p w14:paraId="470A9640" w14:textId="77777777" w:rsidR="00562411" w:rsidRPr="00562411" w:rsidRDefault="00562411" w:rsidP="004B53B3">
      <w:pPr>
        <w:rPr>
          <w:rFonts w:ascii="Palatino Linotype" w:hAnsi="Palatino Linotype"/>
        </w:rPr>
      </w:pPr>
      <w:r w:rsidRPr="00562411">
        <w:rPr>
          <w:rFonts w:ascii="Palatino Linotype" w:hAnsi="Palatino Linotype"/>
        </w:rPr>
        <w:t xml:space="preserve">Cell size can be a system-wide constant indicating a common denominator for data sizes.  Upsizing and downsizing of data happens on power-of-2 multiples of the cell size.  For a system with more than one cell size, where interface data width is specified in terms of one of the cell sizes, and communication only happens between interfaces that share a cell size, the cell size property can be set to -1 to indicate that NocStudio should allow multiple cell sizes.  Each </w:t>
      </w:r>
      <w:r w:rsidRPr="00562411">
        <w:rPr>
          <w:rFonts w:ascii="Palatino Linotype" w:hAnsi="Palatino Linotype"/>
        </w:rPr>
        <w:lastRenderedPageBreak/>
        <w:t>physical network (a.k.a. layer) can only support one cell size. NocStudio has been enhanced to support multiple cell sizes within a system.</w:t>
      </w:r>
    </w:p>
    <w:p w14:paraId="7C32FB13" w14:textId="77777777" w:rsidR="00562411" w:rsidRPr="00562411" w:rsidRDefault="00562411" w:rsidP="002676D4">
      <w:pPr>
        <w:pStyle w:val="Body"/>
        <w:rPr>
          <w:rFonts w:ascii="Palatino Linotype" w:hAnsi="Palatino Linotype"/>
        </w:rPr>
      </w:pPr>
    </w:p>
    <w:p w14:paraId="4AD70256" w14:textId="77777777" w:rsidR="00562411" w:rsidRPr="00562411" w:rsidRDefault="00562411" w:rsidP="002676D4">
      <w:pPr>
        <w:pStyle w:val="Body"/>
        <w:tabs>
          <w:tab w:val="clear" w:pos="2700"/>
          <w:tab w:val="left" w:pos="945"/>
        </w:tabs>
        <w:rPr>
          <w:rFonts w:ascii="Palatino Linotype" w:hAnsi="Palatino Linotype"/>
        </w:rPr>
      </w:pPr>
      <w:r w:rsidRPr="00562411">
        <w:rPr>
          <w:rFonts w:ascii="Palatino Linotype" w:hAnsi="Palatino Linotype"/>
        </w:rPr>
        <w:tab/>
      </w:r>
    </w:p>
    <w:sectPr w:rsidR="00562411" w:rsidRPr="00562411"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A614E" w14:textId="77777777" w:rsidR="006838FE" w:rsidRDefault="006838FE">
      <w:r>
        <w:separator/>
      </w:r>
    </w:p>
    <w:p w14:paraId="3413E3B9" w14:textId="77777777" w:rsidR="006838FE" w:rsidRDefault="006838FE"/>
  </w:endnote>
  <w:endnote w:type="continuationSeparator" w:id="0">
    <w:p w14:paraId="6DC6C08C" w14:textId="77777777" w:rsidR="006838FE" w:rsidRDefault="006838FE">
      <w:r>
        <w:continuationSeparator/>
      </w:r>
    </w:p>
    <w:p w14:paraId="7CD5A4E1" w14:textId="77777777" w:rsidR="006838FE" w:rsidRDefault="00683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69D36534"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01705">
      <w:rPr>
        <w:rStyle w:val="PageNumber"/>
        <w:noProof/>
      </w:rPr>
      <w:t>3</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6832D" w14:textId="77777777" w:rsidR="006838FE" w:rsidRDefault="006838FE">
      <w:r>
        <w:separator/>
      </w:r>
    </w:p>
    <w:p w14:paraId="6E231449" w14:textId="77777777" w:rsidR="006838FE" w:rsidRDefault="006838FE"/>
  </w:footnote>
  <w:footnote w:type="continuationSeparator" w:id="0">
    <w:p w14:paraId="495C8AE3" w14:textId="77777777" w:rsidR="006838FE" w:rsidRDefault="006838FE">
      <w:r>
        <w:continuationSeparator/>
      </w:r>
    </w:p>
    <w:p w14:paraId="7E490E9D" w14:textId="77777777" w:rsidR="006838FE" w:rsidRDefault="006838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6838FE"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F78B0"/>
    <w:multiLevelType w:val="hybridMultilevel"/>
    <w:tmpl w:val="958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9"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B20D56"/>
    <w:multiLevelType w:val="hybridMultilevel"/>
    <w:tmpl w:val="E9BEE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0203DB"/>
    <w:multiLevelType w:val="hybridMultilevel"/>
    <w:tmpl w:val="DD2C8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8"/>
  </w:num>
  <w:num w:numId="4">
    <w:abstractNumId w:val="1"/>
  </w:num>
  <w:num w:numId="5">
    <w:abstractNumId w:val="25"/>
  </w:num>
  <w:num w:numId="6">
    <w:abstractNumId w:val="27"/>
  </w:num>
  <w:num w:numId="7">
    <w:abstractNumId w:val="30"/>
  </w:num>
  <w:num w:numId="8">
    <w:abstractNumId w:val="33"/>
  </w:num>
  <w:num w:numId="9">
    <w:abstractNumId w:val="38"/>
  </w:num>
  <w:num w:numId="10">
    <w:abstractNumId w:val="18"/>
  </w:num>
  <w:num w:numId="11">
    <w:abstractNumId w:val="4"/>
  </w:num>
  <w:num w:numId="12">
    <w:abstractNumId w:val="31"/>
  </w:num>
  <w:num w:numId="13">
    <w:abstractNumId w:val="35"/>
  </w:num>
  <w:num w:numId="14">
    <w:abstractNumId w:val="22"/>
  </w:num>
  <w:num w:numId="15">
    <w:abstractNumId w:val="9"/>
  </w:num>
  <w:num w:numId="16">
    <w:abstractNumId w:val="6"/>
  </w:num>
  <w:num w:numId="17">
    <w:abstractNumId w:val="14"/>
  </w:num>
  <w:num w:numId="18">
    <w:abstractNumId w:val="11"/>
  </w:num>
  <w:num w:numId="19">
    <w:abstractNumId w:val="17"/>
  </w:num>
  <w:num w:numId="20">
    <w:abstractNumId w:val="8"/>
  </w:num>
  <w:num w:numId="21">
    <w:abstractNumId w:val="12"/>
  </w:num>
  <w:num w:numId="22">
    <w:abstractNumId w:val="13"/>
  </w:num>
  <w:num w:numId="23">
    <w:abstractNumId w:val="34"/>
  </w:num>
  <w:num w:numId="24">
    <w:abstractNumId w:val="16"/>
  </w:num>
  <w:num w:numId="25">
    <w:abstractNumId w:val="10"/>
  </w:num>
  <w:num w:numId="26">
    <w:abstractNumId w:val="32"/>
  </w:num>
  <w:num w:numId="27">
    <w:abstractNumId w:val="3"/>
  </w:num>
  <w:num w:numId="28">
    <w:abstractNumId w:val="5"/>
  </w:num>
  <w:num w:numId="29">
    <w:abstractNumId w:val="21"/>
  </w:num>
  <w:num w:numId="30">
    <w:abstractNumId w:val="26"/>
  </w:num>
  <w:num w:numId="31">
    <w:abstractNumId w:val="24"/>
  </w:num>
  <w:num w:numId="32">
    <w:abstractNumId w:val="15"/>
  </w:num>
  <w:num w:numId="33">
    <w:abstractNumId w:val="9"/>
  </w:num>
  <w:num w:numId="34">
    <w:abstractNumId w:val="9"/>
  </w:num>
  <w:num w:numId="35">
    <w:abstractNumId w:val="9"/>
  </w:num>
  <w:num w:numId="36">
    <w:abstractNumId w:val="9"/>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19"/>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36"/>
  </w:num>
  <w:num w:numId="43">
    <w:abstractNumId w:val="2"/>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20F"/>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3DED"/>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306"/>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5FCA"/>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4C5E"/>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4C71"/>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3C5"/>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A16"/>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5B4F"/>
    <w:rsid w:val="0017652E"/>
    <w:rsid w:val="00176857"/>
    <w:rsid w:val="00176874"/>
    <w:rsid w:val="00176F86"/>
    <w:rsid w:val="001773F3"/>
    <w:rsid w:val="001775F4"/>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148"/>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772"/>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5CB"/>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1C34"/>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6D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49AC"/>
    <w:rsid w:val="00285125"/>
    <w:rsid w:val="002852DB"/>
    <w:rsid w:val="002855E7"/>
    <w:rsid w:val="002855E9"/>
    <w:rsid w:val="002858A2"/>
    <w:rsid w:val="002858CE"/>
    <w:rsid w:val="0028593B"/>
    <w:rsid w:val="00285ABB"/>
    <w:rsid w:val="00285EE4"/>
    <w:rsid w:val="00285F3F"/>
    <w:rsid w:val="002861D2"/>
    <w:rsid w:val="0028654C"/>
    <w:rsid w:val="00286B24"/>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1CF1"/>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6A1"/>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51A"/>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27C"/>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06"/>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E91"/>
    <w:rsid w:val="00385FC6"/>
    <w:rsid w:val="00386238"/>
    <w:rsid w:val="003872DA"/>
    <w:rsid w:val="003878B3"/>
    <w:rsid w:val="00390257"/>
    <w:rsid w:val="00390371"/>
    <w:rsid w:val="00390C62"/>
    <w:rsid w:val="003910C5"/>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3A"/>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4B0E"/>
    <w:rsid w:val="003D5808"/>
    <w:rsid w:val="003D5A23"/>
    <w:rsid w:val="003D5A96"/>
    <w:rsid w:val="003D5D67"/>
    <w:rsid w:val="003D5F81"/>
    <w:rsid w:val="003D631A"/>
    <w:rsid w:val="003D6CF2"/>
    <w:rsid w:val="003D7800"/>
    <w:rsid w:val="003D7BE1"/>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23F"/>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B3"/>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07E52"/>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356"/>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411"/>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95D"/>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68"/>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49"/>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2"/>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1F9E"/>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8FE"/>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5B5"/>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0F7B"/>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B2D"/>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0DE"/>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0F59"/>
    <w:rsid w:val="007C1278"/>
    <w:rsid w:val="007C2687"/>
    <w:rsid w:val="007C28F8"/>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608"/>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20"/>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2B3"/>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18A"/>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40"/>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D77"/>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910"/>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5EE4"/>
    <w:rsid w:val="00A368E3"/>
    <w:rsid w:val="00A36966"/>
    <w:rsid w:val="00A36CC5"/>
    <w:rsid w:val="00A37668"/>
    <w:rsid w:val="00A37B26"/>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3397"/>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6EB"/>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E21"/>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0E6"/>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6E65"/>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01D"/>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DB6"/>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21A"/>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5F9"/>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A7A"/>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CFA"/>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7DD"/>
    <w:rsid w:val="00CC58AA"/>
    <w:rsid w:val="00CC606E"/>
    <w:rsid w:val="00CC6A60"/>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881"/>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0DAE"/>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A68"/>
    <w:rsid w:val="00D40DC4"/>
    <w:rsid w:val="00D40E7E"/>
    <w:rsid w:val="00D415D6"/>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54C"/>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08B"/>
    <w:rsid w:val="00DC7877"/>
    <w:rsid w:val="00DC7EA9"/>
    <w:rsid w:val="00DD07B0"/>
    <w:rsid w:val="00DD0887"/>
    <w:rsid w:val="00DD0988"/>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A"/>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AA0"/>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786"/>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3BB"/>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10"/>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1705"/>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195C"/>
    <w:rsid w:val="00F129B5"/>
    <w:rsid w:val="00F12C39"/>
    <w:rsid w:val="00F12D71"/>
    <w:rsid w:val="00F13312"/>
    <w:rsid w:val="00F13744"/>
    <w:rsid w:val="00F13826"/>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1C24"/>
    <w:rsid w:val="00F624E9"/>
    <w:rsid w:val="00F628E0"/>
    <w:rsid w:val="00F6356B"/>
    <w:rsid w:val="00F63731"/>
    <w:rsid w:val="00F638AC"/>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873"/>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884"/>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61"/>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FooterCentered13">
    <w:name w:val="FooterCentered13"/>
    <w:basedOn w:val="Footer"/>
    <w:rsid w:val="00D40A68"/>
    <w:pPr>
      <w:jc w:val="center"/>
    </w:pPr>
  </w:style>
  <w:style w:type="paragraph" w:customStyle="1" w:styleId="Exar13">
    <w:name w:val="Exar13"/>
    <w:basedOn w:val="Footer"/>
    <w:rsid w:val="00D40A68"/>
    <w:pPr>
      <w:tabs>
        <w:tab w:val="clear" w:pos="9360"/>
        <w:tab w:val="left" w:pos="720"/>
        <w:tab w:val="right" w:pos="8640"/>
      </w:tabs>
    </w:pPr>
    <w:rPr>
      <w:b/>
      <w:color w:val="2F4D87"/>
    </w:rPr>
  </w:style>
  <w:style w:type="paragraph" w:customStyle="1" w:styleId="Command3">
    <w:name w:val="Command3"/>
    <w:basedOn w:val="BlockText"/>
    <w:next w:val="Body"/>
    <w:qFormat/>
    <w:rsid w:val="00D40A68"/>
    <w:pPr>
      <w:keepNext/>
      <w:spacing w:before="240"/>
      <w:ind w:left="1872" w:hanging="720"/>
      <w:contextualSpacing/>
    </w:pPr>
    <w:rPr>
      <w:rFonts w:ascii="Consolas" w:hAnsi="Consolas"/>
      <w:i w:val="0"/>
      <w:color w:val="1F497D" w:themeColor="text2"/>
      <w:spacing w:val="-6"/>
    </w:rPr>
  </w:style>
  <w:style w:type="paragraph" w:customStyle="1" w:styleId="FooterCentered22">
    <w:name w:val="FooterCentered22"/>
    <w:basedOn w:val="Footer"/>
    <w:rsid w:val="007B30DE"/>
    <w:pPr>
      <w:jc w:val="center"/>
    </w:pPr>
  </w:style>
  <w:style w:type="paragraph" w:customStyle="1" w:styleId="Exar22">
    <w:name w:val="Exar22"/>
    <w:basedOn w:val="Footer"/>
    <w:rsid w:val="007B30DE"/>
    <w:pPr>
      <w:tabs>
        <w:tab w:val="clear" w:pos="9360"/>
        <w:tab w:val="left" w:pos="720"/>
        <w:tab w:val="right" w:pos="8640"/>
      </w:tabs>
    </w:pPr>
    <w:rPr>
      <w:b/>
      <w:color w:val="2F4D87"/>
    </w:rPr>
  </w:style>
  <w:style w:type="paragraph" w:customStyle="1" w:styleId="FooterCentered23">
    <w:name w:val="FooterCentered23"/>
    <w:basedOn w:val="Footer"/>
    <w:rsid w:val="00033DED"/>
    <w:pPr>
      <w:jc w:val="center"/>
    </w:pPr>
  </w:style>
  <w:style w:type="paragraph" w:customStyle="1" w:styleId="Exar23">
    <w:name w:val="Exar23"/>
    <w:basedOn w:val="Footer"/>
    <w:rsid w:val="00033DED"/>
    <w:pPr>
      <w:tabs>
        <w:tab w:val="clear" w:pos="9360"/>
        <w:tab w:val="left" w:pos="720"/>
        <w:tab w:val="right" w:pos="8640"/>
      </w:tabs>
    </w:pPr>
    <w:rPr>
      <w:b/>
      <w:color w:val="2F4D87"/>
    </w:rPr>
  </w:style>
  <w:style w:type="paragraph" w:customStyle="1" w:styleId="Command36">
    <w:name w:val="Command36"/>
    <w:basedOn w:val="BlockText"/>
    <w:next w:val="Body"/>
    <w:qFormat/>
    <w:rsid w:val="00033DED"/>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3956622">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18158202">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60CD3-593A-4A63-8800-7367882E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121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3835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Rajesh Ramanujam</cp:lastModifiedBy>
  <cp:revision>37</cp:revision>
  <cp:lastPrinted>2016-05-02T02:14:00Z</cp:lastPrinted>
  <dcterms:created xsi:type="dcterms:W3CDTF">2016-09-07T15:45:00Z</dcterms:created>
  <dcterms:modified xsi:type="dcterms:W3CDTF">2016-09-27T03:09:00Z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