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CF7BC" w14:textId="77777777" w:rsidR="00161459" w:rsidRPr="0004677F" w:rsidRDefault="00161459" w:rsidP="007862EC">
      <w:pPr>
        <w:pStyle w:val="Heading1"/>
        <w:rPr>
          <w:rFonts w:ascii="Palatino Linotype" w:hAnsi="Palatino Linotype"/>
        </w:rPr>
      </w:pPr>
      <w:bookmarkStart w:id="0" w:name="_Toc461049982"/>
      <w:bookmarkStart w:id="1" w:name="_Toc472974333"/>
      <w:bookmarkStart w:id="2" w:name="_Toc426230138"/>
      <w:bookmarkStart w:id="3" w:name="_Hlk31014817"/>
      <w:r w:rsidRPr="0004677F">
        <w:rPr>
          <w:rFonts w:ascii="Palatino Linotype" w:hAnsi="Palatino Linotype"/>
        </w:rPr>
        <w:t>Changes to Commands and Properties</w:t>
      </w:r>
      <w:bookmarkEnd w:id="0"/>
      <w:bookmarkEnd w:id="1"/>
    </w:p>
    <w:p w14:paraId="03C8C87C" w14:textId="77777777" w:rsidR="00161459" w:rsidRDefault="00161459" w:rsidP="007862EC">
      <w:pPr>
        <w:pStyle w:val="Heading2"/>
        <w:rPr>
          <w:rFonts w:ascii="Palatino Linotype" w:hAnsi="Palatino Linotype"/>
          <w:color w:val="auto"/>
        </w:rPr>
      </w:pPr>
      <w:bookmarkStart w:id="4" w:name="_Toc461049983"/>
      <w:bookmarkStart w:id="5" w:name="_Toc472974334"/>
      <w:r w:rsidRPr="0004677F">
        <w:rPr>
          <w:rFonts w:ascii="Palatino Linotype" w:hAnsi="Palatino Linotype"/>
          <w:color w:val="auto"/>
        </w:rPr>
        <w:t>Command Changes</w:t>
      </w:r>
      <w:bookmarkEnd w:id="4"/>
      <w:bookmarkEnd w:id="5"/>
    </w:p>
    <w:tbl>
      <w:tblPr>
        <w:tblStyle w:val="TableGrid"/>
        <w:tblW w:w="10075" w:type="dxa"/>
        <w:tblLook w:val="04A0" w:firstRow="1" w:lastRow="0" w:firstColumn="1" w:lastColumn="0" w:noHBand="0" w:noVBand="1"/>
      </w:tblPr>
      <w:tblGrid>
        <w:gridCol w:w="4225"/>
        <w:gridCol w:w="5850"/>
      </w:tblGrid>
      <w:tr w:rsidR="00161459" w:rsidRPr="0062058E" w14:paraId="570C0D27" w14:textId="77777777" w:rsidTr="0054733E">
        <w:trPr>
          <w:trHeight w:val="360"/>
        </w:trPr>
        <w:tc>
          <w:tcPr>
            <w:tcW w:w="4225" w:type="dxa"/>
            <w:noWrap/>
            <w:hideMark/>
          </w:tcPr>
          <w:p w14:paraId="48BFE0B6" w14:textId="77777777" w:rsidR="00161459" w:rsidRPr="0062058E" w:rsidRDefault="00161459" w:rsidP="00982290">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5850" w:type="dxa"/>
            <w:noWrap/>
            <w:hideMark/>
          </w:tcPr>
          <w:p w14:paraId="041C91A5" w14:textId="77777777" w:rsidR="00161459" w:rsidRPr="0062058E" w:rsidRDefault="00161459" w:rsidP="00982290">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54733E" w:rsidRPr="0062058E" w14:paraId="36A35D93" w14:textId="77777777" w:rsidTr="0054733E">
        <w:trPr>
          <w:trHeight w:val="360"/>
        </w:trPr>
        <w:tc>
          <w:tcPr>
            <w:tcW w:w="4225" w:type="dxa"/>
            <w:noWrap/>
          </w:tcPr>
          <w:p w14:paraId="02463937" w14:textId="2BE9B6B3" w:rsidR="0054733E" w:rsidRPr="0054733E" w:rsidRDefault="0054733E" w:rsidP="00982290">
            <w:pPr>
              <w:spacing w:after="0" w:line="240" w:lineRule="auto"/>
              <w:rPr>
                <w:rFonts w:asciiTheme="majorHAnsi" w:eastAsia="Times New Roman" w:hAnsiTheme="majorHAnsi" w:cs="Times New Roman"/>
                <w:bCs/>
                <w:color w:val="000000"/>
              </w:rPr>
            </w:pPr>
            <w:r w:rsidRPr="0054733E">
              <w:rPr>
                <w:rFonts w:asciiTheme="majorHAnsi" w:eastAsia="Times New Roman" w:hAnsiTheme="majorHAnsi" w:cs="Times New Roman"/>
                <w:bCs/>
                <w:color w:val="000000"/>
              </w:rPr>
              <w:t>add_regbus_controller</w:t>
            </w:r>
          </w:p>
        </w:tc>
        <w:tc>
          <w:tcPr>
            <w:tcW w:w="5850" w:type="dxa"/>
            <w:noWrap/>
          </w:tcPr>
          <w:p w14:paraId="5B0DAC99" w14:textId="1A5F46A5" w:rsidR="0054733E" w:rsidRPr="0054733E" w:rsidRDefault="008D02CF" w:rsidP="008D02C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a</w:t>
            </w:r>
            <w:r w:rsidRPr="008D02CF">
              <w:rPr>
                <w:rFonts w:asciiTheme="majorHAnsi" w:eastAsia="Times New Roman" w:hAnsiTheme="majorHAnsi" w:cs="Times New Roman"/>
                <w:bCs/>
                <w:color w:val="000000"/>
              </w:rPr>
              <w:t>dd</w:t>
            </w:r>
            <w:r>
              <w:rPr>
                <w:rFonts w:asciiTheme="majorHAnsi" w:eastAsia="Times New Roman" w:hAnsiTheme="majorHAnsi" w:cs="Times New Roman"/>
                <w:bCs/>
                <w:color w:val="000000"/>
              </w:rPr>
              <w:t xml:space="preserve">s </w:t>
            </w:r>
            <w:r w:rsidRPr="008D02CF">
              <w:rPr>
                <w:rFonts w:asciiTheme="majorHAnsi" w:eastAsia="Times New Roman" w:hAnsiTheme="majorHAnsi" w:cs="Times New Roman"/>
                <w:bCs/>
                <w:color w:val="000000"/>
              </w:rPr>
              <w:t xml:space="preserve">a </w:t>
            </w:r>
            <w:r>
              <w:rPr>
                <w:rFonts w:asciiTheme="majorHAnsi" w:eastAsia="Times New Roman" w:hAnsiTheme="majorHAnsi" w:cs="Times New Roman"/>
                <w:bCs/>
                <w:color w:val="000000"/>
              </w:rPr>
              <w:t>R</w:t>
            </w:r>
            <w:r w:rsidRPr="008D02CF">
              <w:rPr>
                <w:rFonts w:asciiTheme="majorHAnsi" w:eastAsia="Times New Roman" w:hAnsiTheme="majorHAnsi" w:cs="Times New Roman"/>
                <w:bCs/>
                <w:color w:val="000000"/>
              </w:rPr>
              <w:t xml:space="preserve">egbus </w:t>
            </w:r>
            <w:r>
              <w:rPr>
                <w:rFonts w:asciiTheme="majorHAnsi" w:eastAsia="Times New Roman" w:hAnsiTheme="majorHAnsi" w:cs="Times New Roman"/>
                <w:bCs/>
                <w:color w:val="000000"/>
              </w:rPr>
              <w:t>C</w:t>
            </w:r>
            <w:r w:rsidRPr="008D02CF">
              <w:rPr>
                <w:rFonts w:asciiTheme="majorHAnsi" w:eastAsia="Times New Roman" w:hAnsiTheme="majorHAnsi" w:cs="Times New Roman"/>
                <w:bCs/>
                <w:color w:val="000000"/>
              </w:rPr>
              <w:t>ontroller</w:t>
            </w:r>
            <w:r>
              <w:rPr>
                <w:rFonts w:asciiTheme="majorHAnsi" w:eastAsia="Times New Roman" w:hAnsiTheme="majorHAnsi" w:cs="Times New Roman"/>
                <w:bCs/>
                <w:color w:val="000000"/>
              </w:rPr>
              <w:t xml:space="preserve"> (RBC)</w:t>
            </w:r>
            <w:r w:rsidRPr="008D02CF">
              <w:rPr>
                <w:rFonts w:asciiTheme="majorHAnsi" w:eastAsia="Times New Roman" w:hAnsiTheme="majorHAnsi" w:cs="Times New Roman"/>
                <w:bCs/>
                <w:color w:val="000000"/>
              </w:rPr>
              <w:t xml:space="preserve"> with its</w:t>
            </w:r>
            <w:r>
              <w:rPr>
                <w:rFonts w:asciiTheme="majorHAnsi" w:eastAsia="Times New Roman" w:hAnsiTheme="majorHAnsi" w:cs="Times New Roman"/>
                <w:bCs/>
                <w:color w:val="000000"/>
              </w:rPr>
              <w:t xml:space="preserve"> RBM</w:t>
            </w:r>
            <w:r w:rsidRPr="008D02CF">
              <w:rPr>
                <w:rFonts w:asciiTheme="majorHAnsi" w:eastAsia="Times New Roman" w:hAnsiTheme="majorHAnsi" w:cs="Times New Roman"/>
                <w:bCs/>
                <w:color w:val="000000"/>
              </w:rPr>
              <w:t xml:space="preserve"> and optional Axi4</w:t>
            </w:r>
            <w:r>
              <w:rPr>
                <w:rFonts w:asciiTheme="majorHAnsi" w:eastAsia="Times New Roman" w:hAnsiTheme="majorHAnsi" w:cs="Times New Roman"/>
                <w:bCs/>
                <w:color w:val="000000"/>
              </w:rPr>
              <w:t>s</w:t>
            </w:r>
            <w:r w:rsidRPr="008D02CF">
              <w:rPr>
                <w:rFonts w:asciiTheme="majorHAnsi" w:eastAsia="Times New Roman" w:hAnsiTheme="majorHAnsi" w:cs="Times New Roman"/>
                <w:bCs/>
                <w:color w:val="000000"/>
              </w:rPr>
              <w:t xml:space="preserve"> </w:t>
            </w:r>
            <w:r>
              <w:rPr>
                <w:rFonts w:asciiTheme="majorHAnsi" w:eastAsia="Times New Roman" w:hAnsiTheme="majorHAnsi" w:cs="Times New Roman"/>
                <w:bCs/>
                <w:color w:val="000000"/>
              </w:rPr>
              <w:t>b</w:t>
            </w:r>
            <w:r w:rsidRPr="008D02CF">
              <w:rPr>
                <w:rFonts w:asciiTheme="majorHAnsi" w:eastAsia="Times New Roman" w:hAnsiTheme="majorHAnsi" w:cs="Times New Roman"/>
                <w:bCs/>
                <w:color w:val="000000"/>
              </w:rPr>
              <w:t>ridge to tunnel requests from masters in the NoC, or APBM|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AXI4LM|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IOSFSB2APB interfaces to drive external requests into the R</w:t>
            </w:r>
            <w:r>
              <w:rPr>
                <w:rFonts w:asciiTheme="majorHAnsi" w:eastAsia="Times New Roman" w:hAnsiTheme="majorHAnsi" w:cs="Times New Roman"/>
                <w:bCs/>
                <w:color w:val="000000"/>
              </w:rPr>
              <w:t>BC</w:t>
            </w:r>
            <w:r w:rsidRPr="008D02CF">
              <w:rPr>
                <w:rFonts w:asciiTheme="majorHAnsi" w:eastAsia="Times New Roman" w:hAnsiTheme="majorHAnsi" w:cs="Times New Roman"/>
                <w:bCs/>
                <w:color w:val="000000"/>
              </w:rPr>
              <w:t>.</w:t>
            </w:r>
          </w:p>
        </w:tc>
      </w:tr>
      <w:tr w:rsidR="0054733E" w:rsidRPr="0062058E" w14:paraId="6C4E2419" w14:textId="77777777" w:rsidTr="00840AE8">
        <w:trPr>
          <w:trHeight w:val="360"/>
        </w:trPr>
        <w:tc>
          <w:tcPr>
            <w:tcW w:w="4225" w:type="dxa"/>
            <w:tcBorders>
              <w:bottom w:val="single" w:sz="4" w:space="0" w:color="auto"/>
            </w:tcBorders>
            <w:noWrap/>
          </w:tcPr>
          <w:p w14:paraId="537ED0A5" w14:textId="75DBF5E7" w:rsidR="0054733E" w:rsidRPr="0054733E" w:rsidRDefault="0054733E" w:rsidP="00982290">
            <w:pPr>
              <w:spacing w:after="0" w:line="240" w:lineRule="auto"/>
              <w:rPr>
                <w:rFonts w:asciiTheme="majorHAnsi" w:eastAsia="Times New Roman" w:hAnsiTheme="majorHAnsi" w:cs="Times New Roman"/>
                <w:bCs/>
                <w:color w:val="000000"/>
              </w:rPr>
            </w:pPr>
            <w:proofErr w:type="spellStart"/>
            <w:r>
              <w:rPr>
                <w:rFonts w:asciiTheme="majorHAnsi" w:eastAsia="Times New Roman" w:hAnsiTheme="majorHAnsi" w:cs="Times New Roman"/>
                <w:bCs/>
                <w:color w:val="000000"/>
              </w:rPr>
              <w:t>vifce_prop</w:t>
            </w:r>
            <w:proofErr w:type="spellEnd"/>
          </w:p>
        </w:tc>
        <w:tc>
          <w:tcPr>
            <w:tcW w:w="5850" w:type="dxa"/>
            <w:noWrap/>
          </w:tcPr>
          <w:p w14:paraId="431734B7" w14:textId="5CC2F813" w:rsidR="0054733E" w:rsidRPr="0054733E" w:rsidRDefault="008D02CF" w:rsidP="008D02C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is used to s</w:t>
            </w:r>
            <w:r w:rsidRPr="008D02CF">
              <w:rPr>
                <w:rFonts w:asciiTheme="majorHAnsi" w:eastAsia="Times New Roman" w:hAnsiTheme="majorHAnsi" w:cs="Times New Roman"/>
                <w:bCs/>
                <w:color w:val="000000"/>
              </w:rPr>
              <w:t>et or view a named property of a particular Interface's virtual interface and an optional direction in/out</w:t>
            </w:r>
            <w:r>
              <w:rPr>
                <w:rFonts w:asciiTheme="majorHAnsi" w:eastAsia="Times New Roman" w:hAnsiTheme="majorHAnsi" w:cs="Times New Roman"/>
                <w:bCs/>
                <w:color w:val="000000"/>
              </w:rPr>
              <w:t>, w.r.t the host.</w:t>
            </w:r>
          </w:p>
        </w:tc>
      </w:tr>
      <w:tr w:rsidR="0054733E" w:rsidRPr="0062058E" w14:paraId="4354F3F1" w14:textId="77777777" w:rsidTr="00840AE8">
        <w:trPr>
          <w:trHeight w:val="360"/>
        </w:trPr>
        <w:tc>
          <w:tcPr>
            <w:tcW w:w="4225" w:type="dxa"/>
            <w:tcBorders>
              <w:bottom w:val="single" w:sz="4" w:space="0" w:color="auto"/>
            </w:tcBorders>
            <w:noWrap/>
          </w:tcPr>
          <w:p w14:paraId="6EB672FF" w14:textId="226894B1" w:rsidR="0054733E" w:rsidRPr="0054733E" w:rsidRDefault="0054733E" w:rsidP="00982290">
            <w:pPr>
              <w:spacing w:after="0" w:line="240" w:lineRule="auto"/>
              <w:rPr>
                <w:rFonts w:asciiTheme="majorHAnsi" w:eastAsia="Times New Roman" w:hAnsiTheme="majorHAnsi" w:cs="Times New Roman"/>
                <w:bCs/>
                <w:color w:val="000000"/>
              </w:rPr>
            </w:pPr>
            <w:proofErr w:type="spellStart"/>
            <w:r>
              <w:rPr>
                <w:rFonts w:asciiTheme="majorHAnsi" w:eastAsia="Times New Roman" w:hAnsiTheme="majorHAnsi" w:cs="Times New Roman"/>
                <w:bCs/>
                <w:color w:val="000000"/>
              </w:rPr>
              <w:t>reset_mesh</w:t>
            </w:r>
            <w:proofErr w:type="spellEnd"/>
          </w:p>
        </w:tc>
        <w:tc>
          <w:tcPr>
            <w:tcW w:w="5850" w:type="dxa"/>
            <w:noWrap/>
          </w:tcPr>
          <w:p w14:paraId="68669AFE" w14:textId="2CE22F44" w:rsidR="0054733E" w:rsidRPr="0054733E" w:rsidRDefault="008D02CF" w:rsidP="00982290">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resets the previously created mesh.</w:t>
            </w:r>
          </w:p>
        </w:tc>
      </w:tr>
    </w:tbl>
    <w:p w14:paraId="49929D0C" w14:textId="77777777" w:rsidR="00161459" w:rsidRPr="00B40B5A" w:rsidRDefault="00161459" w:rsidP="00B40B5A"/>
    <w:p w14:paraId="189FACA7" w14:textId="77777777" w:rsidR="00161459" w:rsidRPr="0004677F" w:rsidRDefault="00161459" w:rsidP="007862EC">
      <w:pPr>
        <w:pStyle w:val="Heading2"/>
        <w:rPr>
          <w:rFonts w:ascii="Palatino Linotype" w:hAnsi="Palatino Linotype"/>
          <w:color w:val="auto"/>
        </w:rPr>
      </w:pPr>
      <w:bookmarkStart w:id="6" w:name="_Toc461049985"/>
      <w:bookmarkStart w:id="7" w:name="_Toc472974336"/>
      <w:r>
        <w:rPr>
          <w:rFonts w:ascii="Palatino Linotype" w:hAnsi="Palatino Linotype"/>
          <w:color w:val="auto"/>
        </w:rPr>
        <w:t>Default</w:t>
      </w:r>
      <w:r w:rsidRPr="0004677F">
        <w:rPr>
          <w:rFonts w:ascii="Palatino Linotype" w:hAnsi="Palatino Linotype"/>
          <w:color w:val="auto"/>
        </w:rPr>
        <w:t xml:space="preserve"> Property Changes</w:t>
      </w:r>
      <w:bookmarkEnd w:id="6"/>
      <w:bookmarkEnd w:id="7"/>
    </w:p>
    <w:tbl>
      <w:tblPr>
        <w:tblStyle w:val="TableGrid"/>
        <w:tblW w:w="10075" w:type="dxa"/>
        <w:tblLook w:val="04A0" w:firstRow="1" w:lastRow="0" w:firstColumn="1" w:lastColumn="0" w:noHBand="0" w:noVBand="1"/>
      </w:tblPr>
      <w:tblGrid>
        <w:gridCol w:w="4225"/>
        <w:gridCol w:w="1530"/>
        <w:gridCol w:w="4320"/>
      </w:tblGrid>
      <w:tr w:rsidR="00161459" w:rsidRPr="0062058E" w14:paraId="60B341C9" w14:textId="77777777" w:rsidTr="00840AE8">
        <w:trPr>
          <w:trHeight w:val="360"/>
        </w:trPr>
        <w:tc>
          <w:tcPr>
            <w:tcW w:w="4225" w:type="dxa"/>
            <w:tcBorders>
              <w:bottom w:val="single" w:sz="4" w:space="0" w:color="auto"/>
            </w:tcBorders>
            <w:noWrap/>
            <w:hideMark/>
          </w:tcPr>
          <w:p w14:paraId="40AF4D99" w14:textId="77777777" w:rsidR="00161459" w:rsidRPr="0062058E" w:rsidRDefault="00161459"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1530" w:type="dxa"/>
            <w:noWrap/>
            <w:hideMark/>
          </w:tcPr>
          <w:p w14:paraId="2040B2A3" w14:textId="77777777" w:rsidR="00161459" w:rsidRPr="0062058E" w:rsidRDefault="00161459"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Default Value</w:t>
            </w:r>
          </w:p>
        </w:tc>
        <w:tc>
          <w:tcPr>
            <w:tcW w:w="4320" w:type="dxa"/>
            <w:noWrap/>
            <w:hideMark/>
          </w:tcPr>
          <w:p w14:paraId="6D11D8B3" w14:textId="77777777" w:rsidR="00161459" w:rsidRPr="0062058E" w:rsidRDefault="00161459"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161459" w:rsidRPr="0062058E" w14:paraId="02FBC694" w14:textId="77777777" w:rsidTr="00840AE8">
        <w:trPr>
          <w:trHeight w:val="360"/>
        </w:trPr>
        <w:tc>
          <w:tcPr>
            <w:tcW w:w="4225" w:type="dxa"/>
            <w:tcBorders>
              <w:top w:val="single" w:sz="4" w:space="0" w:color="auto"/>
              <w:left w:val="single" w:sz="4" w:space="0" w:color="auto"/>
              <w:bottom w:val="single" w:sz="4" w:space="0" w:color="auto"/>
              <w:right w:val="nil"/>
            </w:tcBorders>
            <w:shd w:val="clear" w:color="auto" w:fill="auto"/>
            <w:noWrap/>
          </w:tcPr>
          <w:p w14:paraId="57EFB879" w14:textId="46B80F72" w:rsidR="00161459" w:rsidRPr="0062058E" w:rsidRDefault="0054733E"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cc_axi4m_acelite_conversion</w:t>
            </w:r>
          </w:p>
        </w:tc>
        <w:tc>
          <w:tcPr>
            <w:tcW w:w="1530" w:type="dxa"/>
            <w:noWrap/>
          </w:tcPr>
          <w:p w14:paraId="2284EED9" w14:textId="7FD676FD" w:rsidR="00161459" w:rsidRPr="0062058E" w:rsidRDefault="0054733E"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no</w:t>
            </w:r>
          </w:p>
        </w:tc>
        <w:tc>
          <w:tcPr>
            <w:tcW w:w="4320" w:type="dxa"/>
            <w:noWrap/>
          </w:tcPr>
          <w:p w14:paraId="60CBBC18" w14:textId="374BE9F1" w:rsidR="00161459" w:rsidRPr="0054733E" w:rsidRDefault="0054733E" w:rsidP="008D02CF">
            <w:pPr>
              <w:spacing w:after="0" w:line="240" w:lineRule="auto"/>
              <w:jc w:val="both"/>
              <w:rPr>
                <w:rFonts w:asciiTheme="majorHAnsi" w:eastAsia="Times New Roman" w:hAnsiTheme="majorHAnsi" w:cs="Times New Roman"/>
                <w:bCs/>
                <w:color w:val="FF0000"/>
              </w:rPr>
            </w:pPr>
            <w:r w:rsidRPr="0054733E">
              <w:rPr>
                <w:rFonts w:asciiTheme="majorHAnsi" w:eastAsia="Times New Roman" w:hAnsiTheme="majorHAnsi" w:cs="Times New Roman"/>
                <w:bCs/>
                <w:color w:val="FF0000"/>
              </w:rPr>
              <w:t>Deprecated</w:t>
            </w:r>
            <w:r w:rsidR="008D02CF">
              <w:rPr>
                <w:rFonts w:asciiTheme="majorHAnsi" w:eastAsia="Times New Roman" w:hAnsiTheme="majorHAnsi" w:cs="Times New Roman"/>
                <w:bCs/>
                <w:color w:val="FF0000"/>
              </w:rPr>
              <w:t xml:space="preserve">. Only </w:t>
            </w:r>
            <w:r w:rsidR="005714F6">
              <w:rPr>
                <w:rFonts w:asciiTheme="majorHAnsi" w:eastAsia="Times New Roman" w:hAnsiTheme="majorHAnsi" w:cs="Times New Roman"/>
                <w:bCs/>
                <w:color w:val="FF0000"/>
              </w:rPr>
              <w:t xml:space="preserve">the </w:t>
            </w:r>
            <w:r w:rsidR="008D02CF">
              <w:rPr>
                <w:rFonts w:asciiTheme="majorHAnsi" w:eastAsia="Times New Roman" w:hAnsiTheme="majorHAnsi" w:cs="Times New Roman"/>
                <w:bCs/>
                <w:color w:val="FF0000"/>
              </w:rPr>
              <w:t>bridge property is available.</w:t>
            </w:r>
          </w:p>
        </w:tc>
      </w:tr>
      <w:tr w:rsidR="00161459" w:rsidRPr="0062058E" w14:paraId="2392E73A" w14:textId="77777777" w:rsidTr="00840AE8">
        <w:trPr>
          <w:trHeight w:val="360"/>
        </w:trPr>
        <w:tc>
          <w:tcPr>
            <w:tcW w:w="4225" w:type="dxa"/>
            <w:tcBorders>
              <w:top w:val="single" w:sz="4" w:space="0" w:color="auto"/>
              <w:left w:val="single" w:sz="4" w:space="0" w:color="auto"/>
              <w:bottom w:val="single" w:sz="4" w:space="0" w:color="auto"/>
              <w:right w:val="nil"/>
            </w:tcBorders>
            <w:shd w:val="clear" w:color="auto" w:fill="auto"/>
            <w:noWrap/>
          </w:tcPr>
          <w:p w14:paraId="0FFDD7C9" w14:textId="2C7CF684" w:rsidR="00161459" w:rsidRPr="0062058E" w:rsidRDefault="0054733E"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rssb_router</w:t>
            </w:r>
          </w:p>
        </w:tc>
        <w:tc>
          <w:tcPr>
            <w:tcW w:w="1530" w:type="dxa"/>
            <w:noWrap/>
          </w:tcPr>
          <w:p w14:paraId="184C0075" w14:textId="4BF4B973" w:rsidR="00161459" w:rsidRPr="0062058E" w:rsidRDefault="0054733E"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no</w:t>
            </w:r>
          </w:p>
        </w:tc>
        <w:tc>
          <w:tcPr>
            <w:tcW w:w="4320" w:type="dxa"/>
            <w:noWrap/>
          </w:tcPr>
          <w:p w14:paraId="36BA4918" w14:textId="704951D8" w:rsidR="00161459" w:rsidRPr="0054733E" w:rsidRDefault="0054733E" w:rsidP="0062058E">
            <w:pPr>
              <w:spacing w:after="0" w:line="240" w:lineRule="auto"/>
              <w:jc w:val="both"/>
              <w:rPr>
                <w:rFonts w:asciiTheme="majorHAnsi" w:eastAsia="Times New Roman" w:hAnsiTheme="majorHAnsi" w:cs="Times New Roman"/>
                <w:bCs/>
                <w:color w:val="FF0000"/>
              </w:rPr>
            </w:pPr>
            <w:r w:rsidRPr="0054733E">
              <w:rPr>
                <w:rFonts w:asciiTheme="majorHAnsi" w:eastAsia="Times New Roman" w:hAnsiTheme="majorHAnsi" w:cs="Times New Roman"/>
                <w:bCs/>
                <w:color w:val="FF0000"/>
              </w:rPr>
              <w:t>Deprecated</w:t>
            </w:r>
            <w:r w:rsidR="008D02CF">
              <w:rPr>
                <w:rFonts w:asciiTheme="majorHAnsi" w:eastAsia="Times New Roman" w:hAnsiTheme="majorHAnsi" w:cs="Times New Roman"/>
                <w:bCs/>
                <w:color w:val="FF0000"/>
              </w:rPr>
              <w:t>. By default all routers are RSSB.</w:t>
            </w:r>
          </w:p>
        </w:tc>
      </w:tr>
    </w:tbl>
    <w:p w14:paraId="7830B5E9" w14:textId="77777777" w:rsidR="00161459" w:rsidRDefault="00161459" w:rsidP="008651AB">
      <w:pPr>
        <w:pStyle w:val="Heading2"/>
        <w:rPr>
          <w:rFonts w:ascii="Palatino Linotype" w:hAnsi="Palatino Linotype"/>
          <w:color w:val="auto"/>
        </w:rPr>
      </w:pPr>
      <w:bookmarkStart w:id="8" w:name="_Toc461049984"/>
      <w:bookmarkStart w:id="9" w:name="_Toc472974335"/>
      <w:bookmarkStart w:id="10" w:name="_Toc461049986"/>
      <w:bookmarkStart w:id="11" w:name="_Toc472974337"/>
      <w:r>
        <w:rPr>
          <w:rFonts w:ascii="Palatino Linotype" w:hAnsi="Palatino Linotype"/>
          <w:color w:val="auto"/>
        </w:rPr>
        <w:t>Mesh</w:t>
      </w:r>
      <w:r w:rsidRPr="0004677F">
        <w:rPr>
          <w:rFonts w:ascii="Palatino Linotype" w:hAnsi="Palatino Linotype"/>
          <w:color w:val="auto"/>
        </w:rPr>
        <w:t xml:space="preserve"> Property Changes</w:t>
      </w:r>
      <w:bookmarkEnd w:id="8"/>
      <w:bookmarkEnd w:id="9"/>
    </w:p>
    <w:p w14:paraId="7FBF90DE" w14:textId="77777777" w:rsidR="00161459" w:rsidRPr="008651AB" w:rsidRDefault="00161459" w:rsidP="008651AB">
      <w:r>
        <w:t>None</w:t>
      </w:r>
    </w:p>
    <w:p w14:paraId="7325A422" w14:textId="77777777" w:rsidR="00161459" w:rsidRDefault="00161459" w:rsidP="007862EC">
      <w:pPr>
        <w:pStyle w:val="Heading2"/>
        <w:rPr>
          <w:rFonts w:ascii="Palatino Linotype" w:hAnsi="Palatino Linotype"/>
          <w:color w:val="auto"/>
        </w:rPr>
      </w:pPr>
      <w:r w:rsidRPr="0004677F">
        <w:rPr>
          <w:rFonts w:ascii="Palatino Linotype" w:hAnsi="Palatino Linotype"/>
          <w:color w:val="auto"/>
        </w:rPr>
        <w:t>Bridge Property Changes</w:t>
      </w:r>
      <w:bookmarkEnd w:id="10"/>
      <w:bookmarkEnd w:id="11"/>
    </w:p>
    <w:tbl>
      <w:tblPr>
        <w:tblStyle w:val="TableGrid"/>
        <w:tblW w:w="10075" w:type="dxa"/>
        <w:tblLook w:val="04A0" w:firstRow="1" w:lastRow="0" w:firstColumn="1" w:lastColumn="0" w:noHBand="0" w:noVBand="1"/>
      </w:tblPr>
      <w:tblGrid>
        <w:gridCol w:w="4225"/>
        <w:gridCol w:w="1530"/>
        <w:gridCol w:w="4320"/>
      </w:tblGrid>
      <w:tr w:rsidR="00161459" w:rsidRPr="009655A7" w14:paraId="72E4E40A" w14:textId="77777777" w:rsidTr="00917AC9">
        <w:trPr>
          <w:trHeight w:val="300"/>
        </w:trPr>
        <w:tc>
          <w:tcPr>
            <w:tcW w:w="4225" w:type="dxa"/>
            <w:noWrap/>
          </w:tcPr>
          <w:p w14:paraId="0616A690" w14:textId="77777777" w:rsidR="00161459" w:rsidRPr="009655A7" w:rsidRDefault="00161459" w:rsidP="008651AB">
            <w:pPr>
              <w:rPr>
                <w:b/>
                <w:bCs/>
              </w:rPr>
            </w:pPr>
            <w:r>
              <w:rPr>
                <w:b/>
                <w:bCs/>
              </w:rPr>
              <w:t>Property Name</w:t>
            </w:r>
          </w:p>
        </w:tc>
        <w:tc>
          <w:tcPr>
            <w:tcW w:w="1530" w:type="dxa"/>
            <w:noWrap/>
          </w:tcPr>
          <w:p w14:paraId="2E009FAE" w14:textId="77777777" w:rsidR="00161459" w:rsidRPr="009655A7" w:rsidRDefault="00161459" w:rsidP="008651AB">
            <w:pPr>
              <w:rPr>
                <w:b/>
                <w:bCs/>
              </w:rPr>
            </w:pPr>
            <w:r w:rsidRPr="009655A7">
              <w:rPr>
                <w:b/>
                <w:bCs/>
              </w:rPr>
              <w:t>Default</w:t>
            </w:r>
            <w:r>
              <w:rPr>
                <w:b/>
                <w:bCs/>
              </w:rPr>
              <w:t xml:space="preserve"> Value</w:t>
            </w:r>
          </w:p>
        </w:tc>
        <w:tc>
          <w:tcPr>
            <w:tcW w:w="4320" w:type="dxa"/>
            <w:noWrap/>
          </w:tcPr>
          <w:p w14:paraId="68FAA6FB" w14:textId="77777777" w:rsidR="00161459" w:rsidRPr="009655A7" w:rsidRDefault="00161459" w:rsidP="008651AB">
            <w:pPr>
              <w:rPr>
                <w:b/>
                <w:bCs/>
              </w:rPr>
            </w:pPr>
            <w:r>
              <w:rPr>
                <w:b/>
                <w:bCs/>
              </w:rPr>
              <w:t>Comment</w:t>
            </w:r>
          </w:p>
        </w:tc>
      </w:tr>
      <w:tr w:rsidR="00161459" w:rsidRPr="009655A7" w14:paraId="643ADD5C" w14:textId="77777777" w:rsidTr="00917AC9">
        <w:trPr>
          <w:trHeight w:val="300"/>
        </w:trPr>
        <w:tc>
          <w:tcPr>
            <w:tcW w:w="4225" w:type="dxa"/>
            <w:noWrap/>
          </w:tcPr>
          <w:p w14:paraId="520D534F" w14:textId="11913C98" w:rsidR="00161459" w:rsidRPr="00827B41" w:rsidRDefault="0054733E" w:rsidP="008651AB">
            <w:pPr>
              <w:rPr>
                <w:bCs/>
              </w:rPr>
            </w:pPr>
            <w:r>
              <w:rPr>
                <w:bCs/>
              </w:rPr>
              <w:t>axi4m_ar_max_beats</w:t>
            </w:r>
          </w:p>
        </w:tc>
        <w:tc>
          <w:tcPr>
            <w:tcW w:w="1530" w:type="dxa"/>
            <w:noWrap/>
          </w:tcPr>
          <w:p w14:paraId="6441EB51" w14:textId="647196DA" w:rsidR="00161459" w:rsidRPr="00827B41" w:rsidRDefault="0054733E" w:rsidP="008651AB">
            <w:pPr>
              <w:rPr>
                <w:bCs/>
              </w:rPr>
            </w:pPr>
            <w:r>
              <w:rPr>
                <w:bCs/>
              </w:rPr>
              <w:t>256</w:t>
            </w:r>
          </w:p>
        </w:tc>
        <w:tc>
          <w:tcPr>
            <w:tcW w:w="4320" w:type="dxa"/>
            <w:noWrap/>
          </w:tcPr>
          <w:p w14:paraId="4FED78A9" w14:textId="31FE847E" w:rsidR="00161459" w:rsidRPr="00827B41" w:rsidRDefault="008D02CF" w:rsidP="00167FE9">
            <w:pPr>
              <w:jc w:val="both"/>
              <w:rPr>
                <w:bCs/>
              </w:rPr>
            </w:pPr>
            <w:r w:rsidRPr="008D02CF">
              <w:rPr>
                <w:bCs/>
              </w:rPr>
              <w:t>This</w:t>
            </w:r>
            <w:r>
              <w:rPr>
                <w:bCs/>
              </w:rPr>
              <w:t xml:space="preserve"> p</w:t>
            </w:r>
            <w:r w:rsidRPr="008D02CF">
              <w:rPr>
                <w:bCs/>
              </w:rPr>
              <w:t>roperty is used to set the limit on the burst length for reads.</w:t>
            </w:r>
          </w:p>
        </w:tc>
      </w:tr>
      <w:tr w:rsidR="00161459" w:rsidRPr="009655A7" w14:paraId="55795DA6" w14:textId="77777777" w:rsidTr="00917AC9">
        <w:trPr>
          <w:trHeight w:val="300"/>
        </w:trPr>
        <w:tc>
          <w:tcPr>
            <w:tcW w:w="4225" w:type="dxa"/>
            <w:noWrap/>
          </w:tcPr>
          <w:p w14:paraId="414AF6D3" w14:textId="56D221CD" w:rsidR="00161459" w:rsidRPr="00827B41" w:rsidRDefault="0054733E" w:rsidP="008651AB">
            <w:pPr>
              <w:rPr>
                <w:bCs/>
              </w:rPr>
            </w:pPr>
            <w:r>
              <w:rPr>
                <w:bCs/>
              </w:rPr>
              <w:t>axi4m_aw_max_beats</w:t>
            </w:r>
          </w:p>
        </w:tc>
        <w:tc>
          <w:tcPr>
            <w:tcW w:w="1530" w:type="dxa"/>
            <w:noWrap/>
          </w:tcPr>
          <w:p w14:paraId="73EBE5C6" w14:textId="288F0E15" w:rsidR="00161459" w:rsidRPr="00827B41" w:rsidRDefault="0054733E" w:rsidP="008651AB">
            <w:pPr>
              <w:rPr>
                <w:bCs/>
              </w:rPr>
            </w:pPr>
            <w:r>
              <w:rPr>
                <w:bCs/>
              </w:rPr>
              <w:t>256</w:t>
            </w:r>
          </w:p>
        </w:tc>
        <w:tc>
          <w:tcPr>
            <w:tcW w:w="4320" w:type="dxa"/>
            <w:noWrap/>
          </w:tcPr>
          <w:p w14:paraId="3BDAD710" w14:textId="04A1911F" w:rsidR="00161459" w:rsidRPr="00827B41" w:rsidRDefault="008D02CF" w:rsidP="00167FE9">
            <w:pPr>
              <w:jc w:val="both"/>
              <w:rPr>
                <w:bCs/>
              </w:rPr>
            </w:pPr>
            <w:r w:rsidRPr="008D02CF">
              <w:rPr>
                <w:bCs/>
              </w:rPr>
              <w:t xml:space="preserve">This property is used to set the limit on the burst length for </w:t>
            </w:r>
            <w:r>
              <w:rPr>
                <w:bCs/>
              </w:rPr>
              <w:t>writes</w:t>
            </w:r>
            <w:r w:rsidRPr="008D02CF">
              <w:rPr>
                <w:bCs/>
              </w:rPr>
              <w:t>.</w:t>
            </w:r>
          </w:p>
        </w:tc>
      </w:tr>
      <w:tr w:rsidR="00161459" w:rsidRPr="009655A7" w14:paraId="156228CD" w14:textId="77777777" w:rsidTr="00917AC9">
        <w:trPr>
          <w:trHeight w:val="300"/>
        </w:trPr>
        <w:tc>
          <w:tcPr>
            <w:tcW w:w="4225" w:type="dxa"/>
            <w:noWrap/>
          </w:tcPr>
          <w:p w14:paraId="2C0A852B" w14:textId="1FC8B545" w:rsidR="00161459" w:rsidRPr="00827B41" w:rsidRDefault="0054733E" w:rsidP="008651AB">
            <w:pPr>
              <w:rPr>
                <w:bCs/>
              </w:rPr>
            </w:pPr>
            <w:r>
              <w:rPr>
                <w:bCs/>
              </w:rPr>
              <w:lastRenderedPageBreak/>
              <w:t>axi4s_memory_type</w:t>
            </w:r>
          </w:p>
        </w:tc>
        <w:tc>
          <w:tcPr>
            <w:tcW w:w="1530" w:type="dxa"/>
            <w:noWrap/>
          </w:tcPr>
          <w:p w14:paraId="2AA390A0" w14:textId="63056735" w:rsidR="00161459" w:rsidRPr="00827B41" w:rsidRDefault="0054733E" w:rsidP="008651AB">
            <w:pPr>
              <w:rPr>
                <w:bCs/>
              </w:rPr>
            </w:pPr>
            <w:r>
              <w:rPr>
                <w:bCs/>
              </w:rPr>
              <w:t>device</w:t>
            </w:r>
          </w:p>
        </w:tc>
        <w:tc>
          <w:tcPr>
            <w:tcW w:w="4320" w:type="dxa"/>
            <w:noWrap/>
          </w:tcPr>
          <w:p w14:paraId="5FF000F9" w14:textId="1D08A1A4" w:rsidR="00161459" w:rsidRPr="00827B41" w:rsidRDefault="008D02CF" w:rsidP="00167FE9">
            <w:pPr>
              <w:jc w:val="both"/>
              <w:rPr>
                <w:bCs/>
              </w:rPr>
            </w:pPr>
            <w:r w:rsidRPr="008D02CF">
              <w:rPr>
                <w:bCs/>
              </w:rPr>
              <w:t xml:space="preserve">This property indicates the Memory Type </w:t>
            </w:r>
            <w:proofErr w:type="spellStart"/>
            <w:r>
              <w:rPr>
                <w:bCs/>
              </w:rPr>
              <w:t>fot</w:t>
            </w:r>
            <w:proofErr w:type="spellEnd"/>
            <w:r>
              <w:rPr>
                <w:bCs/>
              </w:rPr>
              <w:t xml:space="preserve"> the AXI slave </w:t>
            </w:r>
            <w:r w:rsidRPr="008D02CF">
              <w:rPr>
                <w:bCs/>
              </w:rPr>
              <w:t>as described in the AXI spec.</w:t>
            </w:r>
          </w:p>
        </w:tc>
      </w:tr>
      <w:tr w:rsidR="00161459" w:rsidRPr="009655A7" w14:paraId="1F6F773D" w14:textId="77777777" w:rsidTr="00917AC9">
        <w:trPr>
          <w:trHeight w:val="300"/>
        </w:trPr>
        <w:tc>
          <w:tcPr>
            <w:tcW w:w="4225" w:type="dxa"/>
            <w:noWrap/>
          </w:tcPr>
          <w:p w14:paraId="71C3F9DD" w14:textId="6A774519" w:rsidR="00161459" w:rsidRPr="0054733E" w:rsidRDefault="0054733E" w:rsidP="008651AB">
            <w:pPr>
              <w:rPr>
                <w:rFonts w:asciiTheme="majorHAnsi" w:hAnsiTheme="majorHAnsi" w:cs="Calibri"/>
                <w:color w:val="000000"/>
              </w:rPr>
            </w:pPr>
            <w:proofErr w:type="spellStart"/>
            <w:r w:rsidRPr="0054733E">
              <w:rPr>
                <w:rFonts w:asciiTheme="majorHAnsi" w:hAnsiTheme="majorHAnsi" w:cs="Calibri"/>
                <w:color w:val="000000"/>
              </w:rPr>
              <w:t>cmi_rd_req_max_credit_error_fatal</w:t>
            </w:r>
            <w:proofErr w:type="spellEnd"/>
          </w:p>
        </w:tc>
        <w:tc>
          <w:tcPr>
            <w:tcW w:w="1530" w:type="dxa"/>
            <w:noWrap/>
          </w:tcPr>
          <w:p w14:paraId="065598BC" w14:textId="1DBE203F" w:rsidR="00161459" w:rsidRPr="00827B41" w:rsidRDefault="0054733E" w:rsidP="008651AB">
            <w:pPr>
              <w:rPr>
                <w:bCs/>
              </w:rPr>
            </w:pPr>
            <w:r>
              <w:rPr>
                <w:bCs/>
              </w:rPr>
              <w:t>no</w:t>
            </w:r>
          </w:p>
        </w:tc>
        <w:tc>
          <w:tcPr>
            <w:tcW w:w="4320" w:type="dxa"/>
            <w:noWrap/>
          </w:tcPr>
          <w:p w14:paraId="1CD12B1B" w14:textId="443E10AC" w:rsidR="00161459" w:rsidRPr="00827B41" w:rsidRDefault="00167FE9" w:rsidP="00167FE9">
            <w:pPr>
              <w:jc w:val="both"/>
              <w:rPr>
                <w:bCs/>
              </w:rPr>
            </w:pPr>
            <w:r w:rsidRPr="00167FE9">
              <w:rPr>
                <w:bCs/>
              </w:rPr>
              <w:t>This property is used to enable the read completion error type functionality in the CMI bridge.</w:t>
            </w:r>
          </w:p>
        </w:tc>
      </w:tr>
      <w:tr w:rsidR="00161459" w:rsidRPr="009655A7" w14:paraId="7E07CD3E" w14:textId="77777777" w:rsidTr="00917AC9">
        <w:trPr>
          <w:trHeight w:val="300"/>
        </w:trPr>
        <w:tc>
          <w:tcPr>
            <w:tcW w:w="4225" w:type="dxa"/>
            <w:noWrap/>
          </w:tcPr>
          <w:p w14:paraId="123E1D21" w14:textId="3674DA02" w:rsidR="00161459" w:rsidRPr="0054733E" w:rsidRDefault="0054733E" w:rsidP="008651AB">
            <w:pPr>
              <w:rPr>
                <w:rFonts w:asciiTheme="majorHAnsi" w:hAnsiTheme="majorHAnsi" w:cs="Calibri"/>
                <w:color w:val="000000"/>
              </w:rPr>
            </w:pPr>
            <w:proofErr w:type="spellStart"/>
            <w:r w:rsidRPr="0054733E">
              <w:rPr>
                <w:rFonts w:asciiTheme="majorHAnsi" w:hAnsiTheme="majorHAnsi" w:cs="Calibri"/>
                <w:color w:val="000000"/>
              </w:rPr>
              <w:t>cmi_rdcpl_max_credit_error_fatal</w:t>
            </w:r>
            <w:proofErr w:type="spellEnd"/>
          </w:p>
        </w:tc>
        <w:tc>
          <w:tcPr>
            <w:tcW w:w="1530" w:type="dxa"/>
            <w:noWrap/>
          </w:tcPr>
          <w:p w14:paraId="73F036C7" w14:textId="54A9C6D8" w:rsidR="00161459" w:rsidRPr="00827B41" w:rsidRDefault="0054733E" w:rsidP="008651AB">
            <w:pPr>
              <w:rPr>
                <w:bCs/>
              </w:rPr>
            </w:pPr>
            <w:r>
              <w:rPr>
                <w:bCs/>
              </w:rPr>
              <w:t>no</w:t>
            </w:r>
          </w:p>
        </w:tc>
        <w:tc>
          <w:tcPr>
            <w:tcW w:w="4320" w:type="dxa"/>
            <w:noWrap/>
          </w:tcPr>
          <w:p w14:paraId="61726E8C" w14:textId="0C602F2E" w:rsidR="00161459" w:rsidRPr="00827B41" w:rsidRDefault="00167FE9" w:rsidP="00167FE9">
            <w:pPr>
              <w:jc w:val="both"/>
              <w:rPr>
                <w:bCs/>
              </w:rPr>
            </w:pPr>
            <w:r w:rsidRPr="00167FE9">
              <w:rPr>
                <w:bCs/>
              </w:rPr>
              <w:t>This property</w:t>
            </w:r>
            <w:r>
              <w:rPr>
                <w:bCs/>
              </w:rPr>
              <w:t xml:space="preserve"> i</w:t>
            </w:r>
            <w:r w:rsidRPr="00167FE9">
              <w:rPr>
                <w:bCs/>
              </w:rPr>
              <w:t xml:space="preserve">s </w:t>
            </w:r>
            <w:r>
              <w:rPr>
                <w:bCs/>
              </w:rPr>
              <w:t xml:space="preserve">used to </w:t>
            </w:r>
            <w:r w:rsidRPr="00167FE9">
              <w:rPr>
                <w:bCs/>
              </w:rPr>
              <w:t>control whether the interrupt raise on read credit overflow will be fatal or non-fatal.</w:t>
            </w:r>
          </w:p>
        </w:tc>
      </w:tr>
      <w:tr w:rsidR="00161459" w:rsidRPr="009655A7" w14:paraId="007B6A62" w14:textId="77777777" w:rsidTr="00917AC9">
        <w:trPr>
          <w:trHeight w:val="300"/>
        </w:trPr>
        <w:tc>
          <w:tcPr>
            <w:tcW w:w="4225" w:type="dxa"/>
            <w:noWrap/>
          </w:tcPr>
          <w:p w14:paraId="0C59C24E" w14:textId="56904AD0" w:rsidR="00161459" w:rsidRPr="0054733E" w:rsidRDefault="0054733E" w:rsidP="008651AB">
            <w:pPr>
              <w:rPr>
                <w:rFonts w:ascii="Palatino Linotype" w:hAnsi="Palatino Linotype" w:cs="Calibri"/>
                <w:color w:val="000000"/>
              </w:rPr>
            </w:pPr>
            <w:proofErr w:type="spellStart"/>
            <w:r>
              <w:rPr>
                <w:rFonts w:ascii="Palatino Linotype" w:hAnsi="Palatino Linotype" w:cs="Calibri"/>
                <w:color w:val="000000"/>
              </w:rPr>
              <w:t>cmi_route_lookup_error_fatal</w:t>
            </w:r>
            <w:proofErr w:type="spellEnd"/>
          </w:p>
        </w:tc>
        <w:tc>
          <w:tcPr>
            <w:tcW w:w="1530" w:type="dxa"/>
            <w:noWrap/>
          </w:tcPr>
          <w:p w14:paraId="6A7FEAB2" w14:textId="3A732054" w:rsidR="00161459" w:rsidRPr="00827B41" w:rsidRDefault="0054733E" w:rsidP="008651AB">
            <w:pPr>
              <w:rPr>
                <w:bCs/>
              </w:rPr>
            </w:pPr>
            <w:r>
              <w:rPr>
                <w:bCs/>
              </w:rPr>
              <w:t>no</w:t>
            </w:r>
          </w:p>
        </w:tc>
        <w:tc>
          <w:tcPr>
            <w:tcW w:w="4320" w:type="dxa"/>
            <w:noWrap/>
          </w:tcPr>
          <w:p w14:paraId="485BAFFD" w14:textId="47967207" w:rsidR="00161459" w:rsidRPr="00827B41" w:rsidRDefault="00167FE9" w:rsidP="00167FE9">
            <w:pPr>
              <w:jc w:val="both"/>
              <w:rPr>
                <w:bCs/>
              </w:rPr>
            </w:pPr>
            <w:r>
              <w:rPr>
                <w:bCs/>
              </w:rPr>
              <w:t>T</w:t>
            </w:r>
            <w:r w:rsidRPr="00167FE9">
              <w:rPr>
                <w:bCs/>
              </w:rPr>
              <w:t>his property is used to enable the read completion error type functionality in the CMI bridge.</w:t>
            </w:r>
          </w:p>
        </w:tc>
      </w:tr>
      <w:tr w:rsidR="00161459" w:rsidRPr="009655A7" w14:paraId="27430846" w14:textId="77777777" w:rsidTr="00917AC9">
        <w:trPr>
          <w:trHeight w:val="300"/>
        </w:trPr>
        <w:tc>
          <w:tcPr>
            <w:tcW w:w="4225" w:type="dxa"/>
            <w:noWrap/>
          </w:tcPr>
          <w:p w14:paraId="19ACF38B" w14:textId="325A8AEC" w:rsidR="00161459" w:rsidRPr="0054733E" w:rsidRDefault="0054733E" w:rsidP="008651AB">
            <w:pPr>
              <w:rPr>
                <w:rFonts w:ascii="Palatino Linotype" w:hAnsi="Palatino Linotype" w:cs="Calibri"/>
                <w:color w:val="000000"/>
              </w:rPr>
            </w:pPr>
            <w:proofErr w:type="spellStart"/>
            <w:r>
              <w:rPr>
                <w:rFonts w:ascii="Palatino Linotype" w:hAnsi="Palatino Linotype" w:cs="Calibri"/>
                <w:color w:val="000000"/>
              </w:rPr>
              <w:t>cmi_rsp_max_credit_error_fatal</w:t>
            </w:r>
            <w:proofErr w:type="spellEnd"/>
          </w:p>
        </w:tc>
        <w:tc>
          <w:tcPr>
            <w:tcW w:w="1530" w:type="dxa"/>
            <w:noWrap/>
          </w:tcPr>
          <w:p w14:paraId="1B07C8FB" w14:textId="7E7A9387" w:rsidR="00161459" w:rsidRPr="00827B41" w:rsidRDefault="0054733E" w:rsidP="008651AB">
            <w:pPr>
              <w:rPr>
                <w:bCs/>
              </w:rPr>
            </w:pPr>
            <w:r>
              <w:rPr>
                <w:bCs/>
              </w:rPr>
              <w:t>no</w:t>
            </w:r>
          </w:p>
        </w:tc>
        <w:tc>
          <w:tcPr>
            <w:tcW w:w="4320" w:type="dxa"/>
            <w:noWrap/>
          </w:tcPr>
          <w:p w14:paraId="14B60DFB" w14:textId="10F11793" w:rsidR="00161459" w:rsidRPr="00827B41" w:rsidRDefault="00167FE9" w:rsidP="00167FE9">
            <w:pPr>
              <w:jc w:val="both"/>
              <w:rPr>
                <w:bCs/>
              </w:rPr>
            </w:pPr>
            <w:r>
              <w:rPr>
                <w:bCs/>
              </w:rPr>
              <w:t>T</w:t>
            </w:r>
            <w:r w:rsidRPr="00167FE9">
              <w:rPr>
                <w:bCs/>
              </w:rPr>
              <w:t>his property is control whether the interrupt raise on read credit overflow will be fatal or non-fatal.</w:t>
            </w:r>
          </w:p>
        </w:tc>
      </w:tr>
      <w:tr w:rsidR="00161459" w:rsidRPr="009655A7" w14:paraId="0DF41048" w14:textId="77777777" w:rsidTr="00917AC9">
        <w:trPr>
          <w:trHeight w:val="288"/>
        </w:trPr>
        <w:tc>
          <w:tcPr>
            <w:tcW w:w="4225" w:type="dxa"/>
            <w:noWrap/>
          </w:tcPr>
          <w:p w14:paraId="51A13C75" w14:textId="6FF5BF06" w:rsidR="00161459" w:rsidRPr="0054733E" w:rsidRDefault="0054733E" w:rsidP="008651AB">
            <w:pPr>
              <w:rPr>
                <w:rFonts w:ascii="Palatino Linotype" w:hAnsi="Palatino Linotype" w:cs="Calibri"/>
                <w:color w:val="1D1C1D"/>
              </w:rPr>
            </w:pPr>
            <w:proofErr w:type="spellStart"/>
            <w:r>
              <w:rPr>
                <w:rFonts w:ascii="Palatino Linotype" w:hAnsi="Palatino Linotype" w:cs="Calibri"/>
                <w:color w:val="1D1C1D"/>
              </w:rPr>
              <w:t>cmi_unsupported_opcode_error_fatal</w:t>
            </w:r>
            <w:proofErr w:type="spellEnd"/>
          </w:p>
        </w:tc>
        <w:tc>
          <w:tcPr>
            <w:tcW w:w="1530" w:type="dxa"/>
            <w:noWrap/>
          </w:tcPr>
          <w:p w14:paraId="31994097" w14:textId="5CFA304A" w:rsidR="00161459" w:rsidRPr="00827B41" w:rsidRDefault="0054733E" w:rsidP="008651AB">
            <w:r>
              <w:t>no</w:t>
            </w:r>
          </w:p>
        </w:tc>
        <w:tc>
          <w:tcPr>
            <w:tcW w:w="4320" w:type="dxa"/>
            <w:noWrap/>
          </w:tcPr>
          <w:p w14:paraId="5F4FA830" w14:textId="50FE0EEB" w:rsidR="00161459" w:rsidRPr="00827B41" w:rsidRDefault="004B77C1" w:rsidP="004B77C1">
            <w:pPr>
              <w:pStyle w:val="Body"/>
            </w:pPr>
            <w:r>
              <w:t>This property is used to enable the read completion error type functionality in the CMI bridge.</w:t>
            </w:r>
          </w:p>
        </w:tc>
      </w:tr>
      <w:tr w:rsidR="00161459" w:rsidRPr="009655A7" w14:paraId="2646345E" w14:textId="77777777" w:rsidTr="00917AC9">
        <w:trPr>
          <w:trHeight w:val="300"/>
        </w:trPr>
        <w:tc>
          <w:tcPr>
            <w:tcW w:w="4225" w:type="dxa"/>
            <w:noWrap/>
          </w:tcPr>
          <w:p w14:paraId="57C17D8D" w14:textId="42EC528D" w:rsidR="00161459" w:rsidRPr="0054733E" w:rsidRDefault="0054733E" w:rsidP="008651AB">
            <w:pPr>
              <w:rPr>
                <w:rFonts w:ascii="Palatino Linotype" w:hAnsi="Palatino Linotype" w:cs="Calibri"/>
                <w:color w:val="000000"/>
              </w:rPr>
            </w:pPr>
            <w:proofErr w:type="spellStart"/>
            <w:r>
              <w:rPr>
                <w:rFonts w:ascii="Palatino Linotype" w:hAnsi="Palatino Linotype" w:cs="Calibri"/>
                <w:color w:val="000000"/>
              </w:rPr>
              <w:t>host_idi_max_outstanding_requests</w:t>
            </w:r>
            <w:proofErr w:type="spellEnd"/>
          </w:p>
        </w:tc>
        <w:tc>
          <w:tcPr>
            <w:tcW w:w="1530" w:type="dxa"/>
            <w:noWrap/>
          </w:tcPr>
          <w:p w14:paraId="34FA73DF" w14:textId="00C58AEC" w:rsidR="00161459" w:rsidRPr="00827B41" w:rsidRDefault="0054733E" w:rsidP="008651AB">
            <w:r>
              <w:t>-1</w:t>
            </w:r>
          </w:p>
        </w:tc>
        <w:tc>
          <w:tcPr>
            <w:tcW w:w="4320" w:type="dxa"/>
            <w:noWrap/>
          </w:tcPr>
          <w:p w14:paraId="073C1033" w14:textId="25456F96" w:rsidR="00161459" w:rsidRPr="00827B41" w:rsidRDefault="004B77C1" w:rsidP="00167FE9">
            <w:pPr>
              <w:jc w:val="both"/>
            </w:pPr>
            <w:r>
              <w:t>This property sets the number of IDI max outstanding requests.</w:t>
            </w:r>
          </w:p>
        </w:tc>
      </w:tr>
      <w:tr w:rsidR="0054733E" w:rsidRPr="009655A7" w14:paraId="508C0A80" w14:textId="77777777" w:rsidTr="00917AC9">
        <w:trPr>
          <w:trHeight w:val="300"/>
        </w:trPr>
        <w:tc>
          <w:tcPr>
            <w:tcW w:w="4225" w:type="dxa"/>
            <w:noWrap/>
          </w:tcPr>
          <w:p w14:paraId="59862570" w14:textId="488128C4" w:rsidR="0054733E" w:rsidRPr="0054733E" w:rsidRDefault="0054733E" w:rsidP="0054733E">
            <w:pPr>
              <w:rPr>
                <w:rFonts w:ascii="Palatino Linotype" w:hAnsi="Palatino Linotype" w:cs="Calibri"/>
                <w:color w:val="000000"/>
              </w:rPr>
            </w:pPr>
            <w:proofErr w:type="spellStart"/>
            <w:r>
              <w:rPr>
                <w:rFonts w:ascii="Palatino Linotype" w:hAnsi="Palatino Linotype" w:cs="Calibri"/>
                <w:color w:val="000000"/>
              </w:rPr>
              <w:t>host_upi_max_outstanding_requests</w:t>
            </w:r>
            <w:proofErr w:type="spellEnd"/>
          </w:p>
        </w:tc>
        <w:tc>
          <w:tcPr>
            <w:tcW w:w="1530" w:type="dxa"/>
            <w:noWrap/>
          </w:tcPr>
          <w:p w14:paraId="0A57201E" w14:textId="5033E6E7" w:rsidR="0054733E" w:rsidRDefault="0054733E" w:rsidP="008651AB">
            <w:r>
              <w:t>-1</w:t>
            </w:r>
          </w:p>
        </w:tc>
        <w:tc>
          <w:tcPr>
            <w:tcW w:w="4320" w:type="dxa"/>
            <w:noWrap/>
          </w:tcPr>
          <w:p w14:paraId="4B77DDFD" w14:textId="3C24D824" w:rsidR="0054733E" w:rsidRPr="00827B41" w:rsidRDefault="004B77C1" w:rsidP="00167FE9">
            <w:pPr>
              <w:jc w:val="both"/>
            </w:pPr>
            <w:r>
              <w:t>This property sets the number of UPI max outstanding requests.</w:t>
            </w:r>
          </w:p>
        </w:tc>
      </w:tr>
      <w:tr w:rsidR="0054733E" w:rsidRPr="009655A7" w14:paraId="131380A7" w14:textId="77777777" w:rsidTr="00917AC9">
        <w:trPr>
          <w:trHeight w:val="300"/>
        </w:trPr>
        <w:tc>
          <w:tcPr>
            <w:tcW w:w="4225" w:type="dxa"/>
            <w:noWrap/>
          </w:tcPr>
          <w:p w14:paraId="0FF9F779" w14:textId="26AEDE26" w:rsidR="0054733E" w:rsidRPr="0054733E" w:rsidRDefault="0054733E" w:rsidP="008651AB">
            <w:pPr>
              <w:rPr>
                <w:rFonts w:ascii="Palatino Linotype" w:hAnsi="Palatino Linotype" w:cs="Calibri"/>
                <w:color w:val="000000"/>
              </w:rPr>
            </w:pPr>
            <w:r>
              <w:rPr>
                <w:rFonts w:ascii="Palatino Linotype" w:hAnsi="Palatino Linotype" w:cs="Calibri"/>
                <w:color w:val="000000"/>
              </w:rPr>
              <w:t>idi_c2u_strap_data_header_sep_enable</w:t>
            </w:r>
          </w:p>
        </w:tc>
        <w:tc>
          <w:tcPr>
            <w:tcW w:w="1530" w:type="dxa"/>
            <w:noWrap/>
          </w:tcPr>
          <w:p w14:paraId="039789D8" w14:textId="391F9032" w:rsidR="0054733E" w:rsidRDefault="0054733E" w:rsidP="008651AB">
            <w:proofErr w:type="spellStart"/>
            <w:r>
              <w:t>no_w_pins</w:t>
            </w:r>
            <w:proofErr w:type="spellEnd"/>
          </w:p>
        </w:tc>
        <w:tc>
          <w:tcPr>
            <w:tcW w:w="4320" w:type="dxa"/>
            <w:noWrap/>
          </w:tcPr>
          <w:p w14:paraId="678FCF60" w14:textId="36CF7416" w:rsidR="0054733E" w:rsidRPr="00827B41" w:rsidRDefault="004B77C1" w:rsidP="004B77C1">
            <w:pPr>
              <w:jc w:val="both"/>
            </w:pPr>
            <w:r>
              <w:t>This property is used to enable or disable the C2U straps to support separation of header and data in the IDI bridge and also to control the presence of C2U strap pins on the boundary of the bridge wrapper.</w:t>
            </w:r>
          </w:p>
        </w:tc>
      </w:tr>
      <w:tr w:rsidR="0054733E" w:rsidRPr="009655A7" w14:paraId="20CED1B0" w14:textId="77777777" w:rsidTr="00917AC9">
        <w:trPr>
          <w:trHeight w:val="300"/>
        </w:trPr>
        <w:tc>
          <w:tcPr>
            <w:tcW w:w="4225" w:type="dxa"/>
            <w:noWrap/>
          </w:tcPr>
          <w:p w14:paraId="7BDD3F2F" w14:textId="0EDA3AD4" w:rsidR="0054733E" w:rsidRPr="0054733E" w:rsidRDefault="0054733E" w:rsidP="008651AB">
            <w:pPr>
              <w:rPr>
                <w:rFonts w:ascii="Palatino Linotype" w:hAnsi="Palatino Linotype" w:cs="Calibri"/>
                <w:color w:val="000000"/>
              </w:rPr>
            </w:pPr>
            <w:r>
              <w:rPr>
                <w:rFonts w:ascii="Palatino Linotype" w:hAnsi="Palatino Linotype" w:cs="Calibri"/>
                <w:color w:val="000000"/>
              </w:rPr>
              <w:t>idi_c2u_strap_support_stall_enable</w:t>
            </w:r>
          </w:p>
        </w:tc>
        <w:tc>
          <w:tcPr>
            <w:tcW w:w="1530" w:type="dxa"/>
            <w:noWrap/>
          </w:tcPr>
          <w:p w14:paraId="71CDE07D" w14:textId="18D7AE95" w:rsidR="0054733E" w:rsidRDefault="0054733E" w:rsidP="008651AB">
            <w:proofErr w:type="spellStart"/>
            <w:r>
              <w:t>no_w_pins</w:t>
            </w:r>
            <w:proofErr w:type="spellEnd"/>
          </w:p>
        </w:tc>
        <w:tc>
          <w:tcPr>
            <w:tcW w:w="4320" w:type="dxa"/>
            <w:noWrap/>
          </w:tcPr>
          <w:p w14:paraId="022A0357" w14:textId="740354A3" w:rsidR="0054733E" w:rsidRPr="00827B41" w:rsidRDefault="004B77C1" w:rsidP="004B77C1">
            <w:pPr>
              <w:jc w:val="both"/>
            </w:pPr>
            <w:r>
              <w:t>This property is used to enable or disable the C2U straps to support stalls in the IDI bridge and also to control the presence of C2U strap pins on the boundary of the bridge wrapper.</w:t>
            </w:r>
          </w:p>
        </w:tc>
      </w:tr>
      <w:tr w:rsidR="008471C1" w:rsidRPr="009655A7" w14:paraId="5AD00CCB" w14:textId="77777777" w:rsidTr="00917AC9">
        <w:trPr>
          <w:trHeight w:val="300"/>
        </w:trPr>
        <w:tc>
          <w:tcPr>
            <w:tcW w:w="4225" w:type="dxa"/>
            <w:noWrap/>
          </w:tcPr>
          <w:p w14:paraId="656CAA0F" w14:textId="10A62F66" w:rsidR="008471C1" w:rsidRDefault="008471C1" w:rsidP="008651AB">
            <w:pPr>
              <w:rPr>
                <w:rFonts w:ascii="Palatino Linotype" w:hAnsi="Palatino Linotype" w:cs="Calibri"/>
                <w:color w:val="000000"/>
              </w:rPr>
            </w:pPr>
            <w:r>
              <w:rPr>
                <w:rFonts w:ascii="Palatino Linotype" w:hAnsi="Palatino Linotype" w:cs="Calibri"/>
                <w:color w:val="000000"/>
              </w:rPr>
              <w:lastRenderedPageBreak/>
              <w:t>idi_c2u_strap_spare</w:t>
            </w:r>
          </w:p>
        </w:tc>
        <w:tc>
          <w:tcPr>
            <w:tcW w:w="1530" w:type="dxa"/>
            <w:noWrap/>
          </w:tcPr>
          <w:p w14:paraId="14C4EB2D" w14:textId="527514ED" w:rsidR="008471C1" w:rsidRDefault="008471C1" w:rsidP="008651AB">
            <w:r>
              <w:t>4</w:t>
            </w:r>
          </w:p>
        </w:tc>
        <w:tc>
          <w:tcPr>
            <w:tcW w:w="4320" w:type="dxa"/>
            <w:noWrap/>
          </w:tcPr>
          <w:p w14:paraId="617EDC23" w14:textId="0BC99A26" w:rsidR="008471C1" w:rsidRDefault="008471C1" w:rsidP="008471C1">
            <w:pPr>
              <w:jc w:val="both"/>
            </w:pPr>
            <w:r>
              <w:t>This property is</w:t>
            </w:r>
            <w:r>
              <w:t xml:space="preserve"> </w:t>
            </w:r>
            <w:r>
              <w:t>used to set the width of the C2U spare strap signals for this bridge</w:t>
            </w:r>
            <w:r>
              <w:t>.</w:t>
            </w:r>
          </w:p>
        </w:tc>
      </w:tr>
      <w:tr w:rsidR="008471C1" w:rsidRPr="009655A7" w14:paraId="078B1D9B" w14:textId="77777777" w:rsidTr="00917AC9">
        <w:trPr>
          <w:trHeight w:val="300"/>
        </w:trPr>
        <w:tc>
          <w:tcPr>
            <w:tcW w:w="4225" w:type="dxa"/>
            <w:noWrap/>
          </w:tcPr>
          <w:p w14:paraId="167B149B" w14:textId="56F2BB03" w:rsidR="008471C1" w:rsidRDefault="008471C1" w:rsidP="008651AB">
            <w:pPr>
              <w:rPr>
                <w:rFonts w:ascii="Palatino Linotype" w:hAnsi="Palatino Linotype" w:cs="Calibri"/>
                <w:color w:val="000000"/>
              </w:rPr>
            </w:pPr>
            <w:r>
              <w:rPr>
                <w:rFonts w:ascii="Palatino Linotype" w:hAnsi="Palatino Linotype" w:cs="Calibri"/>
                <w:color w:val="000000"/>
              </w:rPr>
              <w:t>idi_u2c_strap_spare</w:t>
            </w:r>
          </w:p>
        </w:tc>
        <w:tc>
          <w:tcPr>
            <w:tcW w:w="1530" w:type="dxa"/>
            <w:noWrap/>
          </w:tcPr>
          <w:p w14:paraId="0AD23C21" w14:textId="38FD581A" w:rsidR="008471C1" w:rsidRDefault="008471C1" w:rsidP="008651AB">
            <w:r>
              <w:t>5</w:t>
            </w:r>
          </w:p>
        </w:tc>
        <w:tc>
          <w:tcPr>
            <w:tcW w:w="4320" w:type="dxa"/>
            <w:noWrap/>
          </w:tcPr>
          <w:p w14:paraId="3E596BD8" w14:textId="076FB96E" w:rsidR="008471C1" w:rsidRDefault="008471C1" w:rsidP="004B77C1">
            <w:pPr>
              <w:jc w:val="both"/>
            </w:pPr>
            <w:r>
              <w:t>This property is used to set the width of the U</w:t>
            </w:r>
            <w:r>
              <w:t>2C</w:t>
            </w:r>
            <w:bookmarkStart w:id="12" w:name="_GoBack"/>
            <w:bookmarkEnd w:id="12"/>
            <w:r>
              <w:t xml:space="preserve"> spare strap signals for this bridge.</w:t>
            </w:r>
          </w:p>
        </w:tc>
      </w:tr>
    </w:tbl>
    <w:p w14:paraId="6E53CAB2" w14:textId="77777777" w:rsidR="00161459" w:rsidRDefault="00161459" w:rsidP="007862EC">
      <w:pPr>
        <w:pStyle w:val="Heading2"/>
        <w:rPr>
          <w:rFonts w:ascii="Palatino Linotype" w:hAnsi="Palatino Linotype"/>
          <w:color w:val="auto"/>
        </w:rPr>
      </w:pPr>
      <w:bookmarkStart w:id="13" w:name="_Toc461049987"/>
      <w:bookmarkStart w:id="14" w:name="_Toc472974338"/>
      <w:r w:rsidRPr="0004677F">
        <w:rPr>
          <w:rFonts w:ascii="Palatino Linotype" w:hAnsi="Palatino Linotype"/>
          <w:color w:val="auto"/>
        </w:rPr>
        <w:t>Host Property Changes</w:t>
      </w:r>
      <w:bookmarkEnd w:id="13"/>
      <w:bookmarkEnd w:id="14"/>
    </w:p>
    <w:tbl>
      <w:tblPr>
        <w:tblStyle w:val="TableGrid"/>
        <w:tblW w:w="10075" w:type="dxa"/>
        <w:tblLook w:val="04A0" w:firstRow="1" w:lastRow="0" w:firstColumn="1" w:lastColumn="0" w:noHBand="0" w:noVBand="1"/>
      </w:tblPr>
      <w:tblGrid>
        <w:gridCol w:w="4225"/>
        <w:gridCol w:w="1530"/>
        <w:gridCol w:w="4320"/>
      </w:tblGrid>
      <w:tr w:rsidR="00161459" w:rsidRPr="009655A7" w14:paraId="49D3AD46" w14:textId="77777777" w:rsidTr="00917AC9">
        <w:trPr>
          <w:trHeight w:val="300"/>
        </w:trPr>
        <w:tc>
          <w:tcPr>
            <w:tcW w:w="4225" w:type="dxa"/>
            <w:noWrap/>
          </w:tcPr>
          <w:p w14:paraId="1F93F29F" w14:textId="77777777" w:rsidR="00161459" w:rsidRPr="009655A7" w:rsidRDefault="00161459" w:rsidP="00982290">
            <w:pPr>
              <w:rPr>
                <w:b/>
                <w:bCs/>
              </w:rPr>
            </w:pPr>
            <w:r>
              <w:rPr>
                <w:b/>
                <w:bCs/>
              </w:rPr>
              <w:t>Property Name</w:t>
            </w:r>
          </w:p>
        </w:tc>
        <w:tc>
          <w:tcPr>
            <w:tcW w:w="1530" w:type="dxa"/>
            <w:noWrap/>
          </w:tcPr>
          <w:p w14:paraId="09CF7D3B" w14:textId="77777777" w:rsidR="00161459" w:rsidRPr="009655A7" w:rsidRDefault="00161459" w:rsidP="00982290">
            <w:pPr>
              <w:rPr>
                <w:b/>
                <w:bCs/>
              </w:rPr>
            </w:pPr>
            <w:r w:rsidRPr="009655A7">
              <w:rPr>
                <w:b/>
                <w:bCs/>
              </w:rPr>
              <w:t>Default</w:t>
            </w:r>
            <w:r>
              <w:rPr>
                <w:b/>
                <w:bCs/>
              </w:rPr>
              <w:t xml:space="preserve"> Value</w:t>
            </w:r>
          </w:p>
        </w:tc>
        <w:tc>
          <w:tcPr>
            <w:tcW w:w="4320" w:type="dxa"/>
            <w:noWrap/>
          </w:tcPr>
          <w:p w14:paraId="7803EE23" w14:textId="77777777" w:rsidR="00161459" w:rsidRPr="009655A7" w:rsidRDefault="00161459" w:rsidP="00982290">
            <w:pPr>
              <w:rPr>
                <w:b/>
                <w:bCs/>
              </w:rPr>
            </w:pPr>
            <w:r>
              <w:rPr>
                <w:b/>
                <w:bCs/>
              </w:rPr>
              <w:t>Comment</w:t>
            </w:r>
          </w:p>
        </w:tc>
      </w:tr>
      <w:tr w:rsidR="00161459" w:rsidRPr="00D67AD5" w14:paraId="0E0C101F" w14:textId="77777777" w:rsidTr="00917AC9">
        <w:trPr>
          <w:trHeight w:val="288"/>
        </w:trPr>
        <w:tc>
          <w:tcPr>
            <w:tcW w:w="4225" w:type="dxa"/>
            <w:noWrap/>
          </w:tcPr>
          <w:p w14:paraId="58AB3A4F" w14:textId="4C67CF5E" w:rsidR="00161459" w:rsidRPr="00D67AD5" w:rsidRDefault="00D67AD5" w:rsidP="00982290">
            <w:pPr>
              <w:rPr>
                <w:rFonts w:asciiTheme="majorHAnsi" w:hAnsiTheme="majorHAnsi" w:cs="Calibri"/>
                <w:color w:val="000000"/>
              </w:rPr>
            </w:pPr>
            <w:r w:rsidRPr="00D67AD5">
              <w:rPr>
                <w:rFonts w:asciiTheme="majorHAnsi" w:hAnsiTheme="majorHAnsi" w:cs="Calibri"/>
                <w:color w:val="000000"/>
              </w:rPr>
              <w:t>cc_directory_latency</w:t>
            </w:r>
          </w:p>
        </w:tc>
        <w:tc>
          <w:tcPr>
            <w:tcW w:w="1530" w:type="dxa"/>
            <w:noWrap/>
          </w:tcPr>
          <w:p w14:paraId="3BE8C769" w14:textId="36CCCB00" w:rsidR="00161459" w:rsidRPr="00D67AD5" w:rsidRDefault="00855A92" w:rsidP="00982290">
            <w:pPr>
              <w:rPr>
                <w:rFonts w:asciiTheme="majorHAnsi" w:hAnsiTheme="majorHAnsi"/>
              </w:rPr>
            </w:pPr>
            <w:r>
              <w:rPr>
                <w:rFonts w:asciiTheme="majorHAnsi" w:hAnsiTheme="majorHAnsi"/>
              </w:rPr>
              <w:t>1</w:t>
            </w:r>
          </w:p>
        </w:tc>
        <w:tc>
          <w:tcPr>
            <w:tcW w:w="4320" w:type="dxa"/>
            <w:noWrap/>
          </w:tcPr>
          <w:p w14:paraId="6C36D165" w14:textId="5B80DB3F" w:rsidR="00161459" w:rsidRPr="00D67AD5" w:rsidRDefault="008543DB" w:rsidP="008543DB">
            <w:pPr>
              <w:pStyle w:val="Body"/>
              <w:rPr>
                <w:rFonts w:asciiTheme="majorHAnsi" w:hAnsiTheme="majorHAnsi"/>
              </w:rPr>
            </w:pPr>
            <w:r w:rsidRPr="008543DB">
              <w:rPr>
                <w:rFonts w:asciiTheme="majorHAnsi" w:hAnsiTheme="majorHAnsi"/>
              </w:rPr>
              <w:t xml:space="preserve">This </w:t>
            </w:r>
            <w:r>
              <w:rPr>
                <w:rFonts w:asciiTheme="majorHAnsi" w:hAnsiTheme="majorHAnsi"/>
              </w:rPr>
              <w:t xml:space="preserve">property </w:t>
            </w:r>
            <w:r w:rsidRPr="008543DB">
              <w:rPr>
                <w:rFonts w:asciiTheme="majorHAnsi" w:hAnsiTheme="majorHAnsi"/>
              </w:rPr>
              <w:t>specifies the</w:t>
            </w:r>
            <w:r>
              <w:rPr>
                <w:rFonts w:asciiTheme="majorHAnsi" w:hAnsiTheme="majorHAnsi"/>
              </w:rPr>
              <w:t xml:space="preserve"> </w:t>
            </w:r>
            <w:r w:rsidRPr="008543DB">
              <w:rPr>
                <w:rFonts w:asciiTheme="majorHAnsi" w:hAnsiTheme="majorHAnsi"/>
              </w:rPr>
              <w:t>latency of the coherency directory RAM array for the target CCC.</w:t>
            </w:r>
          </w:p>
        </w:tc>
      </w:tr>
      <w:tr w:rsidR="00161459" w:rsidRPr="00D67AD5" w14:paraId="743351E8" w14:textId="77777777" w:rsidTr="00917AC9">
        <w:trPr>
          <w:trHeight w:val="288"/>
        </w:trPr>
        <w:tc>
          <w:tcPr>
            <w:tcW w:w="4225" w:type="dxa"/>
            <w:noWrap/>
          </w:tcPr>
          <w:p w14:paraId="7FD3359F" w14:textId="34700EB9" w:rsidR="00161459" w:rsidRPr="00D67AD5" w:rsidRDefault="00D67AD5" w:rsidP="00982290">
            <w:pPr>
              <w:rPr>
                <w:rFonts w:asciiTheme="majorHAnsi" w:hAnsiTheme="majorHAnsi" w:cs="Calibri"/>
                <w:color w:val="000000"/>
              </w:rPr>
            </w:pPr>
            <w:r>
              <w:rPr>
                <w:rFonts w:asciiTheme="majorHAnsi" w:hAnsiTheme="majorHAnsi" w:cs="Calibri"/>
                <w:color w:val="000000"/>
              </w:rPr>
              <w:t>llc_data_ram_latency</w:t>
            </w:r>
          </w:p>
        </w:tc>
        <w:tc>
          <w:tcPr>
            <w:tcW w:w="1530" w:type="dxa"/>
            <w:noWrap/>
          </w:tcPr>
          <w:p w14:paraId="64BD1616" w14:textId="69949324" w:rsidR="00161459" w:rsidRPr="00D67AD5" w:rsidRDefault="00855A92" w:rsidP="00982290">
            <w:pPr>
              <w:rPr>
                <w:rFonts w:asciiTheme="majorHAnsi" w:hAnsiTheme="majorHAnsi"/>
              </w:rPr>
            </w:pPr>
            <w:r>
              <w:rPr>
                <w:rFonts w:asciiTheme="majorHAnsi" w:hAnsiTheme="majorHAnsi"/>
              </w:rPr>
              <w:t>2</w:t>
            </w:r>
          </w:p>
        </w:tc>
        <w:tc>
          <w:tcPr>
            <w:tcW w:w="4320" w:type="dxa"/>
            <w:noWrap/>
          </w:tcPr>
          <w:p w14:paraId="4505379D" w14:textId="19265AFE" w:rsidR="00161459" w:rsidRPr="00D67AD5" w:rsidRDefault="008543DB" w:rsidP="008543DB">
            <w:pPr>
              <w:jc w:val="both"/>
              <w:rPr>
                <w:rFonts w:asciiTheme="majorHAnsi" w:hAnsiTheme="majorHAnsi"/>
              </w:rPr>
            </w:pPr>
            <w:r w:rsidRPr="008543DB">
              <w:rPr>
                <w:rFonts w:asciiTheme="majorHAnsi" w:hAnsiTheme="majorHAnsi"/>
              </w:rPr>
              <w:t xml:space="preserve">This </w:t>
            </w:r>
            <w:r>
              <w:rPr>
                <w:rFonts w:asciiTheme="majorHAnsi" w:hAnsiTheme="majorHAnsi"/>
              </w:rPr>
              <w:t>property</w:t>
            </w:r>
            <w:r w:rsidRPr="008543DB">
              <w:rPr>
                <w:rFonts w:asciiTheme="majorHAnsi" w:hAnsiTheme="majorHAnsi"/>
              </w:rPr>
              <w:t xml:space="preserve"> specifies the latency of the data array for this cache.</w:t>
            </w:r>
          </w:p>
        </w:tc>
      </w:tr>
      <w:tr w:rsidR="00D67AD5" w:rsidRPr="00D67AD5" w14:paraId="3B152921" w14:textId="77777777" w:rsidTr="00917AC9">
        <w:trPr>
          <w:trHeight w:val="288"/>
        </w:trPr>
        <w:tc>
          <w:tcPr>
            <w:tcW w:w="4225" w:type="dxa"/>
            <w:noWrap/>
          </w:tcPr>
          <w:p w14:paraId="44D456CF" w14:textId="08DAB9A0" w:rsidR="00D67AD5" w:rsidRPr="00D67AD5" w:rsidRDefault="00D67AD5" w:rsidP="00982290">
            <w:pPr>
              <w:rPr>
                <w:rFonts w:asciiTheme="majorHAnsi" w:hAnsiTheme="majorHAnsi" w:cs="Calibri"/>
                <w:color w:val="000000"/>
              </w:rPr>
            </w:pPr>
            <w:r>
              <w:rPr>
                <w:rFonts w:asciiTheme="majorHAnsi" w:hAnsiTheme="majorHAnsi" w:cs="Calibri"/>
                <w:color w:val="000000"/>
              </w:rPr>
              <w:t>llc_tag_ram_latency</w:t>
            </w:r>
          </w:p>
        </w:tc>
        <w:tc>
          <w:tcPr>
            <w:tcW w:w="1530" w:type="dxa"/>
            <w:noWrap/>
          </w:tcPr>
          <w:p w14:paraId="21131699" w14:textId="03DDCB9C" w:rsidR="00D67AD5" w:rsidRPr="00D67AD5" w:rsidRDefault="00855A92" w:rsidP="00982290">
            <w:pPr>
              <w:rPr>
                <w:rFonts w:asciiTheme="majorHAnsi" w:hAnsiTheme="majorHAnsi"/>
              </w:rPr>
            </w:pPr>
            <w:r>
              <w:rPr>
                <w:rFonts w:asciiTheme="majorHAnsi" w:hAnsiTheme="majorHAnsi"/>
              </w:rPr>
              <w:t>2</w:t>
            </w:r>
          </w:p>
        </w:tc>
        <w:tc>
          <w:tcPr>
            <w:tcW w:w="4320" w:type="dxa"/>
            <w:noWrap/>
          </w:tcPr>
          <w:p w14:paraId="7456A56C" w14:textId="598E210B" w:rsidR="00D67AD5" w:rsidRPr="00D67AD5" w:rsidRDefault="008543DB" w:rsidP="008543DB">
            <w:pPr>
              <w:jc w:val="both"/>
              <w:rPr>
                <w:rFonts w:asciiTheme="majorHAnsi" w:hAnsiTheme="majorHAnsi"/>
              </w:rPr>
            </w:pPr>
            <w:r>
              <w:rPr>
                <w:rFonts w:asciiTheme="majorHAnsi" w:hAnsiTheme="majorHAnsi"/>
              </w:rPr>
              <w:t>Th</w:t>
            </w:r>
            <w:r w:rsidRPr="008543DB">
              <w:rPr>
                <w:rFonts w:asciiTheme="majorHAnsi" w:hAnsiTheme="majorHAnsi"/>
              </w:rPr>
              <w:t xml:space="preserve">is </w:t>
            </w:r>
            <w:r>
              <w:rPr>
                <w:rFonts w:asciiTheme="majorHAnsi" w:hAnsiTheme="majorHAnsi"/>
              </w:rPr>
              <w:t>property</w:t>
            </w:r>
            <w:r w:rsidRPr="008543DB">
              <w:rPr>
                <w:rFonts w:asciiTheme="majorHAnsi" w:hAnsiTheme="majorHAnsi"/>
              </w:rPr>
              <w:t xml:space="preserve"> specifies the latency of the tag array for this cache.</w:t>
            </w:r>
          </w:p>
        </w:tc>
      </w:tr>
      <w:tr w:rsidR="00D67AD5" w:rsidRPr="00D67AD5" w14:paraId="3C980BE6" w14:textId="77777777" w:rsidTr="00917AC9">
        <w:trPr>
          <w:trHeight w:val="288"/>
        </w:trPr>
        <w:tc>
          <w:tcPr>
            <w:tcW w:w="4225" w:type="dxa"/>
            <w:noWrap/>
          </w:tcPr>
          <w:p w14:paraId="49400E4B" w14:textId="48FF4C15" w:rsidR="00D67AD5" w:rsidRPr="00D67AD5" w:rsidRDefault="00855A92" w:rsidP="00982290">
            <w:pPr>
              <w:rPr>
                <w:rFonts w:asciiTheme="majorHAnsi" w:hAnsiTheme="majorHAnsi" w:cs="Calibri"/>
                <w:color w:val="000000"/>
              </w:rPr>
            </w:pPr>
            <w:proofErr w:type="spellStart"/>
            <w:r>
              <w:rPr>
                <w:rFonts w:asciiTheme="majorHAnsi" w:hAnsiTheme="majorHAnsi" w:cs="Calibri"/>
                <w:color w:val="000000"/>
              </w:rPr>
              <w:t>cc_default_snoop_mode</w:t>
            </w:r>
            <w:proofErr w:type="spellEnd"/>
          </w:p>
        </w:tc>
        <w:tc>
          <w:tcPr>
            <w:tcW w:w="1530" w:type="dxa"/>
            <w:noWrap/>
          </w:tcPr>
          <w:p w14:paraId="397130AF" w14:textId="52C3A72E" w:rsidR="00D67AD5" w:rsidRPr="00D67AD5" w:rsidRDefault="00855A92" w:rsidP="00982290">
            <w:pPr>
              <w:rPr>
                <w:rFonts w:asciiTheme="majorHAnsi" w:hAnsiTheme="majorHAnsi"/>
              </w:rPr>
            </w:pPr>
            <w:r>
              <w:rPr>
                <w:rFonts w:asciiTheme="majorHAnsi" w:hAnsiTheme="majorHAnsi"/>
              </w:rPr>
              <w:t>n/a</w:t>
            </w:r>
          </w:p>
        </w:tc>
        <w:tc>
          <w:tcPr>
            <w:tcW w:w="4320" w:type="dxa"/>
            <w:noWrap/>
          </w:tcPr>
          <w:p w14:paraId="46657075" w14:textId="05AF5E8D" w:rsidR="00D67AD5" w:rsidRPr="00D67AD5" w:rsidRDefault="00456FC9" w:rsidP="00456FC9">
            <w:pPr>
              <w:jc w:val="both"/>
              <w:rPr>
                <w:rFonts w:asciiTheme="majorHAnsi" w:hAnsiTheme="majorHAnsi"/>
              </w:rPr>
            </w:pPr>
            <w:r>
              <w:rPr>
                <w:rFonts w:asciiTheme="majorHAnsi" w:hAnsiTheme="majorHAnsi"/>
              </w:rPr>
              <w:t>This property s</w:t>
            </w:r>
            <w:r w:rsidRPr="00456FC9">
              <w:rPr>
                <w:rFonts w:asciiTheme="majorHAnsi" w:hAnsiTheme="majorHAnsi"/>
              </w:rPr>
              <w:t>ets the masters that</w:t>
            </w:r>
            <w:r>
              <w:rPr>
                <w:rFonts w:asciiTheme="majorHAnsi" w:hAnsiTheme="majorHAnsi"/>
              </w:rPr>
              <w:t xml:space="preserve"> </w:t>
            </w:r>
            <w:r w:rsidRPr="00456FC9">
              <w:rPr>
                <w:rFonts w:asciiTheme="majorHAnsi" w:hAnsiTheme="majorHAnsi"/>
              </w:rPr>
              <w:t>this CCC will snoop by default.</w:t>
            </w:r>
          </w:p>
        </w:tc>
      </w:tr>
      <w:tr w:rsidR="00D67AD5" w:rsidRPr="00D67AD5" w14:paraId="2B7BC33A" w14:textId="77777777" w:rsidTr="00917AC9">
        <w:trPr>
          <w:trHeight w:val="288"/>
        </w:trPr>
        <w:tc>
          <w:tcPr>
            <w:tcW w:w="4225" w:type="dxa"/>
            <w:noWrap/>
          </w:tcPr>
          <w:p w14:paraId="5BDD6F3B" w14:textId="69858812" w:rsidR="00D67AD5" w:rsidRPr="00855A92" w:rsidRDefault="00855A92" w:rsidP="00982290">
            <w:pPr>
              <w:rPr>
                <w:rFonts w:ascii="Palatino Linotype" w:hAnsi="Palatino Linotype" w:cs="Calibri"/>
                <w:color w:val="000000"/>
              </w:rPr>
            </w:pPr>
            <w:proofErr w:type="spellStart"/>
            <w:r>
              <w:rPr>
                <w:rFonts w:ascii="Palatino Linotype" w:hAnsi="Palatino Linotype" w:cs="Calibri"/>
                <w:color w:val="000000"/>
              </w:rPr>
              <w:t>enable_fine_grain_clock_gating</w:t>
            </w:r>
            <w:proofErr w:type="spellEnd"/>
          </w:p>
        </w:tc>
        <w:tc>
          <w:tcPr>
            <w:tcW w:w="1530" w:type="dxa"/>
            <w:noWrap/>
          </w:tcPr>
          <w:p w14:paraId="590101F3" w14:textId="690E9980" w:rsidR="00D67AD5" w:rsidRPr="00D67AD5" w:rsidRDefault="00855A92" w:rsidP="00982290">
            <w:pPr>
              <w:rPr>
                <w:rFonts w:asciiTheme="majorHAnsi" w:hAnsiTheme="majorHAnsi"/>
              </w:rPr>
            </w:pPr>
            <w:r>
              <w:rPr>
                <w:rFonts w:asciiTheme="majorHAnsi" w:hAnsiTheme="majorHAnsi"/>
              </w:rPr>
              <w:t>no</w:t>
            </w:r>
          </w:p>
        </w:tc>
        <w:tc>
          <w:tcPr>
            <w:tcW w:w="4320" w:type="dxa"/>
            <w:noWrap/>
          </w:tcPr>
          <w:p w14:paraId="16B4A71D" w14:textId="0D2F5E56" w:rsidR="00D67AD5" w:rsidRPr="00D67AD5" w:rsidRDefault="00456FC9" w:rsidP="00456FC9">
            <w:pPr>
              <w:jc w:val="both"/>
              <w:rPr>
                <w:rFonts w:asciiTheme="majorHAnsi" w:hAnsiTheme="majorHAnsi"/>
              </w:rPr>
            </w:pPr>
            <w:r w:rsidRPr="00456FC9">
              <w:rPr>
                <w:rFonts w:asciiTheme="majorHAnsi" w:hAnsiTheme="majorHAnsi"/>
              </w:rPr>
              <w:t>The property, when enabled, will increase fine grain clock gate efficiency, but at the cost of additional time taken within the cycle.</w:t>
            </w:r>
          </w:p>
        </w:tc>
      </w:tr>
      <w:tr w:rsidR="00D67AD5" w:rsidRPr="00D67AD5" w14:paraId="611E931A" w14:textId="77777777" w:rsidTr="00917AC9">
        <w:trPr>
          <w:trHeight w:val="288"/>
        </w:trPr>
        <w:tc>
          <w:tcPr>
            <w:tcW w:w="4225" w:type="dxa"/>
            <w:noWrap/>
          </w:tcPr>
          <w:p w14:paraId="0EDDAA28" w14:textId="0A53400C" w:rsidR="00D67AD5" w:rsidRPr="00855A92" w:rsidRDefault="00855A92" w:rsidP="00982290">
            <w:pPr>
              <w:rPr>
                <w:rFonts w:ascii="Palatino Linotype" w:hAnsi="Palatino Linotype" w:cs="Calibri"/>
                <w:color w:val="000000"/>
              </w:rPr>
            </w:pPr>
            <w:proofErr w:type="spellStart"/>
            <w:r>
              <w:rPr>
                <w:rFonts w:ascii="Palatino Linotype" w:hAnsi="Palatino Linotype" w:cs="Calibri"/>
                <w:color w:val="000000"/>
              </w:rPr>
              <w:t>conv_stall_enable</w:t>
            </w:r>
            <w:proofErr w:type="spellEnd"/>
          </w:p>
        </w:tc>
        <w:tc>
          <w:tcPr>
            <w:tcW w:w="1530" w:type="dxa"/>
            <w:noWrap/>
          </w:tcPr>
          <w:p w14:paraId="68D57D25" w14:textId="259F1302" w:rsidR="00D67AD5" w:rsidRPr="00D67AD5" w:rsidRDefault="00855A92" w:rsidP="00982290">
            <w:pPr>
              <w:rPr>
                <w:rFonts w:asciiTheme="majorHAnsi" w:hAnsiTheme="majorHAnsi"/>
              </w:rPr>
            </w:pPr>
            <w:r>
              <w:rPr>
                <w:rFonts w:asciiTheme="majorHAnsi" w:hAnsiTheme="majorHAnsi"/>
              </w:rPr>
              <w:t>no</w:t>
            </w:r>
          </w:p>
        </w:tc>
        <w:tc>
          <w:tcPr>
            <w:tcW w:w="4320" w:type="dxa"/>
            <w:noWrap/>
          </w:tcPr>
          <w:p w14:paraId="612EF29E" w14:textId="4A2876C4" w:rsidR="00D67AD5" w:rsidRPr="00D67AD5" w:rsidRDefault="00456FC9" w:rsidP="00456FC9">
            <w:pPr>
              <w:jc w:val="both"/>
              <w:rPr>
                <w:rFonts w:asciiTheme="majorHAnsi" w:hAnsiTheme="majorHAnsi"/>
              </w:rPr>
            </w:pPr>
            <w:r w:rsidRPr="00456FC9">
              <w:rPr>
                <w:rFonts w:asciiTheme="majorHAnsi" w:hAnsiTheme="majorHAnsi"/>
              </w:rPr>
              <w:t>This property is used to determine whether the converter will use tracker storage to store the command properties for requests being sent from the CMIM.</w:t>
            </w:r>
          </w:p>
        </w:tc>
      </w:tr>
      <w:tr w:rsidR="00D67AD5" w:rsidRPr="00D67AD5" w14:paraId="11EA9777" w14:textId="77777777" w:rsidTr="00917AC9">
        <w:trPr>
          <w:trHeight w:val="288"/>
        </w:trPr>
        <w:tc>
          <w:tcPr>
            <w:tcW w:w="4225" w:type="dxa"/>
            <w:noWrap/>
          </w:tcPr>
          <w:p w14:paraId="49664F86" w14:textId="6493849C" w:rsidR="00D67AD5" w:rsidRPr="00855A92" w:rsidRDefault="00855A92" w:rsidP="00982290">
            <w:pPr>
              <w:rPr>
                <w:rFonts w:ascii="Palatino Linotype" w:hAnsi="Palatino Linotype" w:cs="Calibri"/>
                <w:color w:val="000000"/>
              </w:rPr>
            </w:pPr>
            <w:proofErr w:type="spellStart"/>
            <w:r>
              <w:rPr>
                <w:rFonts w:ascii="Palatino Linotype" w:hAnsi="Palatino Linotype" w:cs="Calibri"/>
                <w:color w:val="000000"/>
              </w:rPr>
              <w:t>conv_tracker_storage_enable</w:t>
            </w:r>
            <w:proofErr w:type="spellEnd"/>
          </w:p>
        </w:tc>
        <w:tc>
          <w:tcPr>
            <w:tcW w:w="1530" w:type="dxa"/>
            <w:noWrap/>
          </w:tcPr>
          <w:p w14:paraId="7505B346" w14:textId="4BBCB534" w:rsidR="00D67AD5" w:rsidRPr="00D67AD5" w:rsidRDefault="00855A92" w:rsidP="00982290">
            <w:pPr>
              <w:rPr>
                <w:rFonts w:asciiTheme="majorHAnsi" w:hAnsiTheme="majorHAnsi"/>
              </w:rPr>
            </w:pPr>
            <w:r>
              <w:rPr>
                <w:rFonts w:asciiTheme="majorHAnsi" w:hAnsiTheme="majorHAnsi"/>
              </w:rPr>
              <w:t>yes</w:t>
            </w:r>
          </w:p>
        </w:tc>
        <w:tc>
          <w:tcPr>
            <w:tcW w:w="4320" w:type="dxa"/>
            <w:noWrap/>
          </w:tcPr>
          <w:p w14:paraId="76BB7E56" w14:textId="5E88C0C5" w:rsidR="00D67AD5" w:rsidRPr="00D67AD5" w:rsidRDefault="00456FC9" w:rsidP="00456FC9">
            <w:pPr>
              <w:jc w:val="both"/>
              <w:rPr>
                <w:rFonts w:asciiTheme="majorHAnsi" w:hAnsiTheme="majorHAnsi"/>
              </w:rPr>
            </w:pPr>
            <w:r w:rsidRPr="00456FC9">
              <w:rPr>
                <w:rFonts w:asciiTheme="majorHAnsi" w:hAnsiTheme="majorHAnsi"/>
              </w:rPr>
              <w:t>This property is used to determine whether the converter will use tracker storage to store the command properties for requests being sent from the CMIM.</w:t>
            </w:r>
          </w:p>
        </w:tc>
      </w:tr>
      <w:tr w:rsidR="00D67AD5" w:rsidRPr="00D67AD5" w14:paraId="79AFC56F" w14:textId="77777777" w:rsidTr="00917AC9">
        <w:trPr>
          <w:trHeight w:val="288"/>
        </w:trPr>
        <w:tc>
          <w:tcPr>
            <w:tcW w:w="4225" w:type="dxa"/>
            <w:noWrap/>
          </w:tcPr>
          <w:p w14:paraId="5D86A0CB" w14:textId="32A44FBB" w:rsidR="00D67AD5" w:rsidRPr="008866E7" w:rsidRDefault="00855A92" w:rsidP="00982290">
            <w:pPr>
              <w:rPr>
                <w:rFonts w:ascii="Palatino Linotype" w:hAnsi="Palatino Linotype" w:cs="Calibri"/>
                <w:color w:val="000000"/>
              </w:rPr>
            </w:pPr>
            <w:proofErr w:type="spellStart"/>
            <w:r w:rsidRPr="008866E7">
              <w:rPr>
                <w:rFonts w:ascii="Palatino Linotype" w:hAnsi="Palatino Linotype" w:cs="Calibri"/>
                <w:color w:val="000000"/>
              </w:rPr>
              <w:t>conv_rsp_fifo_depth</w:t>
            </w:r>
            <w:proofErr w:type="spellEnd"/>
          </w:p>
        </w:tc>
        <w:tc>
          <w:tcPr>
            <w:tcW w:w="1530" w:type="dxa"/>
            <w:noWrap/>
          </w:tcPr>
          <w:p w14:paraId="10D378EB" w14:textId="55D9E7F5" w:rsidR="00D67AD5" w:rsidRPr="008866E7" w:rsidRDefault="00855A92" w:rsidP="00982290">
            <w:pPr>
              <w:rPr>
                <w:rFonts w:asciiTheme="majorHAnsi" w:hAnsiTheme="majorHAnsi"/>
              </w:rPr>
            </w:pPr>
            <w:r w:rsidRPr="008866E7">
              <w:rPr>
                <w:rFonts w:asciiTheme="majorHAnsi" w:hAnsiTheme="majorHAnsi"/>
              </w:rPr>
              <w:t>16</w:t>
            </w:r>
          </w:p>
        </w:tc>
        <w:tc>
          <w:tcPr>
            <w:tcW w:w="4320" w:type="dxa"/>
            <w:noWrap/>
          </w:tcPr>
          <w:p w14:paraId="1BD29BCD" w14:textId="7E957A37" w:rsidR="00D67AD5" w:rsidRPr="008866E7" w:rsidRDefault="00456FC9" w:rsidP="00456FC9">
            <w:pPr>
              <w:jc w:val="both"/>
              <w:rPr>
                <w:rFonts w:asciiTheme="majorHAnsi" w:hAnsiTheme="majorHAnsi"/>
              </w:rPr>
            </w:pPr>
            <w:r w:rsidRPr="008866E7">
              <w:rPr>
                <w:rFonts w:asciiTheme="majorHAnsi" w:hAnsiTheme="majorHAnsi"/>
              </w:rPr>
              <w:t>This property is used to set depth of the response fifo in the IDI2CMI converter block.</w:t>
            </w:r>
          </w:p>
        </w:tc>
      </w:tr>
      <w:tr w:rsidR="00D67AD5" w:rsidRPr="00D67AD5" w14:paraId="06C32BB0" w14:textId="77777777" w:rsidTr="00917AC9">
        <w:trPr>
          <w:trHeight w:val="288"/>
        </w:trPr>
        <w:tc>
          <w:tcPr>
            <w:tcW w:w="4225" w:type="dxa"/>
            <w:noWrap/>
          </w:tcPr>
          <w:p w14:paraId="52F242E0" w14:textId="3137418B" w:rsidR="00D67AD5" w:rsidRPr="00855A92" w:rsidRDefault="00855A92" w:rsidP="00982290">
            <w:pPr>
              <w:rPr>
                <w:rFonts w:ascii="Palatino Linotype" w:hAnsi="Palatino Linotype" w:cs="Calibri"/>
                <w:color w:val="000000"/>
              </w:rPr>
            </w:pPr>
            <w:proofErr w:type="spellStart"/>
            <w:r>
              <w:rPr>
                <w:rFonts w:ascii="Palatino Linotype" w:hAnsi="Palatino Linotype" w:cs="Calibri"/>
                <w:color w:val="000000"/>
              </w:rPr>
              <w:lastRenderedPageBreak/>
              <w:t>conv_parity_enable</w:t>
            </w:r>
            <w:proofErr w:type="spellEnd"/>
          </w:p>
        </w:tc>
        <w:tc>
          <w:tcPr>
            <w:tcW w:w="1530" w:type="dxa"/>
            <w:noWrap/>
          </w:tcPr>
          <w:p w14:paraId="32FC6836" w14:textId="7AC7E143" w:rsidR="00D67AD5" w:rsidRPr="00D67AD5" w:rsidRDefault="00855A92" w:rsidP="00982290">
            <w:pPr>
              <w:rPr>
                <w:rFonts w:asciiTheme="majorHAnsi" w:hAnsiTheme="majorHAnsi"/>
              </w:rPr>
            </w:pPr>
            <w:r>
              <w:rPr>
                <w:rFonts w:asciiTheme="majorHAnsi" w:hAnsiTheme="majorHAnsi"/>
              </w:rPr>
              <w:t>no</w:t>
            </w:r>
          </w:p>
        </w:tc>
        <w:tc>
          <w:tcPr>
            <w:tcW w:w="4320" w:type="dxa"/>
            <w:noWrap/>
          </w:tcPr>
          <w:p w14:paraId="1836BB7B" w14:textId="6DE5A4A3" w:rsidR="00D67AD5" w:rsidRPr="00D67AD5" w:rsidRDefault="00456FC9" w:rsidP="00456FC9">
            <w:pPr>
              <w:tabs>
                <w:tab w:val="left" w:pos="1480"/>
              </w:tabs>
              <w:jc w:val="both"/>
              <w:rPr>
                <w:rFonts w:asciiTheme="majorHAnsi" w:hAnsiTheme="majorHAnsi"/>
              </w:rPr>
            </w:pPr>
            <w:r w:rsidRPr="00456FC9">
              <w:rPr>
                <w:rFonts w:asciiTheme="majorHAnsi" w:hAnsiTheme="majorHAnsi"/>
              </w:rPr>
              <w:t>This property is used to enable enhanced parity on the converters.</w:t>
            </w:r>
          </w:p>
        </w:tc>
      </w:tr>
      <w:tr w:rsidR="00D67AD5" w:rsidRPr="00D67AD5" w14:paraId="37F5EB7A" w14:textId="77777777" w:rsidTr="00917AC9">
        <w:trPr>
          <w:trHeight w:val="288"/>
        </w:trPr>
        <w:tc>
          <w:tcPr>
            <w:tcW w:w="4225" w:type="dxa"/>
            <w:noWrap/>
          </w:tcPr>
          <w:p w14:paraId="2271F3B9" w14:textId="2AB9B3E6" w:rsidR="00D67AD5" w:rsidRPr="00855A92" w:rsidRDefault="00855A92" w:rsidP="00982290">
            <w:pPr>
              <w:rPr>
                <w:rFonts w:ascii="Palatino Linotype" w:hAnsi="Palatino Linotype" w:cs="Calibri"/>
                <w:color w:val="000000"/>
              </w:rPr>
            </w:pPr>
            <w:proofErr w:type="spellStart"/>
            <w:r>
              <w:rPr>
                <w:rFonts w:ascii="Palatino Linotype" w:hAnsi="Palatino Linotype" w:cs="Calibri"/>
                <w:color w:val="000000"/>
              </w:rPr>
              <w:t>conv_enh_parity_enable</w:t>
            </w:r>
            <w:proofErr w:type="spellEnd"/>
          </w:p>
        </w:tc>
        <w:tc>
          <w:tcPr>
            <w:tcW w:w="1530" w:type="dxa"/>
            <w:noWrap/>
          </w:tcPr>
          <w:p w14:paraId="089FCA2A" w14:textId="3608C5A9" w:rsidR="00D67AD5" w:rsidRPr="00D67AD5" w:rsidRDefault="00855A92" w:rsidP="00982290">
            <w:pPr>
              <w:rPr>
                <w:rFonts w:asciiTheme="majorHAnsi" w:hAnsiTheme="majorHAnsi"/>
              </w:rPr>
            </w:pPr>
            <w:r>
              <w:rPr>
                <w:rFonts w:asciiTheme="majorHAnsi" w:hAnsiTheme="majorHAnsi"/>
              </w:rPr>
              <w:t>no</w:t>
            </w:r>
          </w:p>
        </w:tc>
        <w:tc>
          <w:tcPr>
            <w:tcW w:w="4320" w:type="dxa"/>
            <w:noWrap/>
          </w:tcPr>
          <w:p w14:paraId="751B6B72" w14:textId="5554F009" w:rsidR="00D67AD5" w:rsidRPr="00D67AD5" w:rsidRDefault="00456FC9" w:rsidP="00456FC9">
            <w:pPr>
              <w:jc w:val="both"/>
              <w:rPr>
                <w:rFonts w:asciiTheme="majorHAnsi" w:hAnsiTheme="majorHAnsi"/>
              </w:rPr>
            </w:pPr>
            <w:r w:rsidRPr="00456FC9">
              <w:rPr>
                <w:rFonts w:asciiTheme="majorHAnsi" w:hAnsiTheme="majorHAnsi"/>
              </w:rPr>
              <w:t>This property is used to enable enhanced parity on IDI2AXI or IDI2CMI converters.</w:t>
            </w:r>
          </w:p>
        </w:tc>
      </w:tr>
    </w:tbl>
    <w:p w14:paraId="4F127AEA" w14:textId="77777777" w:rsidR="00161459" w:rsidRPr="00D67AD5" w:rsidRDefault="00161459" w:rsidP="007862EC">
      <w:pPr>
        <w:pStyle w:val="Heading2"/>
        <w:rPr>
          <w:color w:val="auto"/>
        </w:rPr>
      </w:pPr>
      <w:bookmarkStart w:id="15" w:name="_Toc461049988"/>
      <w:bookmarkStart w:id="16" w:name="_Toc472974339"/>
      <w:r w:rsidRPr="00D67AD5">
        <w:rPr>
          <w:color w:val="auto"/>
        </w:rPr>
        <w:t>Interface Property Changes</w:t>
      </w:r>
      <w:bookmarkEnd w:id="15"/>
      <w:bookmarkEnd w:id="16"/>
    </w:p>
    <w:tbl>
      <w:tblPr>
        <w:tblStyle w:val="TableGrid"/>
        <w:tblW w:w="10165" w:type="dxa"/>
        <w:tblLook w:val="04A0" w:firstRow="1" w:lastRow="0" w:firstColumn="1" w:lastColumn="0" w:noHBand="0" w:noVBand="1"/>
      </w:tblPr>
      <w:tblGrid>
        <w:gridCol w:w="4225"/>
        <w:gridCol w:w="1530"/>
        <w:gridCol w:w="4410"/>
      </w:tblGrid>
      <w:tr w:rsidR="00161459" w:rsidRPr="009655A7" w14:paraId="495262E6" w14:textId="77777777" w:rsidTr="00917AC9">
        <w:trPr>
          <w:trHeight w:val="300"/>
        </w:trPr>
        <w:tc>
          <w:tcPr>
            <w:tcW w:w="4225" w:type="dxa"/>
            <w:noWrap/>
          </w:tcPr>
          <w:p w14:paraId="13025427" w14:textId="77777777" w:rsidR="00161459" w:rsidRPr="009655A7" w:rsidRDefault="00161459" w:rsidP="00982290">
            <w:pPr>
              <w:rPr>
                <w:b/>
                <w:bCs/>
              </w:rPr>
            </w:pPr>
            <w:r>
              <w:rPr>
                <w:b/>
                <w:bCs/>
              </w:rPr>
              <w:t>Property Name</w:t>
            </w:r>
          </w:p>
        </w:tc>
        <w:tc>
          <w:tcPr>
            <w:tcW w:w="1530" w:type="dxa"/>
            <w:noWrap/>
          </w:tcPr>
          <w:p w14:paraId="5B631A48" w14:textId="77777777" w:rsidR="00161459" w:rsidRPr="009655A7" w:rsidRDefault="00161459" w:rsidP="00982290">
            <w:pPr>
              <w:rPr>
                <w:b/>
                <w:bCs/>
              </w:rPr>
            </w:pPr>
            <w:r w:rsidRPr="009655A7">
              <w:rPr>
                <w:b/>
                <w:bCs/>
              </w:rPr>
              <w:t>Default</w:t>
            </w:r>
            <w:r>
              <w:rPr>
                <w:b/>
                <w:bCs/>
              </w:rPr>
              <w:t xml:space="preserve"> Value</w:t>
            </w:r>
          </w:p>
        </w:tc>
        <w:tc>
          <w:tcPr>
            <w:tcW w:w="4410" w:type="dxa"/>
            <w:noWrap/>
          </w:tcPr>
          <w:p w14:paraId="03F42C41" w14:textId="77777777" w:rsidR="00161459" w:rsidRPr="009655A7" w:rsidRDefault="00161459" w:rsidP="00982290">
            <w:pPr>
              <w:rPr>
                <w:b/>
                <w:bCs/>
              </w:rPr>
            </w:pPr>
            <w:r>
              <w:rPr>
                <w:b/>
                <w:bCs/>
              </w:rPr>
              <w:t>Comment</w:t>
            </w:r>
          </w:p>
        </w:tc>
      </w:tr>
      <w:tr w:rsidR="00161459" w:rsidRPr="009655A7" w14:paraId="77741529" w14:textId="77777777" w:rsidTr="00917AC9">
        <w:trPr>
          <w:trHeight w:val="288"/>
        </w:trPr>
        <w:tc>
          <w:tcPr>
            <w:tcW w:w="4225" w:type="dxa"/>
            <w:noWrap/>
          </w:tcPr>
          <w:p w14:paraId="78A8EE9D" w14:textId="73859852" w:rsidR="00161459" w:rsidRPr="00855A92" w:rsidRDefault="00855A92" w:rsidP="002602D1">
            <w:pPr>
              <w:rPr>
                <w:rFonts w:asciiTheme="majorHAnsi" w:hAnsiTheme="majorHAnsi" w:cs="Calibri"/>
                <w:color w:val="000000"/>
              </w:rPr>
            </w:pPr>
            <w:proofErr w:type="spellStart"/>
            <w:r>
              <w:rPr>
                <w:rFonts w:asciiTheme="majorHAnsi" w:hAnsiTheme="majorHAnsi" w:cs="Calibri"/>
                <w:color w:val="000000"/>
              </w:rPr>
              <w:t>cmi_supports_interleaved_response</w:t>
            </w:r>
            <w:proofErr w:type="spellEnd"/>
          </w:p>
        </w:tc>
        <w:tc>
          <w:tcPr>
            <w:tcW w:w="1530" w:type="dxa"/>
            <w:noWrap/>
          </w:tcPr>
          <w:p w14:paraId="03D6EDCE" w14:textId="7220D5E9" w:rsidR="00161459" w:rsidRPr="00855A92" w:rsidRDefault="00855A92" w:rsidP="002602D1">
            <w:pPr>
              <w:rPr>
                <w:rFonts w:asciiTheme="majorHAnsi" w:hAnsiTheme="majorHAnsi"/>
              </w:rPr>
            </w:pPr>
            <w:r>
              <w:rPr>
                <w:rFonts w:asciiTheme="majorHAnsi" w:hAnsiTheme="majorHAnsi"/>
              </w:rPr>
              <w:t>no</w:t>
            </w:r>
          </w:p>
        </w:tc>
        <w:tc>
          <w:tcPr>
            <w:tcW w:w="4410" w:type="dxa"/>
            <w:noWrap/>
          </w:tcPr>
          <w:p w14:paraId="676DB98C" w14:textId="2E36211A" w:rsidR="00161459" w:rsidRPr="00855A92" w:rsidRDefault="00456FC9" w:rsidP="00456FC9">
            <w:pPr>
              <w:pStyle w:val="Body"/>
              <w:rPr>
                <w:rFonts w:asciiTheme="majorHAnsi" w:hAnsiTheme="majorHAnsi"/>
              </w:rPr>
            </w:pPr>
            <w:r w:rsidRPr="00456FC9">
              <w:rPr>
                <w:rFonts w:asciiTheme="majorHAnsi" w:hAnsiTheme="majorHAnsi"/>
              </w:rPr>
              <w:t>For CMIM bridges, indicates whether the CMI VC can accept interleaved read data completion responses.</w:t>
            </w:r>
          </w:p>
        </w:tc>
      </w:tr>
    </w:tbl>
    <w:p w14:paraId="373B1681" w14:textId="77777777" w:rsidR="00161459" w:rsidRPr="0004677F" w:rsidRDefault="00161459" w:rsidP="007862EC">
      <w:pPr>
        <w:pStyle w:val="Heading2"/>
        <w:rPr>
          <w:rFonts w:ascii="Palatino Linotype" w:hAnsi="Palatino Linotype"/>
          <w:color w:val="auto"/>
        </w:rPr>
      </w:pPr>
      <w:bookmarkStart w:id="17" w:name="_Toc461049989"/>
      <w:bookmarkStart w:id="18" w:name="_Toc472974340"/>
      <w:r w:rsidRPr="0004677F">
        <w:rPr>
          <w:rFonts w:ascii="Palatino Linotype" w:hAnsi="Palatino Linotype"/>
          <w:color w:val="auto"/>
        </w:rPr>
        <w:t>Link Property Changes</w:t>
      </w:r>
      <w:bookmarkEnd w:id="17"/>
      <w:bookmarkEnd w:id="18"/>
    </w:p>
    <w:p w14:paraId="70DB2A74" w14:textId="77777777" w:rsidR="00161459" w:rsidRPr="00B40B5A" w:rsidRDefault="00161459" w:rsidP="009613EA">
      <w:r>
        <w:rPr>
          <w:rFonts w:ascii="Palatino Linotype" w:hAnsi="Palatino Linotype"/>
        </w:rPr>
        <w:fldChar w:fldCharType="begin"/>
      </w:r>
      <w:r>
        <w:rPr>
          <w:rFonts w:ascii="Palatino Linotype" w:hAnsi="Palatino Linotype"/>
        </w:rPr>
        <w:instrText xml:space="preserve"> LINK Excel.Sheet.12 C:\\Users\\skasarab\\Downloads\\PropertyDiffs-1907-release.xlsx Link!R2C1:R3C3 \a \f 5 \h  \* MERGEFORMAT </w:instrText>
      </w:r>
      <w:r>
        <w:rPr>
          <w:rFonts w:ascii="Palatino Linotype" w:hAnsi="Palatino Linotype"/>
        </w:rPr>
        <w:fldChar w:fldCharType="end"/>
      </w:r>
      <w:r>
        <w:rPr>
          <w:rFonts w:ascii="Palatino Linotype" w:hAnsi="Palatino Linotype"/>
        </w:rPr>
        <w:t>None</w:t>
      </w:r>
    </w:p>
    <w:p w14:paraId="22F88AF2" w14:textId="77777777" w:rsidR="00161459" w:rsidRDefault="00161459" w:rsidP="007862EC">
      <w:pPr>
        <w:pStyle w:val="Heading2"/>
        <w:rPr>
          <w:rFonts w:ascii="Palatino Linotype" w:hAnsi="Palatino Linotype"/>
          <w:color w:val="auto"/>
        </w:rPr>
      </w:pPr>
      <w:bookmarkStart w:id="19" w:name="_Toc461049990"/>
      <w:bookmarkStart w:id="20" w:name="_Toc472974341"/>
      <w:r w:rsidRPr="0004677F">
        <w:rPr>
          <w:rFonts w:ascii="Palatino Linotype" w:hAnsi="Palatino Linotype"/>
          <w:color w:val="auto"/>
        </w:rPr>
        <w:t>Router Property Changes</w:t>
      </w:r>
      <w:bookmarkEnd w:id="19"/>
      <w:bookmarkEnd w:id="20"/>
    </w:p>
    <w:p w14:paraId="33F7217C" w14:textId="77777777" w:rsidR="00161459" w:rsidRPr="00827B41" w:rsidRDefault="00161459" w:rsidP="00827B41">
      <w:r>
        <w:t>None</w:t>
      </w:r>
    </w:p>
    <w:p w14:paraId="2ACC5509" w14:textId="77777777" w:rsidR="00161459" w:rsidRPr="0004677F" w:rsidRDefault="00161459" w:rsidP="007862EC">
      <w:pPr>
        <w:pStyle w:val="Heading2"/>
        <w:rPr>
          <w:rFonts w:ascii="Palatino Linotype" w:hAnsi="Palatino Linotype"/>
          <w:color w:val="auto"/>
        </w:rPr>
      </w:pPr>
      <w:bookmarkStart w:id="21" w:name="_Toc461049991"/>
      <w:bookmarkStart w:id="22" w:name="_Toc472974342"/>
      <w:r w:rsidRPr="0004677F">
        <w:rPr>
          <w:rFonts w:ascii="Palatino Linotype" w:hAnsi="Palatino Linotype"/>
          <w:color w:val="auto"/>
        </w:rPr>
        <w:t>VC Property Changes</w:t>
      </w:r>
      <w:bookmarkEnd w:id="21"/>
      <w:bookmarkEnd w:id="22"/>
    </w:p>
    <w:bookmarkEnd w:id="2"/>
    <w:p w14:paraId="7BE6FC94" w14:textId="7185942D" w:rsidR="00161459" w:rsidRDefault="00052EED">
      <w:pPr>
        <w:rPr>
          <w:rFonts w:ascii="Palatino Linotype" w:hAnsi="Palatino Linotype"/>
        </w:rPr>
      </w:pPr>
      <w:r>
        <w:rPr>
          <w:rFonts w:ascii="Palatino Linotype" w:hAnsi="Palatino Linotype"/>
        </w:rPr>
        <w:t>None</w:t>
      </w:r>
    </w:p>
    <w:p w14:paraId="6774B073" w14:textId="77777777" w:rsidR="00161459" w:rsidRDefault="00161459" w:rsidP="001C1AFC">
      <w:pPr>
        <w:pStyle w:val="Heading2"/>
      </w:pPr>
      <w:r>
        <w:t>CSB Storage Property Changes</w:t>
      </w:r>
    </w:p>
    <w:p w14:paraId="02A22132" w14:textId="77777777" w:rsidR="00161459" w:rsidRDefault="00161459" w:rsidP="001C1AFC">
      <w:r>
        <w:t>None</w:t>
      </w:r>
    </w:p>
    <w:p w14:paraId="27D93411" w14:textId="77777777" w:rsidR="00161459" w:rsidRDefault="00161459" w:rsidP="007D73E8">
      <w:pPr>
        <w:sectPr w:rsidR="00161459"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pPr>
    </w:p>
    <w:bookmarkEnd w:id="3"/>
    <w:p w14:paraId="62EDD069" w14:textId="77777777" w:rsidR="007D73E8" w:rsidRPr="007D73E8" w:rsidRDefault="007D73E8" w:rsidP="007D73E8"/>
    <w:sectPr w:rsidR="007D73E8" w:rsidRPr="007D73E8"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81B9" w14:textId="77777777" w:rsidR="00FB3D9C" w:rsidRDefault="00FB3D9C">
      <w:r>
        <w:separator/>
      </w:r>
    </w:p>
    <w:p w14:paraId="50858CBE" w14:textId="77777777" w:rsidR="00FB3D9C" w:rsidRDefault="00FB3D9C"/>
  </w:endnote>
  <w:endnote w:type="continuationSeparator" w:id="0">
    <w:p w14:paraId="62A48E29" w14:textId="77777777" w:rsidR="00FB3D9C" w:rsidRDefault="00FB3D9C">
      <w:r>
        <w:continuationSeparator/>
      </w:r>
    </w:p>
    <w:p w14:paraId="5DEE9D46" w14:textId="77777777" w:rsidR="00FB3D9C" w:rsidRDefault="00FB3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89970" w14:textId="77777777" w:rsidR="00D67AD5" w:rsidRPr="003D7433" w:rsidRDefault="00D67AD5" w:rsidP="003D7433">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6432" behindDoc="0" locked="0" layoutInCell="1" allowOverlap="1" wp14:anchorId="2E5E667A" wp14:editId="768E3121">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87B1F"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5D501663" w:rsidR="00D67AD5" w:rsidRPr="003D7433" w:rsidRDefault="00D67AD5" w:rsidP="003D7433">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2336" behindDoc="0" locked="0" layoutInCell="1" allowOverlap="1" wp14:anchorId="48BC57C6" wp14:editId="7C8033CC">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6A27F" id="Line 1100"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D54D2" w14:textId="77777777" w:rsidR="00FB3D9C" w:rsidRDefault="00FB3D9C">
      <w:r>
        <w:separator/>
      </w:r>
    </w:p>
    <w:p w14:paraId="1D8BDB9A" w14:textId="77777777" w:rsidR="00FB3D9C" w:rsidRDefault="00FB3D9C"/>
  </w:footnote>
  <w:footnote w:type="continuationSeparator" w:id="0">
    <w:p w14:paraId="1F693BCE" w14:textId="77777777" w:rsidR="00FB3D9C" w:rsidRDefault="00FB3D9C">
      <w:r>
        <w:continuationSeparator/>
      </w:r>
    </w:p>
    <w:p w14:paraId="2328110C" w14:textId="77777777" w:rsidR="00FB3D9C" w:rsidRDefault="00FB3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31BD" w14:textId="77777777" w:rsidR="00D67AD5" w:rsidRPr="003D7433" w:rsidRDefault="00D67AD5"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4384" behindDoc="0" locked="0" layoutInCell="1" allowOverlap="1" wp14:anchorId="5B2DCC7C" wp14:editId="070AA723">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3BC75" id="Line 1101" o:spid="_x0000_s1026" style="position:absolute;z-index:2516643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5408" behindDoc="1" locked="0" layoutInCell="1" allowOverlap="1" wp14:anchorId="3EBAA762" wp14:editId="19B420E3">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6C468" w14:textId="77777777" w:rsidR="00D67AD5" w:rsidRDefault="00D67AD5">
    <w:pPr>
      <w:pStyle w:val="Header"/>
    </w:pPr>
  </w:p>
  <w:p w14:paraId="5549BD05" w14:textId="77777777" w:rsidR="00D67AD5" w:rsidRDefault="00D67AD5">
    <w:pPr>
      <w:pStyle w:val="Header"/>
    </w:pPr>
  </w:p>
  <w:p w14:paraId="08E55099" w14:textId="77777777" w:rsidR="00D67AD5" w:rsidRDefault="00D67AD5">
    <w:pPr>
      <w:pStyle w:val="Header"/>
    </w:pPr>
  </w:p>
  <w:p w14:paraId="6051A0A6" w14:textId="77777777" w:rsidR="00D67AD5" w:rsidRDefault="00D67AD5">
    <w:pPr>
      <w:pStyle w:val="Header"/>
    </w:pPr>
  </w:p>
  <w:p w14:paraId="368CDA72" w14:textId="77777777" w:rsidR="00D67AD5" w:rsidRDefault="00D67A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27E4E397" w:rsidR="00D67AD5" w:rsidRPr="003D7433" w:rsidRDefault="00D67AD5"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59264" behindDoc="0" locked="0" layoutInCell="1" allowOverlap="1" wp14:anchorId="0D21B742" wp14:editId="61800AF5">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8EF5C" id="Line 1101"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0288" behindDoc="1" locked="0" layoutInCell="1" allowOverlap="1" wp14:anchorId="08314AC0" wp14:editId="660D50E2">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D67AD5" w:rsidRDefault="00D67AD5">
    <w:pPr>
      <w:pStyle w:val="Header"/>
    </w:pPr>
  </w:p>
  <w:p w14:paraId="376C616C" w14:textId="77777777" w:rsidR="00D67AD5" w:rsidRDefault="00D67AD5">
    <w:pPr>
      <w:pStyle w:val="Header"/>
    </w:pPr>
  </w:p>
  <w:p w14:paraId="53E24699" w14:textId="77777777" w:rsidR="00D67AD5" w:rsidRDefault="00D67AD5">
    <w:pPr>
      <w:pStyle w:val="Header"/>
    </w:pPr>
  </w:p>
  <w:p w14:paraId="2ABB37AC" w14:textId="77777777" w:rsidR="00D67AD5" w:rsidRDefault="00D67AD5">
    <w:pPr>
      <w:pStyle w:val="Header"/>
    </w:pPr>
  </w:p>
  <w:p w14:paraId="6B537E06" w14:textId="77777777" w:rsidR="00D67AD5" w:rsidRDefault="00D67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7"/>
  </w:num>
  <w:num w:numId="4">
    <w:abstractNumId w:val="1"/>
  </w:num>
  <w:num w:numId="5">
    <w:abstractNumId w:val="24"/>
  </w:num>
  <w:num w:numId="6">
    <w:abstractNumId w:val="26"/>
  </w:num>
  <w:num w:numId="7">
    <w:abstractNumId w:val="28"/>
  </w:num>
  <w:num w:numId="8">
    <w:abstractNumId w:val="31"/>
  </w:num>
  <w:num w:numId="9">
    <w:abstractNumId w:val="35"/>
  </w:num>
  <w:num w:numId="10">
    <w:abstractNumId w:val="17"/>
  </w:num>
  <w:num w:numId="11">
    <w:abstractNumId w:val="3"/>
  </w:num>
  <w:num w:numId="12">
    <w:abstractNumId w:val="29"/>
  </w:num>
  <w:num w:numId="13">
    <w:abstractNumId w:val="33"/>
  </w:num>
  <w:num w:numId="14">
    <w:abstractNumId w:val="21"/>
  </w:num>
  <w:num w:numId="15">
    <w:abstractNumId w:val="8"/>
  </w:num>
  <w:num w:numId="16">
    <w:abstractNumId w:val="5"/>
  </w:num>
  <w:num w:numId="17">
    <w:abstractNumId w:val="13"/>
  </w:num>
  <w:num w:numId="18">
    <w:abstractNumId w:val="10"/>
  </w:num>
  <w:num w:numId="19">
    <w:abstractNumId w:val="16"/>
  </w:num>
  <w:num w:numId="20">
    <w:abstractNumId w:val="7"/>
  </w:num>
  <w:num w:numId="21">
    <w:abstractNumId w:val="11"/>
  </w:num>
  <w:num w:numId="22">
    <w:abstractNumId w:val="12"/>
  </w:num>
  <w:num w:numId="23">
    <w:abstractNumId w:val="32"/>
  </w:num>
  <w:num w:numId="24">
    <w:abstractNumId w:val="15"/>
  </w:num>
  <w:num w:numId="25">
    <w:abstractNumId w:val="9"/>
  </w:num>
  <w:num w:numId="26">
    <w:abstractNumId w:val="30"/>
  </w:num>
  <w:num w:numId="27">
    <w:abstractNumId w:val="2"/>
  </w:num>
  <w:num w:numId="28">
    <w:abstractNumId w:val="4"/>
  </w:num>
  <w:num w:numId="29">
    <w:abstractNumId w:val="20"/>
  </w:num>
  <w:num w:numId="30">
    <w:abstractNumId w:val="25"/>
  </w:num>
  <w:num w:numId="31">
    <w:abstractNumId w:val="23"/>
  </w:num>
  <w:num w:numId="32">
    <w:abstractNumId w:val="14"/>
  </w:num>
  <w:num w:numId="33">
    <w:abstractNumId w:val="8"/>
  </w:num>
  <w:num w:numId="34">
    <w:abstractNumId w:val="8"/>
  </w:num>
  <w:num w:numId="35">
    <w:abstractNumId w:val="8"/>
  </w:num>
  <w:num w:numId="36">
    <w:abstractNumId w:val="8"/>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EED"/>
    <w:rsid w:val="00052F04"/>
    <w:rsid w:val="0005310C"/>
    <w:rsid w:val="0005329D"/>
    <w:rsid w:val="00053840"/>
    <w:rsid w:val="00053C35"/>
    <w:rsid w:val="000541BA"/>
    <w:rsid w:val="0005464C"/>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B17"/>
    <w:rsid w:val="00062EBD"/>
    <w:rsid w:val="00063457"/>
    <w:rsid w:val="00063561"/>
    <w:rsid w:val="00063685"/>
    <w:rsid w:val="00063832"/>
    <w:rsid w:val="00064663"/>
    <w:rsid w:val="000646CF"/>
    <w:rsid w:val="000648C2"/>
    <w:rsid w:val="00064D37"/>
    <w:rsid w:val="00064DE7"/>
    <w:rsid w:val="00064FA1"/>
    <w:rsid w:val="00065261"/>
    <w:rsid w:val="000653CE"/>
    <w:rsid w:val="00065C2A"/>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4D1B"/>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AC6"/>
    <w:rsid w:val="000A6E0D"/>
    <w:rsid w:val="000A71BD"/>
    <w:rsid w:val="000A71DD"/>
    <w:rsid w:val="000A741C"/>
    <w:rsid w:val="000A74DB"/>
    <w:rsid w:val="000A7B12"/>
    <w:rsid w:val="000A7B1E"/>
    <w:rsid w:val="000A7E18"/>
    <w:rsid w:val="000B0097"/>
    <w:rsid w:val="000B0722"/>
    <w:rsid w:val="000B14DB"/>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0B3C"/>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5FD2"/>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7E7"/>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C8C"/>
    <w:rsid w:val="00143EB4"/>
    <w:rsid w:val="00144CA9"/>
    <w:rsid w:val="00144F9D"/>
    <w:rsid w:val="001453BE"/>
    <w:rsid w:val="0014552E"/>
    <w:rsid w:val="00145724"/>
    <w:rsid w:val="001463C6"/>
    <w:rsid w:val="001467B5"/>
    <w:rsid w:val="00146870"/>
    <w:rsid w:val="001468AC"/>
    <w:rsid w:val="00146AD5"/>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459"/>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67FE9"/>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448"/>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57B"/>
    <w:rsid w:val="001B3662"/>
    <w:rsid w:val="001B3E9C"/>
    <w:rsid w:val="001B3FC4"/>
    <w:rsid w:val="001B40A8"/>
    <w:rsid w:val="001B43D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AFC"/>
    <w:rsid w:val="001C1DC5"/>
    <w:rsid w:val="001C2088"/>
    <w:rsid w:val="001C21A9"/>
    <w:rsid w:val="001C2880"/>
    <w:rsid w:val="001C28F3"/>
    <w:rsid w:val="001C2AFE"/>
    <w:rsid w:val="001C2DAB"/>
    <w:rsid w:val="001C305F"/>
    <w:rsid w:val="001C3106"/>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A9"/>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4F6C"/>
    <w:rsid w:val="001E5285"/>
    <w:rsid w:val="001E5393"/>
    <w:rsid w:val="001E55AA"/>
    <w:rsid w:val="001E5A5F"/>
    <w:rsid w:val="001E6737"/>
    <w:rsid w:val="001E6DB6"/>
    <w:rsid w:val="001E73B9"/>
    <w:rsid w:val="001E76AB"/>
    <w:rsid w:val="001E776E"/>
    <w:rsid w:val="001E794A"/>
    <w:rsid w:val="001E7AA8"/>
    <w:rsid w:val="001E7CDB"/>
    <w:rsid w:val="001E7EAF"/>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575"/>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5FA3"/>
    <w:rsid w:val="00236684"/>
    <w:rsid w:val="002367C9"/>
    <w:rsid w:val="00236936"/>
    <w:rsid w:val="00236B91"/>
    <w:rsid w:val="002370DD"/>
    <w:rsid w:val="00237230"/>
    <w:rsid w:val="00237655"/>
    <w:rsid w:val="002376F9"/>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CE8"/>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2D1"/>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0C5"/>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D54"/>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0ED"/>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9CD"/>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C6"/>
    <w:rsid w:val="002C577A"/>
    <w:rsid w:val="002C581E"/>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37F"/>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9AA"/>
    <w:rsid w:val="002D6A42"/>
    <w:rsid w:val="002D6EEC"/>
    <w:rsid w:val="002D7707"/>
    <w:rsid w:val="002D792E"/>
    <w:rsid w:val="002D7F53"/>
    <w:rsid w:val="002E00B9"/>
    <w:rsid w:val="002E0105"/>
    <w:rsid w:val="002E053B"/>
    <w:rsid w:val="002E0A54"/>
    <w:rsid w:val="002E0E3C"/>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0D"/>
    <w:rsid w:val="003007DA"/>
    <w:rsid w:val="003008E5"/>
    <w:rsid w:val="00300DF6"/>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0B"/>
    <w:rsid w:val="00377787"/>
    <w:rsid w:val="003779A8"/>
    <w:rsid w:val="00377CF0"/>
    <w:rsid w:val="00377D63"/>
    <w:rsid w:val="00377DA5"/>
    <w:rsid w:val="00377F51"/>
    <w:rsid w:val="003801E9"/>
    <w:rsid w:val="003804CA"/>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A7C3F"/>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27D"/>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433"/>
    <w:rsid w:val="003D7800"/>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3D6"/>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959"/>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4DCD"/>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6FC9"/>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1E48"/>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42E"/>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6A6"/>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E8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003"/>
    <w:rsid w:val="004B732E"/>
    <w:rsid w:val="004B77C1"/>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11E"/>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5D10"/>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34DD"/>
    <w:rsid w:val="004F4235"/>
    <w:rsid w:val="004F42B6"/>
    <w:rsid w:val="004F433B"/>
    <w:rsid w:val="004F4349"/>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33E"/>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4F6"/>
    <w:rsid w:val="0057188D"/>
    <w:rsid w:val="00572887"/>
    <w:rsid w:val="005731D9"/>
    <w:rsid w:val="00573264"/>
    <w:rsid w:val="00573512"/>
    <w:rsid w:val="00573638"/>
    <w:rsid w:val="00573652"/>
    <w:rsid w:val="00573869"/>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E44"/>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289"/>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5BA"/>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7AB"/>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A01"/>
    <w:rsid w:val="00604F22"/>
    <w:rsid w:val="00604FEC"/>
    <w:rsid w:val="00605027"/>
    <w:rsid w:val="00605194"/>
    <w:rsid w:val="00605CC9"/>
    <w:rsid w:val="006060CF"/>
    <w:rsid w:val="006061CB"/>
    <w:rsid w:val="00606299"/>
    <w:rsid w:val="00606C6E"/>
    <w:rsid w:val="00606E83"/>
    <w:rsid w:val="006071B9"/>
    <w:rsid w:val="00607525"/>
    <w:rsid w:val="0060768F"/>
    <w:rsid w:val="006076A0"/>
    <w:rsid w:val="00607D54"/>
    <w:rsid w:val="00610B6E"/>
    <w:rsid w:val="00611A01"/>
    <w:rsid w:val="00611A41"/>
    <w:rsid w:val="00611CEB"/>
    <w:rsid w:val="00612696"/>
    <w:rsid w:val="00612B03"/>
    <w:rsid w:val="00612D5B"/>
    <w:rsid w:val="00612EEB"/>
    <w:rsid w:val="00613118"/>
    <w:rsid w:val="0061419D"/>
    <w:rsid w:val="00614342"/>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17B2F"/>
    <w:rsid w:val="00620186"/>
    <w:rsid w:val="0062058E"/>
    <w:rsid w:val="00620887"/>
    <w:rsid w:val="0062094B"/>
    <w:rsid w:val="00620BF3"/>
    <w:rsid w:val="00620C1B"/>
    <w:rsid w:val="00620CD9"/>
    <w:rsid w:val="00620DA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275"/>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706"/>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77761"/>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664"/>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C76"/>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4D8"/>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0AC"/>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6CB6"/>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CAC"/>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0"/>
    <w:rsid w:val="00782F3F"/>
    <w:rsid w:val="00783521"/>
    <w:rsid w:val="00783593"/>
    <w:rsid w:val="00783E4E"/>
    <w:rsid w:val="00783F02"/>
    <w:rsid w:val="00783FB7"/>
    <w:rsid w:val="00784244"/>
    <w:rsid w:val="007845D7"/>
    <w:rsid w:val="00784A6A"/>
    <w:rsid w:val="00785116"/>
    <w:rsid w:val="00785249"/>
    <w:rsid w:val="00785412"/>
    <w:rsid w:val="00785B64"/>
    <w:rsid w:val="00785F3F"/>
    <w:rsid w:val="007860B0"/>
    <w:rsid w:val="00786214"/>
    <w:rsid w:val="007862EC"/>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97C7C"/>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2AC"/>
    <w:rsid w:val="007B3847"/>
    <w:rsid w:val="007B4CA5"/>
    <w:rsid w:val="007B4D81"/>
    <w:rsid w:val="007B4EE7"/>
    <w:rsid w:val="007B53A8"/>
    <w:rsid w:val="007B5543"/>
    <w:rsid w:val="007B5BDD"/>
    <w:rsid w:val="007B615C"/>
    <w:rsid w:val="007B6408"/>
    <w:rsid w:val="007B76B6"/>
    <w:rsid w:val="007B7C8C"/>
    <w:rsid w:val="007B7EAD"/>
    <w:rsid w:val="007C01C8"/>
    <w:rsid w:val="007C05C1"/>
    <w:rsid w:val="007C0610"/>
    <w:rsid w:val="007C0647"/>
    <w:rsid w:val="007C09DB"/>
    <w:rsid w:val="007C0ACE"/>
    <w:rsid w:val="007C0E1C"/>
    <w:rsid w:val="007C0F59"/>
    <w:rsid w:val="007C1278"/>
    <w:rsid w:val="007C1D81"/>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56C7"/>
    <w:rsid w:val="007D6194"/>
    <w:rsid w:val="007D6780"/>
    <w:rsid w:val="007D69C1"/>
    <w:rsid w:val="007D6FD2"/>
    <w:rsid w:val="007D73E8"/>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A4"/>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0AF8"/>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B41"/>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AE8"/>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1C1"/>
    <w:rsid w:val="008473CD"/>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3C4"/>
    <w:rsid w:val="008543DB"/>
    <w:rsid w:val="0085465D"/>
    <w:rsid w:val="00854DC3"/>
    <w:rsid w:val="008552E7"/>
    <w:rsid w:val="00855A92"/>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1AB"/>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6E7"/>
    <w:rsid w:val="008867A2"/>
    <w:rsid w:val="0088760C"/>
    <w:rsid w:val="00887623"/>
    <w:rsid w:val="008878D2"/>
    <w:rsid w:val="00887A9F"/>
    <w:rsid w:val="0089010E"/>
    <w:rsid w:val="008902CB"/>
    <w:rsid w:val="0089095B"/>
    <w:rsid w:val="0089096F"/>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6B21"/>
    <w:rsid w:val="008B74A9"/>
    <w:rsid w:val="008B78A5"/>
    <w:rsid w:val="008B79DD"/>
    <w:rsid w:val="008B7B1E"/>
    <w:rsid w:val="008C0464"/>
    <w:rsid w:val="008C06C4"/>
    <w:rsid w:val="008C0F14"/>
    <w:rsid w:val="008C1114"/>
    <w:rsid w:val="008C1122"/>
    <w:rsid w:val="008C1322"/>
    <w:rsid w:val="008C173F"/>
    <w:rsid w:val="008C1A13"/>
    <w:rsid w:val="008C1A8E"/>
    <w:rsid w:val="008C1C41"/>
    <w:rsid w:val="008C22F4"/>
    <w:rsid w:val="008C2807"/>
    <w:rsid w:val="008C293A"/>
    <w:rsid w:val="008C2A76"/>
    <w:rsid w:val="008C2EC8"/>
    <w:rsid w:val="008C300A"/>
    <w:rsid w:val="008C36F6"/>
    <w:rsid w:val="008C3FA2"/>
    <w:rsid w:val="008C410A"/>
    <w:rsid w:val="008C422C"/>
    <w:rsid w:val="008C4283"/>
    <w:rsid w:val="008C4285"/>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2CF"/>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3B"/>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577"/>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17AC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94E"/>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4E97"/>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A7"/>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90"/>
    <w:rsid w:val="009822F2"/>
    <w:rsid w:val="00982884"/>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6CCB"/>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891"/>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E1D"/>
    <w:rsid w:val="009D7F9B"/>
    <w:rsid w:val="009D7FAB"/>
    <w:rsid w:val="009E045F"/>
    <w:rsid w:val="009E0796"/>
    <w:rsid w:val="009E07A8"/>
    <w:rsid w:val="009E08C1"/>
    <w:rsid w:val="009E0D04"/>
    <w:rsid w:val="009E0D07"/>
    <w:rsid w:val="009E0D38"/>
    <w:rsid w:val="009E0FAC"/>
    <w:rsid w:val="009E1009"/>
    <w:rsid w:val="009E176D"/>
    <w:rsid w:val="009E18C7"/>
    <w:rsid w:val="009E196E"/>
    <w:rsid w:val="009E19BC"/>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4FE"/>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7E0"/>
    <w:rsid w:val="00A57C61"/>
    <w:rsid w:val="00A60008"/>
    <w:rsid w:val="00A60730"/>
    <w:rsid w:val="00A60757"/>
    <w:rsid w:val="00A6083E"/>
    <w:rsid w:val="00A60E06"/>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9B9"/>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0A7"/>
    <w:rsid w:val="00AA21A3"/>
    <w:rsid w:val="00AA2336"/>
    <w:rsid w:val="00AA23BE"/>
    <w:rsid w:val="00AA2407"/>
    <w:rsid w:val="00AA27C5"/>
    <w:rsid w:val="00AA2B46"/>
    <w:rsid w:val="00AA2F9C"/>
    <w:rsid w:val="00AA33B6"/>
    <w:rsid w:val="00AA3457"/>
    <w:rsid w:val="00AA3E29"/>
    <w:rsid w:val="00AA3EF7"/>
    <w:rsid w:val="00AA405A"/>
    <w:rsid w:val="00AA41D3"/>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290"/>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E41"/>
    <w:rsid w:val="00AC6F0F"/>
    <w:rsid w:val="00AC7025"/>
    <w:rsid w:val="00AC733B"/>
    <w:rsid w:val="00AC7CC2"/>
    <w:rsid w:val="00AD0217"/>
    <w:rsid w:val="00AD03DD"/>
    <w:rsid w:val="00AD071E"/>
    <w:rsid w:val="00AD0C2B"/>
    <w:rsid w:val="00AD0D18"/>
    <w:rsid w:val="00AD0F9F"/>
    <w:rsid w:val="00AD1161"/>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6"/>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2E0"/>
    <w:rsid w:val="00B02BAE"/>
    <w:rsid w:val="00B02D91"/>
    <w:rsid w:val="00B02DDF"/>
    <w:rsid w:val="00B03134"/>
    <w:rsid w:val="00B03D9B"/>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E11"/>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B5A"/>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640"/>
    <w:rsid w:val="00B72709"/>
    <w:rsid w:val="00B730B9"/>
    <w:rsid w:val="00B734E0"/>
    <w:rsid w:val="00B73686"/>
    <w:rsid w:val="00B73C0D"/>
    <w:rsid w:val="00B73ED2"/>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5E9C"/>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B29"/>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1EB7"/>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4C9"/>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6F49"/>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95B"/>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6B4C"/>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B3A"/>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4E"/>
    <w:rsid w:val="00D152CB"/>
    <w:rsid w:val="00D15534"/>
    <w:rsid w:val="00D15579"/>
    <w:rsid w:val="00D156C6"/>
    <w:rsid w:val="00D159EC"/>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36"/>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392"/>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4CD6"/>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55A"/>
    <w:rsid w:val="00D5488C"/>
    <w:rsid w:val="00D54CDE"/>
    <w:rsid w:val="00D54D19"/>
    <w:rsid w:val="00D5514A"/>
    <w:rsid w:val="00D553AB"/>
    <w:rsid w:val="00D5559E"/>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AD5"/>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701"/>
    <w:rsid w:val="00D7680E"/>
    <w:rsid w:val="00D76DF9"/>
    <w:rsid w:val="00D77051"/>
    <w:rsid w:val="00D77117"/>
    <w:rsid w:val="00D7734A"/>
    <w:rsid w:val="00D77617"/>
    <w:rsid w:val="00D778D6"/>
    <w:rsid w:val="00D77AF6"/>
    <w:rsid w:val="00D77DAD"/>
    <w:rsid w:val="00D80026"/>
    <w:rsid w:val="00D8003C"/>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1D5E"/>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921"/>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37D7A"/>
    <w:rsid w:val="00E4002B"/>
    <w:rsid w:val="00E4011D"/>
    <w:rsid w:val="00E40766"/>
    <w:rsid w:val="00E40B9E"/>
    <w:rsid w:val="00E40D99"/>
    <w:rsid w:val="00E412C7"/>
    <w:rsid w:val="00E4151B"/>
    <w:rsid w:val="00E418D3"/>
    <w:rsid w:val="00E41ABE"/>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3E6"/>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42A"/>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3DC9"/>
    <w:rsid w:val="00EF403D"/>
    <w:rsid w:val="00EF5161"/>
    <w:rsid w:val="00EF5636"/>
    <w:rsid w:val="00EF56FE"/>
    <w:rsid w:val="00EF576C"/>
    <w:rsid w:val="00EF5868"/>
    <w:rsid w:val="00EF5A81"/>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B02"/>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312"/>
    <w:rsid w:val="00F13744"/>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0BDC"/>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514"/>
    <w:rsid w:val="00F66D0F"/>
    <w:rsid w:val="00F66E64"/>
    <w:rsid w:val="00F66E98"/>
    <w:rsid w:val="00F672C1"/>
    <w:rsid w:val="00F67548"/>
    <w:rsid w:val="00F6765C"/>
    <w:rsid w:val="00F67723"/>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2E0"/>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D9C"/>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9AC"/>
    <w:rsid w:val="00FD4E79"/>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Body9">
    <w:name w:val="Body9"/>
    <w:qFormat/>
    <w:rsid w:val="00DC1D5E"/>
    <w:pPr>
      <w:tabs>
        <w:tab w:val="left" w:pos="2700"/>
      </w:tabs>
      <w:jc w:val="both"/>
    </w:pPr>
    <w:rPr>
      <w:szCs w:val="24"/>
    </w:rPr>
  </w:style>
  <w:style w:type="paragraph" w:customStyle="1" w:styleId="FooterCentered24">
    <w:name w:val="FooterCentered24"/>
    <w:basedOn w:val="Footer"/>
    <w:rsid w:val="00DC1D5E"/>
    <w:pPr>
      <w:jc w:val="center"/>
    </w:pPr>
  </w:style>
  <w:style w:type="paragraph" w:customStyle="1" w:styleId="Exar24">
    <w:name w:val="Exar24"/>
    <w:basedOn w:val="Footer"/>
    <w:rsid w:val="00DC1D5E"/>
    <w:pPr>
      <w:tabs>
        <w:tab w:val="clear" w:pos="9360"/>
        <w:tab w:val="left" w:pos="720"/>
        <w:tab w:val="right" w:pos="8640"/>
      </w:tabs>
    </w:pPr>
    <w:rPr>
      <w:b/>
      <w:color w:val="2F4D87"/>
    </w:rPr>
  </w:style>
  <w:style w:type="paragraph" w:customStyle="1" w:styleId="FooterCentered29">
    <w:name w:val="FooterCentered29"/>
    <w:basedOn w:val="Footer"/>
    <w:rsid w:val="00C9595B"/>
    <w:pPr>
      <w:jc w:val="center"/>
    </w:pPr>
  </w:style>
  <w:style w:type="paragraph" w:customStyle="1" w:styleId="Exar29">
    <w:name w:val="Exar29"/>
    <w:basedOn w:val="Footer"/>
    <w:rsid w:val="00C9595B"/>
    <w:pPr>
      <w:tabs>
        <w:tab w:val="clear" w:pos="9360"/>
        <w:tab w:val="left" w:pos="720"/>
        <w:tab w:val="right" w:pos="8640"/>
      </w:tabs>
    </w:pPr>
    <w:rPr>
      <w:b/>
      <w:color w:val="2F4D87"/>
    </w:rPr>
  </w:style>
  <w:style w:type="paragraph" w:customStyle="1" w:styleId="GuideFooter">
    <w:name w:val="Guide Footer"/>
    <w:basedOn w:val="Normal"/>
    <w:rsid w:val="003D7433"/>
    <w:pPr>
      <w:tabs>
        <w:tab w:val="center" w:pos="4320"/>
        <w:tab w:val="right" w:pos="8640"/>
      </w:tabs>
      <w:spacing w:before="240" w:after="0" w:line="240" w:lineRule="auto"/>
    </w:pPr>
    <w:rPr>
      <w:rFonts w:ascii="Verdana" w:eastAsiaTheme="minorHAnsi"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653326">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49884584">
      <w:bodyDiv w:val="1"/>
      <w:marLeft w:val="0"/>
      <w:marRight w:val="0"/>
      <w:marTop w:val="0"/>
      <w:marBottom w:val="0"/>
      <w:divBdr>
        <w:top w:val="none" w:sz="0" w:space="0" w:color="auto"/>
        <w:left w:val="none" w:sz="0" w:space="0" w:color="auto"/>
        <w:bottom w:val="none" w:sz="0" w:space="0" w:color="auto"/>
        <w:right w:val="none" w:sz="0" w:space="0" w:color="auto"/>
      </w:divBdr>
    </w:div>
    <w:div w:id="66614166">
      <w:bodyDiv w:val="1"/>
      <w:marLeft w:val="0"/>
      <w:marRight w:val="0"/>
      <w:marTop w:val="0"/>
      <w:marBottom w:val="0"/>
      <w:divBdr>
        <w:top w:val="none" w:sz="0" w:space="0" w:color="auto"/>
        <w:left w:val="none" w:sz="0" w:space="0" w:color="auto"/>
        <w:bottom w:val="none" w:sz="0" w:space="0" w:color="auto"/>
        <w:right w:val="none" w:sz="0" w:space="0" w:color="auto"/>
      </w:divBdr>
    </w:div>
    <w:div w:id="70278139">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12526009">
      <w:bodyDiv w:val="1"/>
      <w:marLeft w:val="0"/>
      <w:marRight w:val="0"/>
      <w:marTop w:val="0"/>
      <w:marBottom w:val="0"/>
      <w:divBdr>
        <w:top w:val="none" w:sz="0" w:space="0" w:color="auto"/>
        <w:left w:val="none" w:sz="0" w:space="0" w:color="auto"/>
        <w:bottom w:val="none" w:sz="0" w:space="0" w:color="auto"/>
        <w:right w:val="none" w:sz="0" w:space="0" w:color="auto"/>
      </w:divBdr>
    </w:div>
    <w:div w:id="117451350">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49753383">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68443876">
      <w:bodyDiv w:val="1"/>
      <w:marLeft w:val="0"/>
      <w:marRight w:val="0"/>
      <w:marTop w:val="0"/>
      <w:marBottom w:val="0"/>
      <w:divBdr>
        <w:top w:val="none" w:sz="0" w:space="0" w:color="auto"/>
        <w:left w:val="none" w:sz="0" w:space="0" w:color="auto"/>
        <w:bottom w:val="none" w:sz="0" w:space="0" w:color="auto"/>
        <w:right w:val="none" w:sz="0" w:space="0" w:color="auto"/>
      </w:divBdr>
    </w:div>
    <w:div w:id="173080832">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3058609">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19608892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29116496">
      <w:bodyDiv w:val="1"/>
      <w:marLeft w:val="0"/>
      <w:marRight w:val="0"/>
      <w:marTop w:val="0"/>
      <w:marBottom w:val="0"/>
      <w:divBdr>
        <w:top w:val="none" w:sz="0" w:space="0" w:color="auto"/>
        <w:left w:val="none" w:sz="0" w:space="0" w:color="auto"/>
        <w:bottom w:val="none" w:sz="0" w:space="0" w:color="auto"/>
        <w:right w:val="none" w:sz="0" w:space="0" w:color="auto"/>
      </w:divBdr>
    </w:div>
    <w:div w:id="231741282">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39933080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4539012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54754439">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3646041">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49808230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8278110">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63375175">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7638168">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099625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2247785">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68952687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58991086">
      <w:bodyDiv w:val="1"/>
      <w:marLeft w:val="0"/>
      <w:marRight w:val="0"/>
      <w:marTop w:val="0"/>
      <w:marBottom w:val="0"/>
      <w:divBdr>
        <w:top w:val="none" w:sz="0" w:space="0" w:color="auto"/>
        <w:left w:val="none" w:sz="0" w:space="0" w:color="auto"/>
        <w:bottom w:val="none" w:sz="0" w:space="0" w:color="auto"/>
        <w:right w:val="none" w:sz="0" w:space="0" w:color="auto"/>
      </w:divBdr>
    </w:div>
    <w:div w:id="768232496">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7940136">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26631974">
      <w:bodyDiv w:val="1"/>
      <w:marLeft w:val="0"/>
      <w:marRight w:val="0"/>
      <w:marTop w:val="0"/>
      <w:marBottom w:val="0"/>
      <w:divBdr>
        <w:top w:val="none" w:sz="0" w:space="0" w:color="auto"/>
        <w:left w:val="none" w:sz="0" w:space="0" w:color="auto"/>
        <w:bottom w:val="none" w:sz="0" w:space="0" w:color="auto"/>
        <w:right w:val="none" w:sz="0" w:space="0" w:color="auto"/>
      </w:divBdr>
    </w:div>
    <w:div w:id="839155619">
      <w:bodyDiv w:val="1"/>
      <w:marLeft w:val="0"/>
      <w:marRight w:val="0"/>
      <w:marTop w:val="0"/>
      <w:marBottom w:val="0"/>
      <w:divBdr>
        <w:top w:val="none" w:sz="0" w:space="0" w:color="auto"/>
        <w:left w:val="none" w:sz="0" w:space="0" w:color="auto"/>
        <w:bottom w:val="none" w:sz="0" w:space="0" w:color="auto"/>
        <w:right w:val="none" w:sz="0" w:space="0" w:color="auto"/>
      </w:divBdr>
    </w:div>
    <w:div w:id="839463824">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18640898">
      <w:bodyDiv w:val="1"/>
      <w:marLeft w:val="0"/>
      <w:marRight w:val="0"/>
      <w:marTop w:val="0"/>
      <w:marBottom w:val="0"/>
      <w:divBdr>
        <w:top w:val="none" w:sz="0" w:space="0" w:color="auto"/>
        <w:left w:val="none" w:sz="0" w:space="0" w:color="auto"/>
        <w:bottom w:val="none" w:sz="0" w:space="0" w:color="auto"/>
        <w:right w:val="none" w:sz="0" w:space="0" w:color="auto"/>
      </w:divBdr>
    </w:div>
    <w:div w:id="923612228">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556241">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38242370">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2388097">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26509560">
      <w:bodyDiv w:val="1"/>
      <w:marLeft w:val="0"/>
      <w:marRight w:val="0"/>
      <w:marTop w:val="0"/>
      <w:marBottom w:val="0"/>
      <w:divBdr>
        <w:top w:val="none" w:sz="0" w:space="0" w:color="auto"/>
        <w:left w:val="none" w:sz="0" w:space="0" w:color="auto"/>
        <w:bottom w:val="none" w:sz="0" w:space="0" w:color="auto"/>
        <w:right w:val="none" w:sz="0" w:space="0" w:color="auto"/>
      </w:divBdr>
    </w:div>
    <w:div w:id="1130976416">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58113743">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194342729">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30000975">
      <w:bodyDiv w:val="1"/>
      <w:marLeft w:val="0"/>
      <w:marRight w:val="0"/>
      <w:marTop w:val="0"/>
      <w:marBottom w:val="0"/>
      <w:divBdr>
        <w:top w:val="none" w:sz="0" w:space="0" w:color="auto"/>
        <w:left w:val="none" w:sz="0" w:space="0" w:color="auto"/>
        <w:bottom w:val="none" w:sz="0" w:space="0" w:color="auto"/>
        <w:right w:val="none" w:sz="0" w:space="0" w:color="auto"/>
      </w:divBdr>
    </w:div>
    <w:div w:id="1230652655">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8806333">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2204197">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44672896">
      <w:bodyDiv w:val="1"/>
      <w:marLeft w:val="0"/>
      <w:marRight w:val="0"/>
      <w:marTop w:val="0"/>
      <w:marBottom w:val="0"/>
      <w:divBdr>
        <w:top w:val="none" w:sz="0" w:space="0" w:color="auto"/>
        <w:left w:val="none" w:sz="0" w:space="0" w:color="auto"/>
        <w:bottom w:val="none" w:sz="0" w:space="0" w:color="auto"/>
        <w:right w:val="none" w:sz="0" w:space="0" w:color="auto"/>
      </w:divBdr>
    </w:div>
    <w:div w:id="1348799379">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387266604">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12895894">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65347605">
      <w:bodyDiv w:val="1"/>
      <w:marLeft w:val="0"/>
      <w:marRight w:val="0"/>
      <w:marTop w:val="0"/>
      <w:marBottom w:val="0"/>
      <w:divBdr>
        <w:top w:val="none" w:sz="0" w:space="0" w:color="auto"/>
        <w:left w:val="none" w:sz="0" w:space="0" w:color="auto"/>
        <w:bottom w:val="none" w:sz="0" w:space="0" w:color="auto"/>
        <w:right w:val="none" w:sz="0" w:space="0" w:color="auto"/>
      </w:divBdr>
    </w:div>
    <w:div w:id="1465654092">
      <w:bodyDiv w:val="1"/>
      <w:marLeft w:val="0"/>
      <w:marRight w:val="0"/>
      <w:marTop w:val="0"/>
      <w:marBottom w:val="0"/>
      <w:divBdr>
        <w:top w:val="none" w:sz="0" w:space="0" w:color="auto"/>
        <w:left w:val="none" w:sz="0" w:space="0" w:color="auto"/>
        <w:bottom w:val="none" w:sz="0" w:space="0" w:color="auto"/>
        <w:right w:val="none" w:sz="0" w:space="0" w:color="auto"/>
      </w:divBdr>
    </w:div>
    <w:div w:id="146769597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1664826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24394598">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44096321">
      <w:bodyDiv w:val="1"/>
      <w:marLeft w:val="0"/>
      <w:marRight w:val="0"/>
      <w:marTop w:val="0"/>
      <w:marBottom w:val="0"/>
      <w:divBdr>
        <w:top w:val="none" w:sz="0" w:space="0" w:color="auto"/>
        <w:left w:val="none" w:sz="0" w:space="0" w:color="auto"/>
        <w:bottom w:val="none" w:sz="0" w:space="0" w:color="auto"/>
        <w:right w:val="none" w:sz="0" w:space="0" w:color="auto"/>
      </w:divBdr>
    </w:div>
    <w:div w:id="1546134291">
      <w:bodyDiv w:val="1"/>
      <w:marLeft w:val="0"/>
      <w:marRight w:val="0"/>
      <w:marTop w:val="0"/>
      <w:marBottom w:val="0"/>
      <w:divBdr>
        <w:top w:val="none" w:sz="0" w:space="0" w:color="auto"/>
        <w:left w:val="none" w:sz="0" w:space="0" w:color="auto"/>
        <w:bottom w:val="none" w:sz="0" w:space="0" w:color="auto"/>
        <w:right w:val="none" w:sz="0" w:space="0" w:color="auto"/>
      </w:divBdr>
    </w:div>
    <w:div w:id="1561288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1426225">
      <w:bodyDiv w:val="1"/>
      <w:marLeft w:val="0"/>
      <w:marRight w:val="0"/>
      <w:marTop w:val="0"/>
      <w:marBottom w:val="0"/>
      <w:divBdr>
        <w:top w:val="none" w:sz="0" w:space="0" w:color="auto"/>
        <w:left w:val="none" w:sz="0" w:space="0" w:color="auto"/>
        <w:bottom w:val="none" w:sz="0" w:space="0" w:color="auto"/>
        <w:right w:val="none" w:sz="0" w:space="0" w:color="auto"/>
      </w:divBdr>
    </w:div>
    <w:div w:id="1591740368">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6792122">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0478254">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2780812">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75378075">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691253179">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34740147">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789084010">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888835312">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198195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2857993">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70881240">
      <w:bodyDiv w:val="1"/>
      <w:marLeft w:val="0"/>
      <w:marRight w:val="0"/>
      <w:marTop w:val="0"/>
      <w:marBottom w:val="0"/>
      <w:divBdr>
        <w:top w:val="none" w:sz="0" w:space="0" w:color="auto"/>
        <w:left w:val="none" w:sz="0" w:space="0" w:color="auto"/>
        <w:bottom w:val="none" w:sz="0" w:space="0" w:color="auto"/>
        <w:right w:val="none" w:sz="0" w:space="0" w:color="auto"/>
      </w:divBdr>
    </w:div>
    <w:div w:id="2094275777">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 w:id="2131631891">
      <w:bodyDiv w:val="1"/>
      <w:marLeft w:val="0"/>
      <w:marRight w:val="0"/>
      <w:marTop w:val="0"/>
      <w:marBottom w:val="0"/>
      <w:divBdr>
        <w:top w:val="none" w:sz="0" w:space="0" w:color="auto"/>
        <w:left w:val="none" w:sz="0" w:space="0" w:color="auto"/>
        <w:bottom w:val="none" w:sz="0" w:space="0" w:color="auto"/>
        <w:right w:val="none" w:sz="0" w:space="0" w:color="auto"/>
      </w:divBdr>
    </w:div>
    <w:div w:id="21340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59455-FD4E-4A1D-B3BE-DC0C4233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2745</TotalTime>
  <Pages>5</Pages>
  <Words>646</Words>
  <Characters>3706</Characters>
  <Application>Microsoft Office Word</Application>
  <DocSecurity>0</DocSecurity>
  <Lines>177</Lines>
  <Paragraphs>117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4234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65</cp:revision>
  <cp:lastPrinted>2016-05-02T02:14:00Z</cp:lastPrinted>
  <dcterms:created xsi:type="dcterms:W3CDTF">2016-09-07T15:45:00Z</dcterms:created>
  <dcterms:modified xsi:type="dcterms:W3CDTF">2020-01-28T22:54:00Z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c51aaf57-28ff-4e36-9395-9458a46ee2d6</vt:lpwstr>
  </property>
  <property fmtid="{D5CDD505-2E9C-101B-9397-08002B2CF9AE}" pid="12" name="CTP_TimeStamp">
    <vt:lpwstr>2020-01-28 22:54:22Z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