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D1AA" w14:textId="77777777" w:rsidR="00401407" w:rsidRPr="0004677F" w:rsidRDefault="00401407" w:rsidP="00401407">
      <w:pPr>
        <w:pStyle w:val="Heading1"/>
        <w:rPr>
          <w:rFonts w:ascii="Palatino Linotype" w:hAnsi="Palatino Linotype"/>
        </w:rPr>
      </w:pPr>
      <w:bookmarkStart w:id="0" w:name="_Toc461049982"/>
      <w:bookmarkStart w:id="1" w:name="_Toc472974333"/>
      <w:bookmarkStart w:id="2" w:name="_Toc426230138"/>
      <w:bookmarkStart w:id="3" w:name="_GoBack"/>
      <w:r w:rsidRPr="0004677F">
        <w:rPr>
          <w:rFonts w:ascii="Palatino Linotype" w:hAnsi="Palatino Linotype"/>
        </w:rPr>
        <w:t>Changes to Commands and Properties</w:t>
      </w:r>
      <w:bookmarkEnd w:id="0"/>
      <w:bookmarkEnd w:id="1"/>
    </w:p>
    <w:p w14:paraId="1C32312A" w14:textId="77777777" w:rsidR="00401407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4" w:name="_Toc461049983"/>
      <w:bookmarkStart w:id="5" w:name="_Toc472974334"/>
      <w:r w:rsidRPr="0004677F">
        <w:rPr>
          <w:rFonts w:ascii="Palatino Linotype" w:hAnsi="Palatino Linotype"/>
          <w:color w:val="auto"/>
        </w:rPr>
        <w:t>Command Changes</w:t>
      </w:r>
      <w:bookmarkEnd w:id="4"/>
      <w:bookmarkEnd w:id="5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401407" w:rsidRPr="0062058E" w14:paraId="68527CD1" w14:textId="77777777" w:rsidTr="009A057F">
        <w:trPr>
          <w:trHeight w:val="360"/>
        </w:trPr>
        <w:tc>
          <w:tcPr>
            <w:tcW w:w="4225" w:type="dxa"/>
            <w:noWrap/>
            <w:hideMark/>
          </w:tcPr>
          <w:p w14:paraId="4C94D9E5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5850" w:type="dxa"/>
            <w:noWrap/>
            <w:hideMark/>
          </w:tcPr>
          <w:p w14:paraId="05780488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Comment</w:t>
            </w:r>
          </w:p>
        </w:tc>
      </w:tr>
      <w:tr w:rsidR="00401407" w:rsidRPr="0062058E" w14:paraId="3202075F" w14:textId="77777777" w:rsidTr="009A057F">
        <w:trPr>
          <w:trHeight w:val="360"/>
        </w:trPr>
        <w:tc>
          <w:tcPr>
            <w:tcW w:w="4225" w:type="dxa"/>
            <w:noWrap/>
          </w:tcPr>
          <w:p w14:paraId="3F8B4C98" w14:textId="77777777" w:rsidR="00401407" w:rsidRPr="0054733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 w:rsidRPr="0054733E">
              <w:rPr>
                <w:rFonts w:asciiTheme="majorHAnsi" w:eastAsia="Times New Roman" w:hAnsiTheme="majorHAnsi" w:cs="Times New Roman"/>
                <w:bCs/>
                <w:color w:val="000000"/>
              </w:rPr>
              <w:t>add_regbus_controller</w:t>
            </w:r>
          </w:p>
        </w:tc>
        <w:tc>
          <w:tcPr>
            <w:tcW w:w="5850" w:type="dxa"/>
            <w:noWrap/>
          </w:tcPr>
          <w:p w14:paraId="5E0647EC" w14:textId="77777777" w:rsidR="00401407" w:rsidRPr="0054733E" w:rsidRDefault="00401407" w:rsidP="009A057F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a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dd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s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a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R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egbus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C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ontroller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(RBC)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with its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RBM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and optional Axi4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s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b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ridge to tunnel requests from masters in the NoC, or APBM|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AXI4LM|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IOSFSB|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IOSFSB2APB interfaces to drive external requests into the R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BC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.</w:t>
            </w:r>
          </w:p>
        </w:tc>
      </w:tr>
      <w:tr w:rsidR="00401407" w:rsidRPr="0062058E" w14:paraId="38772D73" w14:textId="77777777" w:rsidTr="009A057F">
        <w:trPr>
          <w:trHeight w:val="360"/>
        </w:trPr>
        <w:tc>
          <w:tcPr>
            <w:tcW w:w="4225" w:type="dxa"/>
            <w:tcBorders>
              <w:bottom w:val="single" w:sz="4" w:space="0" w:color="auto"/>
            </w:tcBorders>
            <w:noWrap/>
          </w:tcPr>
          <w:p w14:paraId="12E18ACD" w14:textId="77777777" w:rsidR="00401407" w:rsidRPr="0054733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vifce_prop</w:t>
            </w:r>
            <w:proofErr w:type="spellEnd"/>
          </w:p>
        </w:tc>
        <w:tc>
          <w:tcPr>
            <w:tcW w:w="5850" w:type="dxa"/>
            <w:noWrap/>
          </w:tcPr>
          <w:p w14:paraId="7196924B" w14:textId="77777777" w:rsidR="00401407" w:rsidRPr="0054733E" w:rsidRDefault="00401407" w:rsidP="009A057F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is used to s</w:t>
            </w:r>
            <w:r w:rsidRPr="008D02CF">
              <w:rPr>
                <w:rFonts w:asciiTheme="majorHAnsi" w:eastAsia="Times New Roman" w:hAnsiTheme="majorHAnsi" w:cs="Times New Roman"/>
                <w:bCs/>
                <w:color w:val="000000"/>
              </w:rPr>
              <w:t>et or view a named property of a particular Interface's virtual interface and an optional direction in/out</w:t>
            </w: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, w.r.t the host.</w:t>
            </w:r>
          </w:p>
        </w:tc>
      </w:tr>
      <w:tr w:rsidR="00401407" w:rsidRPr="0062058E" w14:paraId="6FABC27C" w14:textId="77777777" w:rsidTr="009A057F">
        <w:trPr>
          <w:trHeight w:val="360"/>
        </w:trPr>
        <w:tc>
          <w:tcPr>
            <w:tcW w:w="4225" w:type="dxa"/>
            <w:tcBorders>
              <w:bottom w:val="single" w:sz="4" w:space="0" w:color="auto"/>
            </w:tcBorders>
            <w:noWrap/>
          </w:tcPr>
          <w:p w14:paraId="4F176553" w14:textId="77777777" w:rsidR="00401407" w:rsidRPr="0054733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reset_mesh</w:t>
            </w:r>
            <w:proofErr w:type="spellEnd"/>
          </w:p>
        </w:tc>
        <w:tc>
          <w:tcPr>
            <w:tcW w:w="5850" w:type="dxa"/>
            <w:noWrap/>
          </w:tcPr>
          <w:p w14:paraId="4F97051B" w14:textId="77777777" w:rsidR="00401407" w:rsidRPr="0054733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This command resets the previously created mesh.</w:t>
            </w:r>
          </w:p>
        </w:tc>
      </w:tr>
    </w:tbl>
    <w:p w14:paraId="2B50FB8B" w14:textId="77777777" w:rsidR="00401407" w:rsidRPr="00B40B5A" w:rsidRDefault="00401407" w:rsidP="00401407"/>
    <w:p w14:paraId="5CCEDDEF" w14:textId="77777777" w:rsidR="00401407" w:rsidRPr="0004677F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6" w:name="_Toc461049985"/>
      <w:bookmarkStart w:id="7" w:name="_Toc472974336"/>
      <w:r>
        <w:rPr>
          <w:rFonts w:ascii="Palatino Linotype" w:hAnsi="Palatino Linotype"/>
          <w:color w:val="auto"/>
        </w:rPr>
        <w:t>Default</w:t>
      </w:r>
      <w:r w:rsidRPr="0004677F">
        <w:rPr>
          <w:rFonts w:ascii="Palatino Linotype" w:hAnsi="Palatino Linotype"/>
          <w:color w:val="auto"/>
        </w:rPr>
        <w:t xml:space="preserve"> Property Changes</w:t>
      </w:r>
      <w:bookmarkEnd w:id="6"/>
      <w:bookmarkEnd w:id="7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1530"/>
        <w:gridCol w:w="4320"/>
      </w:tblGrid>
      <w:tr w:rsidR="00401407" w:rsidRPr="0062058E" w14:paraId="3B0B56DD" w14:textId="77777777" w:rsidTr="009A057F">
        <w:trPr>
          <w:trHeight w:val="360"/>
        </w:trPr>
        <w:tc>
          <w:tcPr>
            <w:tcW w:w="4225" w:type="dxa"/>
            <w:tcBorders>
              <w:bottom w:val="single" w:sz="4" w:space="0" w:color="auto"/>
            </w:tcBorders>
            <w:noWrap/>
            <w:hideMark/>
          </w:tcPr>
          <w:p w14:paraId="0724FCE2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530" w:type="dxa"/>
            <w:noWrap/>
            <w:hideMark/>
          </w:tcPr>
          <w:p w14:paraId="31062286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4320" w:type="dxa"/>
            <w:noWrap/>
            <w:hideMark/>
          </w:tcPr>
          <w:p w14:paraId="53673FE7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62058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Comment</w:t>
            </w:r>
          </w:p>
        </w:tc>
      </w:tr>
      <w:tr w:rsidR="00401407" w:rsidRPr="0062058E" w14:paraId="19E2AEBB" w14:textId="77777777" w:rsidTr="009A057F">
        <w:trPr>
          <w:trHeight w:val="36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9BDB79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rssb_router</w:t>
            </w:r>
          </w:p>
        </w:tc>
        <w:tc>
          <w:tcPr>
            <w:tcW w:w="1530" w:type="dxa"/>
            <w:noWrap/>
          </w:tcPr>
          <w:p w14:paraId="683F7D4F" w14:textId="77777777" w:rsidR="00401407" w:rsidRPr="0062058E" w:rsidRDefault="00401407" w:rsidP="009A057F">
            <w:pPr>
              <w:spacing w:after="0" w:line="240" w:lineRule="auto"/>
              <w:rPr>
                <w:rFonts w:asciiTheme="majorHAnsi" w:eastAsia="Times New Roman" w:hAnsiTheme="majorHAnsi" w:cs="Times New Roman"/>
                <w:bCs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</w:rPr>
              <w:t>no</w:t>
            </w:r>
          </w:p>
        </w:tc>
        <w:tc>
          <w:tcPr>
            <w:tcW w:w="4320" w:type="dxa"/>
            <w:noWrap/>
          </w:tcPr>
          <w:p w14:paraId="66B71D0F" w14:textId="77777777" w:rsidR="00401407" w:rsidRPr="0054733E" w:rsidRDefault="00401407" w:rsidP="009A057F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Cs/>
                <w:color w:val="FF0000"/>
              </w:rPr>
            </w:pPr>
            <w:r w:rsidRPr="0054733E">
              <w:rPr>
                <w:rFonts w:asciiTheme="majorHAnsi" w:eastAsia="Times New Roman" w:hAnsiTheme="majorHAnsi" w:cs="Times New Roman"/>
                <w:bCs/>
                <w:color w:val="FF0000"/>
              </w:rPr>
              <w:t>Deprecated</w:t>
            </w:r>
            <w:r>
              <w:rPr>
                <w:rFonts w:asciiTheme="majorHAnsi" w:eastAsia="Times New Roman" w:hAnsiTheme="majorHAnsi" w:cs="Times New Roman"/>
                <w:bCs/>
                <w:color w:val="FF0000"/>
              </w:rPr>
              <w:t>. By default all routers are RSSB.</w:t>
            </w:r>
          </w:p>
        </w:tc>
      </w:tr>
    </w:tbl>
    <w:p w14:paraId="2855ED17" w14:textId="77777777" w:rsidR="00401407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8" w:name="_Toc461049984"/>
      <w:bookmarkStart w:id="9" w:name="_Toc472974335"/>
      <w:bookmarkStart w:id="10" w:name="_Toc461049986"/>
      <w:bookmarkStart w:id="11" w:name="_Toc472974337"/>
      <w:r>
        <w:rPr>
          <w:rFonts w:ascii="Palatino Linotype" w:hAnsi="Palatino Linotype"/>
          <w:color w:val="auto"/>
        </w:rPr>
        <w:t>Mesh</w:t>
      </w:r>
      <w:r w:rsidRPr="0004677F">
        <w:rPr>
          <w:rFonts w:ascii="Palatino Linotype" w:hAnsi="Palatino Linotype"/>
          <w:color w:val="auto"/>
        </w:rPr>
        <w:t xml:space="preserve"> Property Changes</w:t>
      </w:r>
      <w:bookmarkEnd w:id="8"/>
      <w:bookmarkEnd w:id="9"/>
    </w:p>
    <w:p w14:paraId="037544D4" w14:textId="77777777" w:rsidR="00401407" w:rsidRPr="008651AB" w:rsidRDefault="00401407" w:rsidP="00401407">
      <w:r>
        <w:t>None</w:t>
      </w:r>
    </w:p>
    <w:p w14:paraId="44DE38B4" w14:textId="77777777" w:rsidR="00401407" w:rsidRDefault="00401407" w:rsidP="00401407">
      <w:pPr>
        <w:pStyle w:val="Heading2"/>
        <w:rPr>
          <w:rFonts w:ascii="Palatino Linotype" w:hAnsi="Palatino Linotype"/>
          <w:color w:val="auto"/>
        </w:rPr>
      </w:pPr>
      <w:r w:rsidRPr="0004677F">
        <w:rPr>
          <w:rFonts w:ascii="Palatino Linotype" w:hAnsi="Palatino Linotype"/>
          <w:color w:val="auto"/>
        </w:rPr>
        <w:t>Bridge Property Changes</w:t>
      </w:r>
      <w:bookmarkEnd w:id="10"/>
      <w:bookmarkEnd w:id="11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1530"/>
        <w:gridCol w:w="4320"/>
      </w:tblGrid>
      <w:tr w:rsidR="00401407" w:rsidRPr="009655A7" w14:paraId="14C674B7" w14:textId="77777777" w:rsidTr="009A057F">
        <w:trPr>
          <w:trHeight w:val="300"/>
        </w:trPr>
        <w:tc>
          <w:tcPr>
            <w:tcW w:w="4225" w:type="dxa"/>
            <w:noWrap/>
          </w:tcPr>
          <w:p w14:paraId="1C323A5E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noWrap/>
          </w:tcPr>
          <w:p w14:paraId="4DF5EDFB" w14:textId="77777777" w:rsidR="00401407" w:rsidRPr="009655A7" w:rsidRDefault="00401407" w:rsidP="009A057F">
            <w:pPr>
              <w:rPr>
                <w:b/>
                <w:bCs/>
              </w:rPr>
            </w:pPr>
            <w:r w:rsidRPr="009655A7">
              <w:rPr>
                <w:b/>
                <w:bCs/>
              </w:rPr>
              <w:t>Default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4320" w:type="dxa"/>
            <w:noWrap/>
          </w:tcPr>
          <w:p w14:paraId="6EB79B1C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401407" w:rsidRPr="009655A7" w14:paraId="76DC011D" w14:textId="77777777" w:rsidTr="009A057F">
        <w:trPr>
          <w:trHeight w:val="300"/>
        </w:trPr>
        <w:tc>
          <w:tcPr>
            <w:tcW w:w="4225" w:type="dxa"/>
            <w:noWrap/>
          </w:tcPr>
          <w:p w14:paraId="1C78478E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axi4m_ar_max_beats</w:t>
            </w:r>
          </w:p>
        </w:tc>
        <w:tc>
          <w:tcPr>
            <w:tcW w:w="1530" w:type="dxa"/>
            <w:noWrap/>
          </w:tcPr>
          <w:p w14:paraId="4D5DD978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4320" w:type="dxa"/>
            <w:noWrap/>
          </w:tcPr>
          <w:p w14:paraId="246CA3FE" w14:textId="77777777" w:rsidR="00401407" w:rsidRPr="00827B41" w:rsidRDefault="00401407" w:rsidP="009A057F">
            <w:pPr>
              <w:jc w:val="both"/>
              <w:rPr>
                <w:bCs/>
              </w:rPr>
            </w:pPr>
            <w:r w:rsidRPr="008D02CF">
              <w:rPr>
                <w:bCs/>
              </w:rPr>
              <w:t>This</w:t>
            </w:r>
            <w:r>
              <w:rPr>
                <w:bCs/>
              </w:rPr>
              <w:t xml:space="preserve"> p</w:t>
            </w:r>
            <w:r w:rsidRPr="008D02CF">
              <w:rPr>
                <w:bCs/>
              </w:rPr>
              <w:t>roperty is used to set the limit on the burst length for reads.</w:t>
            </w:r>
          </w:p>
        </w:tc>
      </w:tr>
      <w:tr w:rsidR="00401407" w:rsidRPr="009655A7" w14:paraId="05801194" w14:textId="77777777" w:rsidTr="009A057F">
        <w:trPr>
          <w:trHeight w:val="300"/>
        </w:trPr>
        <w:tc>
          <w:tcPr>
            <w:tcW w:w="4225" w:type="dxa"/>
            <w:noWrap/>
          </w:tcPr>
          <w:p w14:paraId="7123BE6D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axi4m_aw_max_beats</w:t>
            </w:r>
          </w:p>
        </w:tc>
        <w:tc>
          <w:tcPr>
            <w:tcW w:w="1530" w:type="dxa"/>
            <w:noWrap/>
          </w:tcPr>
          <w:p w14:paraId="034D5669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4320" w:type="dxa"/>
            <w:noWrap/>
          </w:tcPr>
          <w:p w14:paraId="48F8A288" w14:textId="77777777" w:rsidR="00401407" w:rsidRPr="00827B41" w:rsidRDefault="00401407" w:rsidP="009A057F">
            <w:pPr>
              <w:jc w:val="both"/>
              <w:rPr>
                <w:bCs/>
              </w:rPr>
            </w:pPr>
            <w:r w:rsidRPr="008D02CF">
              <w:rPr>
                <w:bCs/>
              </w:rPr>
              <w:t xml:space="preserve">This property is used to set the limit on the burst length for </w:t>
            </w:r>
            <w:r>
              <w:rPr>
                <w:bCs/>
              </w:rPr>
              <w:t>writes</w:t>
            </w:r>
            <w:r w:rsidRPr="008D02CF">
              <w:rPr>
                <w:bCs/>
              </w:rPr>
              <w:t>.</w:t>
            </w:r>
          </w:p>
        </w:tc>
      </w:tr>
      <w:tr w:rsidR="00401407" w:rsidRPr="009655A7" w14:paraId="058CF54E" w14:textId="77777777" w:rsidTr="009A057F">
        <w:trPr>
          <w:trHeight w:val="300"/>
        </w:trPr>
        <w:tc>
          <w:tcPr>
            <w:tcW w:w="4225" w:type="dxa"/>
            <w:noWrap/>
          </w:tcPr>
          <w:p w14:paraId="1D2F20E7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axi4s_memory_type</w:t>
            </w:r>
          </w:p>
        </w:tc>
        <w:tc>
          <w:tcPr>
            <w:tcW w:w="1530" w:type="dxa"/>
            <w:noWrap/>
          </w:tcPr>
          <w:p w14:paraId="340DF1FF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device</w:t>
            </w:r>
          </w:p>
        </w:tc>
        <w:tc>
          <w:tcPr>
            <w:tcW w:w="4320" w:type="dxa"/>
            <w:noWrap/>
          </w:tcPr>
          <w:p w14:paraId="16098055" w14:textId="77777777" w:rsidR="00401407" w:rsidRPr="00827B41" w:rsidRDefault="00401407" w:rsidP="009A057F">
            <w:pPr>
              <w:jc w:val="both"/>
              <w:rPr>
                <w:bCs/>
              </w:rPr>
            </w:pPr>
            <w:r w:rsidRPr="008D02CF">
              <w:rPr>
                <w:bCs/>
              </w:rPr>
              <w:t xml:space="preserve">This property indicates the Memory Type </w:t>
            </w:r>
            <w:proofErr w:type="spellStart"/>
            <w:r>
              <w:rPr>
                <w:bCs/>
              </w:rPr>
              <w:t>fot</w:t>
            </w:r>
            <w:proofErr w:type="spellEnd"/>
            <w:r>
              <w:rPr>
                <w:bCs/>
              </w:rPr>
              <w:t xml:space="preserve"> the AXI slave </w:t>
            </w:r>
            <w:r w:rsidRPr="008D02CF">
              <w:rPr>
                <w:bCs/>
              </w:rPr>
              <w:t>as described in the AXI spec.</w:t>
            </w:r>
          </w:p>
        </w:tc>
      </w:tr>
      <w:tr w:rsidR="00401407" w:rsidRPr="009655A7" w14:paraId="5370AC58" w14:textId="77777777" w:rsidTr="009A057F">
        <w:trPr>
          <w:trHeight w:val="300"/>
        </w:trPr>
        <w:tc>
          <w:tcPr>
            <w:tcW w:w="4225" w:type="dxa"/>
            <w:noWrap/>
          </w:tcPr>
          <w:p w14:paraId="0BAB5C33" w14:textId="77777777" w:rsidR="00401407" w:rsidRPr="0054733E" w:rsidRDefault="00401407" w:rsidP="009A057F">
            <w:pPr>
              <w:rPr>
                <w:rFonts w:asciiTheme="majorHAnsi" w:hAnsiTheme="majorHAnsi" w:cs="Calibri"/>
                <w:color w:val="000000"/>
              </w:rPr>
            </w:pPr>
            <w:proofErr w:type="spellStart"/>
            <w:r w:rsidRPr="0054733E">
              <w:rPr>
                <w:rFonts w:asciiTheme="majorHAnsi" w:hAnsiTheme="majorHAnsi" w:cs="Calibri"/>
                <w:color w:val="000000"/>
              </w:rPr>
              <w:lastRenderedPageBreak/>
              <w:t>cmi_rd_req_max_credit_error_fatal</w:t>
            </w:r>
            <w:proofErr w:type="spellEnd"/>
          </w:p>
        </w:tc>
        <w:tc>
          <w:tcPr>
            <w:tcW w:w="1530" w:type="dxa"/>
            <w:noWrap/>
          </w:tcPr>
          <w:p w14:paraId="47FCC01B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  <w:noWrap/>
          </w:tcPr>
          <w:p w14:paraId="4662B2C3" w14:textId="77777777" w:rsidR="00401407" w:rsidRPr="00827B41" w:rsidRDefault="00401407" w:rsidP="009A057F">
            <w:pPr>
              <w:jc w:val="both"/>
              <w:rPr>
                <w:bCs/>
              </w:rPr>
            </w:pPr>
            <w:r w:rsidRPr="00167FE9">
              <w:rPr>
                <w:bCs/>
              </w:rPr>
              <w:t>This property is used to enable the read completion error type functionality in the CMI bridge.</w:t>
            </w:r>
          </w:p>
        </w:tc>
      </w:tr>
      <w:tr w:rsidR="00401407" w:rsidRPr="009655A7" w14:paraId="3310F450" w14:textId="77777777" w:rsidTr="009A057F">
        <w:trPr>
          <w:trHeight w:val="300"/>
        </w:trPr>
        <w:tc>
          <w:tcPr>
            <w:tcW w:w="4225" w:type="dxa"/>
            <w:noWrap/>
          </w:tcPr>
          <w:p w14:paraId="24908D14" w14:textId="77777777" w:rsidR="00401407" w:rsidRPr="0054733E" w:rsidRDefault="00401407" w:rsidP="009A057F">
            <w:pPr>
              <w:rPr>
                <w:rFonts w:asciiTheme="majorHAnsi" w:hAnsiTheme="majorHAnsi" w:cs="Calibri"/>
                <w:color w:val="000000"/>
              </w:rPr>
            </w:pPr>
            <w:proofErr w:type="spellStart"/>
            <w:r w:rsidRPr="0054733E">
              <w:rPr>
                <w:rFonts w:asciiTheme="majorHAnsi" w:hAnsiTheme="majorHAnsi" w:cs="Calibri"/>
                <w:color w:val="000000"/>
              </w:rPr>
              <w:t>cmi_rdcpl_max_credit_error_fatal</w:t>
            </w:r>
            <w:proofErr w:type="spellEnd"/>
          </w:p>
        </w:tc>
        <w:tc>
          <w:tcPr>
            <w:tcW w:w="1530" w:type="dxa"/>
            <w:noWrap/>
          </w:tcPr>
          <w:p w14:paraId="5880FB53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  <w:noWrap/>
          </w:tcPr>
          <w:p w14:paraId="67368ECB" w14:textId="77777777" w:rsidR="00401407" w:rsidRPr="00827B41" w:rsidRDefault="00401407" w:rsidP="009A057F">
            <w:pPr>
              <w:jc w:val="both"/>
              <w:rPr>
                <w:bCs/>
              </w:rPr>
            </w:pPr>
            <w:r w:rsidRPr="00167FE9">
              <w:rPr>
                <w:bCs/>
              </w:rPr>
              <w:t>This property</w:t>
            </w:r>
            <w:r>
              <w:rPr>
                <w:bCs/>
              </w:rPr>
              <w:t xml:space="preserve"> i</w:t>
            </w:r>
            <w:r w:rsidRPr="00167FE9">
              <w:rPr>
                <w:bCs/>
              </w:rPr>
              <w:t xml:space="preserve">s </w:t>
            </w:r>
            <w:r>
              <w:rPr>
                <w:bCs/>
              </w:rPr>
              <w:t xml:space="preserve">used to </w:t>
            </w:r>
            <w:r w:rsidRPr="00167FE9">
              <w:rPr>
                <w:bCs/>
              </w:rPr>
              <w:t>control whether the interrupt raise on read credit overflow will be fatal or non-fatal.</w:t>
            </w:r>
          </w:p>
        </w:tc>
      </w:tr>
      <w:tr w:rsidR="00401407" w:rsidRPr="009655A7" w14:paraId="72868DED" w14:textId="77777777" w:rsidTr="009A057F">
        <w:trPr>
          <w:trHeight w:val="300"/>
        </w:trPr>
        <w:tc>
          <w:tcPr>
            <w:tcW w:w="4225" w:type="dxa"/>
            <w:noWrap/>
          </w:tcPr>
          <w:p w14:paraId="2C79707D" w14:textId="77777777" w:rsidR="00401407" w:rsidRPr="0054733E" w:rsidRDefault="00401407" w:rsidP="009A057F">
            <w:pPr>
              <w:rPr>
                <w:rFonts w:ascii="Palatino Linotype" w:hAnsi="Palatino Linotype" w:cs="Calibri"/>
                <w:color w:val="000000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</w:rPr>
              <w:t>cmi_route_lookup_error_fatal</w:t>
            </w:r>
            <w:proofErr w:type="spellEnd"/>
          </w:p>
        </w:tc>
        <w:tc>
          <w:tcPr>
            <w:tcW w:w="1530" w:type="dxa"/>
            <w:noWrap/>
          </w:tcPr>
          <w:p w14:paraId="49DD3391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  <w:noWrap/>
          </w:tcPr>
          <w:p w14:paraId="46101871" w14:textId="77777777" w:rsidR="00401407" w:rsidRPr="00827B41" w:rsidRDefault="00401407" w:rsidP="009A057F">
            <w:pPr>
              <w:jc w:val="both"/>
              <w:rPr>
                <w:bCs/>
              </w:rPr>
            </w:pPr>
            <w:r>
              <w:rPr>
                <w:bCs/>
              </w:rPr>
              <w:t>T</w:t>
            </w:r>
            <w:r w:rsidRPr="00167FE9">
              <w:rPr>
                <w:bCs/>
              </w:rPr>
              <w:t>his property is used to enable the read completion error type functionality in the CMI bridge.</w:t>
            </w:r>
          </w:p>
        </w:tc>
      </w:tr>
      <w:tr w:rsidR="00401407" w:rsidRPr="009655A7" w14:paraId="2DD1A70C" w14:textId="77777777" w:rsidTr="009A057F">
        <w:trPr>
          <w:trHeight w:val="300"/>
        </w:trPr>
        <w:tc>
          <w:tcPr>
            <w:tcW w:w="4225" w:type="dxa"/>
            <w:noWrap/>
          </w:tcPr>
          <w:p w14:paraId="2EFFA600" w14:textId="77777777" w:rsidR="00401407" w:rsidRPr="0054733E" w:rsidRDefault="00401407" w:rsidP="009A057F">
            <w:pPr>
              <w:rPr>
                <w:rFonts w:ascii="Palatino Linotype" w:hAnsi="Palatino Linotype" w:cs="Calibri"/>
                <w:color w:val="000000"/>
              </w:rPr>
            </w:pPr>
            <w:proofErr w:type="spellStart"/>
            <w:r>
              <w:rPr>
                <w:rFonts w:ascii="Palatino Linotype" w:hAnsi="Palatino Linotype" w:cs="Calibri"/>
                <w:color w:val="000000"/>
              </w:rPr>
              <w:t>cmi_rsp_max_credit_error_fatal</w:t>
            </w:r>
            <w:proofErr w:type="spellEnd"/>
          </w:p>
        </w:tc>
        <w:tc>
          <w:tcPr>
            <w:tcW w:w="1530" w:type="dxa"/>
            <w:noWrap/>
          </w:tcPr>
          <w:p w14:paraId="20900CDE" w14:textId="77777777" w:rsidR="00401407" w:rsidRPr="00827B41" w:rsidRDefault="00401407" w:rsidP="009A057F">
            <w:pPr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  <w:noWrap/>
          </w:tcPr>
          <w:p w14:paraId="514A6355" w14:textId="77777777" w:rsidR="00401407" w:rsidRPr="00827B41" w:rsidRDefault="00401407" w:rsidP="009A057F">
            <w:pPr>
              <w:jc w:val="both"/>
              <w:rPr>
                <w:bCs/>
              </w:rPr>
            </w:pPr>
            <w:r>
              <w:rPr>
                <w:bCs/>
              </w:rPr>
              <w:t>T</w:t>
            </w:r>
            <w:r w:rsidRPr="00167FE9">
              <w:rPr>
                <w:bCs/>
              </w:rPr>
              <w:t>his property is control whether the interrupt raise on read credit overflow will be fatal or non-fatal.</w:t>
            </w:r>
          </w:p>
        </w:tc>
      </w:tr>
      <w:tr w:rsidR="00401407" w:rsidRPr="009655A7" w14:paraId="6BCA64C9" w14:textId="77777777" w:rsidTr="009A057F">
        <w:trPr>
          <w:trHeight w:val="288"/>
        </w:trPr>
        <w:tc>
          <w:tcPr>
            <w:tcW w:w="4225" w:type="dxa"/>
            <w:noWrap/>
          </w:tcPr>
          <w:p w14:paraId="5F0231CD" w14:textId="77777777" w:rsidR="00401407" w:rsidRPr="0054733E" w:rsidRDefault="00401407" w:rsidP="009A057F">
            <w:pPr>
              <w:rPr>
                <w:rFonts w:ascii="Palatino Linotype" w:hAnsi="Palatino Linotype" w:cs="Calibri"/>
                <w:color w:val="1D1C1D"/>
              </w:rPr>
            </w:pPr>
            <w:proofErr w:type="spellStart"/>
            <w:r>
              <w:rPr>
                <w:rFonts w:ascii="Palatino Linotype" w:hAnsi="Palatino Linotype" w:cs="Calibri"/>
                <w:color w:val="1D1C1D"/>
              </w:rPr>
              <w:t>cmi_unsupported_opcode_error_fatal</w:t>
            </w:r>
            <w:proofErr w:type="spellEnd"/>
          </w:p>
        </w:tc>
        <w:tc>
          <w:tcPr>
            <w:tcW w:w="1530" w:type="dxa"/>
            <w:noWrap/>
          </w:tcPr>
          <w:p w14:paraId="723D7962" w14:textId="77777777" w:rsidR="00401407" w:rsidRPr="00827B41" w:rsidRDefault="00401407" w:rsidP="009A057F">
            <w:r>
              <w:t>no</w:t>
            </w:r>
          </w:p>
        </w:tc>
        <w:tc>
          <w:tcPr>
            <w:tcW w:w="4320" w:type="dxa"/>
            <w:noWrap/>
          </w:tcPr>
          <w:p w14:paraId="3B66A4BB" w14:textId="77777777" w:rsidR="00401407" w:rsidRPr="00827B41" w:rsidRDefault="00401407" w:rsidP="009A057F">
            <w:pPr>
              <w:pStyle w:val="Body"/>
            </w:pPr>
            <w:r>
              <w:t>This property is used to enable the read completion error type functionality in the CMI bridge.</w:t>
            </w:r>
          </w:p>
        </w:tc>
      </w:tr>
    </w:tbl>
    <w:p w14:paraId="16B962C5" w14:textId="77777777" w:rsidR="00401407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12" w:name="_Toc461049987"/>
      <w:bookmarkStart w:id="13" w:name="_Toc472974338"/>
      <w:r w:rsidRPr="0004677F">
        <w:rPr>
          <w:rFonts w:ascii="Palatino Linotype" w:hAnsi="Palatino Linotype"/>
          <w:color w:val="auto"/>
        </w:rPr>
        <w:t>Host Property Changes</w:t>
      </w:r>
      <w:bookmarkEnd w:id="12"/>
      <w:bookmarkEnd w:id="13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1530"/>
        <w:gridCol w:w="4320"/>
      </w:tblGrid>
      <w:tr w:rsidR="00401407" w:rsidRPr="009655A7" w14:paraId="72B4ADED" w14:textId="77777777" w:rsidTr="009A057F">
        <w:trPr>
          <w:trHeight w:val="300"/>
        </w:trPr>
        <w:tc>
          <w:tcPr>
            <w:tcW w:w="4225" w:type="dxa"/>
            <w:noWrap/>
          </w:tcPr>
          <w:p w14:paraId="610ECB53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noWrap/>
          </w:tcPr>
          <w:p w14:paraId="0F9B0BFE" w14:textId="77777777" w:rsidR="00401407" w:rsidRPr="009655A7" w:rsidRDefault="00401407" w:rsidP="009A057F">
            <w:pPr>
              <w:rPr>
                <w:b/>
                <w:bCs/>
              </w:rPr>
            </w:pPr>
            <w:r w:rsidRPr="009655A7">
              <w:rPr>
                <w:b/>
                <w:bCs/>
              </w:rPr>
              <w:t>Default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4320" w:type="dxa"/>
            <w:noWrap/>
          </w:tcPr>
          <w:p w14:paraId="4A27C4C6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401407" w:rsidRPr="00D67AD5" w14:paraId="7598FD42" w14:textId="77777777" w:rsidTr="009A057F">
        <w:trPr>
          <w:trHeight w:val="288"/>
        </w:trPr>
        <w:tc>
          <w:tcPr>
            <w:tcW w:w="4225" w:type="dxa"/>
            <w:noWrap/>
          </w:tcPr>
          <w:p w14:paraId="60E1512A" w14:textId="77777777" w:rsidR="00401407" w:rsidRPr="00D67AD5" w:rsidRDefault="00401407" w:rsidP="009A057F">
            <w:pPr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llc_data_ram_latency</w:t>
            </w:r>
          </w:p>
        </w:tc>
        <w:tc>
          <w:tcPr>
            <w:tcW w:w="1530" w:type="dxa"/>
            <w:noWrap/>
          </w:tcPr>
          <w:p w14:paraId="3EF3A414" w14:textId="77777777" w:rsidR="00401407" w:rsidRPr="00D67AD5" w:rsidRDefault="00401407" w:rsidP="009A05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320" w:type="dxa"/>
            <w:noWrap/>
          </w:tcPr>
          <w:p w14:paraId="23EA7BB8" w14:textId="77777777" w:rsidR="00401407" w:rsidRPr="00D67AD5" w:rsidRDefault="00401407" w:rsidP="009A057F">
            <w:pPr>
              <w:jc w:val="both"/>
              <w:rPr>
                <w:rFonts w:asciiTheme="majorHAnsi" w:hAnsiTheme="majorHAnsi"/>
              </w:rPr>
            </w:pPr>
            <w:r w:rsidRPr="008543DB">
              <w:rPr>
                <w:rFonts w:asciiTheme="majorHAnsi" w:hAnsiTheme="majorHAnsi"/>
              </w:rPr>
              <w:t xml:space="preserve">This </w:t>
            </w:r>
            <w:r>
              <w:rPr>
                <w:rFonts w:asciiTheme="majorHAnsi" w:hAnsiTheme="majorHAnsi"/>
              </w:rPr>
              <w:t>property</w:t>
            </w:r>
            <w:r w:rsidRPr="008543DB">
              <w:rPr>
                <w:rFonts w:asciiTheme="majorHAnsi" w:hAnsiTheme="majorHAnsi"/>
              </w:rPr>
              <w:t xml:space="preserve"> specifies the latency of the data array for this cache.</w:t>
            </w:r>
          </w:p>
        </w:tc>
      </w:tr>
      <w:tr w:rsidR="00401407" w:rsidRPr="00D67AD5" w14:paraId="6EC1C1C1" w14:textId="77777777" w:rsidTr="009A057F">
        <w:trPr>
          <w:trHeight w:val="288"/>
        </w:trPr>
        <w:tc>
          <w:tcPr>
            <w:tcW w:w="4225" w:type="dxa"/>
            <w:noWrap/>
          </w:tcPr>
          <w:p w14:paraId="0938CEC2" w14:textId="77777777" w:rsidR="00401407" w:rsidRPr="00D67AD5" w:rsidRDefault="00401407" w:rsidP="009A057F">
            <w:pPr>
              <w:rPr>
                <w:rFonts w:asciiTheme="majorHAnsi" w:hAnsiTheme="majorHAnsi" w:cs="Calibri"/>
                <w:color w:val="000000"/>
              </w:rPr>
            </w:pPr>
            <w:r>
              <w:rPr>
                <w:rFonts w:asciiTheme="majorHAnsi" w:hAnsiTheme="majorHAnsi" w:cs="Calibri"/>
                <w:color w:val="000000"/>
              </w:rPr>
              <w:t>llc_tag_ram_latency</w:t>
            </w:r>
          </w:p>
        </w:tc>
        <w:tc>
          <w:tcPr>
            <w:tcW w:w="1530" w:type="dxa"/>
            <w:noWrap/>
          </w:tcPr>
          <w:p w14:paraId="63608CAA" w14:textId="77777777" w:rsidR="00401407" w:rsidRPr="00D67AD5" w:rsidRDefault="00401407" w:rsidP="009A05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320" w:type="dxa"/>
            <w:noWrap/>
          </w:tcPr>
          <w:p w14:paraId="0A014BB3" w14:textId="77777777" w:rsidR="00401407" w:rsidRPr="00D67AD5" w:rsidRDefault="00401407" w:rsidP="009A057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</w:t>
            </w:r>
            <w:r w:rsidRPr="008543DB">
              <w:rPr>
                <w:rFonts w:asciiTheme="majorHAnsi" w:hAnsiTheme="majorHAnsi"/>
              </w:rPr>
              <w:t xml:space="preserve">is </w:t>
            </w:r>
            <w:r>
              <w:rPr>
                <w:rFonts w:asciiTheme="majorHAnsi" w:hAnsiTheme="majorHAnsi"/>
              </w:rPr>
              <w:t>property</w:t>
            </w:r>
            <w:r w:rsidRPr="008543DB">
              <w:rPr>
                <w:rFonts w:asciiTheme="majorHAnsi" w:hAnsiTheme="majorHAnsi"/>
              </w:rPr>
              <w:t xml:space="preserve"> specifies the latency of the tag array for this cache.</w:t>
            </w:r>
          </w:p>
        </w:tc>
      </w:tr>
    </w:tbl>
    <w:p w14:paraId="622BB06F" w14:textId="77777777" w:rsidR="00401407" w:rsidRPr="00D67AD5" w:rsidRDefault="00401407" w:rsidP="00401407">
      <w:pPr>
        <w:pStyle w:val="Heading2"/>
        <w:rPr>
          <w:color w:val="auto"/>
        </w:rPr>
      </w:pPr>
      <w:bookmarkStart w:id="14" w:name="_Toc461049988"/>
      <w:bookmarkStart w:id="15" w:name="_Toc472974339"/>
      <w:r w:rsidRPr="00D67AD5">
        <w:rPr>
          <w:color w:val="auto"/>
        </w:rPr>
        <w:t>Interface Property Changes</w:t>
      </w:r>
      <w:bookmarkEnd w:id="14"/>
      <w:bookmarkEnd w:id="15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225"/>
        <w:gridCol w:w="1530"/>
        <w:gridCol w:w="4410"/>
      </w:tblGrid>
      <w:tr w:rsidR="00401407" w:rsidRPr="009655A7" w14:paraId="2C1873CC" w14:textId="77777777" w:rsidTr="009A057F">
        <w:trPr>
          <w:trHeight w:val="300"/>
        </w:trPr>
        <w:tc>
          <w:tcPr>
            <w:tcW w:w="4225" w:type="dxa"/>
            <w:noWrap/>
          </w:tcPr>
          <w:p w14:paraId="411C7647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530" w:type="dxa"/>
            <w:noWrap/>
          </w:tcPr>
          <w:p w14:paraId="7BF26778" w14:textId="77777777" w:rsidR="00401407" w:rsidRPr="009655A7" w:rsidRDefault="00401407" w:rsidP="009A057F">
            <w:pPr>
              <w:rPr>
                <w:b/>
                <w:bCs/>
              </w:rPr>
            </w:pPr>
            <w:r w:rsidRPr="009655A7">
              <w:rPr>
                <w:b/>
                <w:bCs/>
              </w:rPr>
              <w:t>Default</w:t>
            </w:r>
            <w:r>
              <w:rPr>
                <w:b/>
                <w:bCs/>
              </w:rPr>
              <w:t xml:space="preserve"> Value</w:t>
            </w:r>
          </w:p>
        </w:tc>
        <w:tc>
          <w:tcPr>
            <w:tcW w:w="4410" w:type="dxa"/>
            <w:noWrap/>
          </w:tcPr>
          <w:p w14:paraId="1D785318" w14:textId="77777777" w:rsidR="00401407" w:rsidRPr="009655A7" w:rsidRDefault="00401407" w:rsidP="009A057F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401407" w:rsidRPr="009655A7" w14:paraId="5AEA3378" w14:textId="77777777" w:rsidTr="009A057F">
        <w:trPr>
          <w:trHeight w:val="288"/>
        </w:trPr>
        <w:tc>
          <w:tcPr>
            <w:tcW w:w="4225" w:type="dxa"/>
            <w:noWrap/>
          </w:tcPr>
          <w:p w14:paraId="411F15CD" w14:textId="77777777" w:rsidR="00401407" w:rsidRPr="00855A92" w:rsidRDefault="00401407" w:rsidP="009A057F">
            <w:pPr>
              <w:rPr>
                <w:rFonts w:asciiTheme="majorHAnsi" w:hAnsiTheme="majorHAnsi" w:cs="Calibri"/>
                <w:color w:val="000000"/>
              </w:rPr>
            </w:pPr>
            <w:proofErr w:type="spellStart"/>
            <w:r>
              <w:rPr>
                <w:rFonts w:asciiTheme="majorHAnsi" w:hAnsiTheme="majorHAnsi" w:cs="Calibri"/>
                <w:color w:val="000000"/>
              </w:rPr>
              <w:t>cmi_supports_interleaved_response</w:t>
            </w:r>
            <w:proofErr w:type="spellEnd"/>
          </w:p>
        </w:tc>
        <w:tc>
          <w:tcPr>
            <w:tcW w:w="1530" w:type="dxa"/>
            <w:noWrap/>
          </w:tcPr>
          <w:p w14:paraId="60943841" w14:textId="77777777" w:rsidR="00401407" w:rsidRPr="00855A92" w:rsidRDefault="00401407" w:rsidP="009A05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4410" w:type="dxa"/>
            <w:noWrap/>
          </w:tcPr>
          <w:p w14:paraId="313F0D33" w14:textId="77777777" w:rsidR="00401407" w:rsidRPr="00855A92" w:rsidRDefault="00401407" w:rsidP="009A057F">
            <w:pPr>
              <w:pStyle w:val="Body"/>
              <w:rPr>
                <w:rFonts w:asciiTheme="majorHAnsi" w:hAnsiTheme="majorHAnsi"/>
              </w:rPr>
            </w:pPr>
            <w:r w:rsidRPr="00456FC9">
              <w:rPr>
                <w:rFonts w:asciiTheme="majorHAnsi" w:hAnsiTheme="majorHAnsi"/>
              </w:rPr>
              <w:t>For CMIM bridges, indicates whether the CMI VC can accept interleaved read data completion responses.</w:t>
            </w:r>
          </w:p>
        </w:tc>
      </w:tr>
    </w:tbl>
    <w:p w14:paraId="65C5698B" w14:textId="77777777" w:rsidR="00401407" w:rsidRPr="0004677F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16" w:name="_Toc461049989"/>
      <w:bookmarkStart w:id="17" w:name="_Toc472974340"/>
      <w:r w:rsidRPr="0004677F">
        <w:rPr>
          <w:rFonts w:ascii="Palatino Linotype" w:hAnsi="Palatino Linotype"/>
          <w:color w:val="auto"/>
        </w:rPr>
        <w:t>Link Property Changes</w:t>
      </w:r>
      <w:bookmarkEnd w:id="16"/>
      <w:bookmarkEnd w:id="17"/>
    </w:p>
    <w:p w14:paraId="616EE95D" w14:textId="77777777" w:rsidR="00401407" w:rsidRPr="00B40B5A" w:rsidRDefault="00401407" w:rsidP="00401407">
      <w:r>
        <w:rPr>
          <w:rFonts w:ascii="Palatino Linotype" w:hAnsi="Palatino Linotype"/>
        </w:rPr>
        <w:fldChar w:fldCharType="begin"/>
      </w:r>
      <w:r>
        <w:rPr>
          <w:rFonts w:ascii="Palatino Linotype" w:hAnsi="Palatino Linotype"/>
        </w:rPr>
        <w:instrText xml:space="preserve"> LINK Excel.Sheet.12 C:\\Users\\skasarab\\Downloads\\PropertyDiffs-1907-release.xlsx Link!R2C1:R3C3 \a \f 5 \h  \* MERGEFORMAT </w:instrText>
      </w:r>
      <w:r>
        <w:rPr>
          <w:rFonts w:ascii="Palatino Linotype" w:hAnsi="Palatino Linotype"/>
        </w:rPr>
        <w:fldChar w:fldCharType="end"/>
      </w:r>
      <w:r>
        <w:rPr>
          <w:rFonts w:ascii="Palatino Linotype" w:hAnsi="Palatino Linotype"/>
        </w:rPr>
        <w:t>None</w:t>
      </w:r>
    </w:p>
    <w:p w14:paraId="76FB75E4" w14:textId="77777777" w:rsidR="00401407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18" w:name="_Toc461049990"/>
      <w:bookmarkStart w:id="19" w:name="_Toc472974341"/>
      <w:r w:rsidRPr="0004677F">
        <w:rPr>
          <w:rFonts w:ascii="Palatino Linotype" w:hAnsi="Palatino Linotype"/>
          <w:color w:val="auto"/>
        </w:rPr>
        <w:lastRenderedPageBreak/>
        <w:t>Router Property Changes</w:t>
      </w:r>
      <w:bookmarkEnd w:id="18"/>
      <w:bookmarkEnd w:id="19"/>
    </w:p>
    <w:p w14:paraId="27E69541" w14:textId="77777777" w:rsidR="00401407" w:rsidRPr="00827B41" w:rsidRDefault="00401407" w:rsidP="00401407">
      <w:r>
        <w:t>None</w:t>
      </w:r>
    </w:p>
    <w:p w14:paraId="53F8A7F8" w14:textId="77777777" w:rsidR="00401407" w:rsidRPr="0004677F" w:rsidRDefault="00401407" w:rsidP="00401407">
      <w:pPr>
        <w:pStyle w:val="Heading2"/>
        <w:rPr>
          <w:rFonts w:ascii="Palatino Linotype" w:hAnsi="Palatino Linotype"/>
          <w:color w:val="auto"/>
        </w:rPr>
      </w:pPr>
      <w:bookmarkStart w:id="20" w:name="_Toc461049991"/>
      <w:bookmarkStart w:id="21" w:name="_Toc472974342"/>
      <w:r w:rsidRPr="0004677F">
        <w:rPr>
          <w:rFonts w:ascii="Palatino Linotype" w:hAnsi="Palatino Linotype"/>
          <w:color w:val="auto"/>
        </w:rPr>
        <w:t>VC Property Changes</w:t>
      </w:r>
      <w:bookmarkEnd w:id="20"/>
      <w:bookmarkEnd w:id="21"/>
    </w:p>
    <w:bookmarkEnd w:id="2"/>
    <w:p w14:paraId="0550A845" w14:textId="77777777" w:rsidR="00401407" w:rsidRDefault="00401407" w:rsidP="0040140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14:paraId="02540403" w14:textId="77777777" w:rsidR="00401407" w:rsidRDefault="00401407" w:rsidP="00401407">
      <w:pPr>
        <w:pStyle w:val="Heading2"/>
      </w:pPr>
      <w:r>
        <w:t>CSB Storage Property Changes</w:t>
      </w:r>
    </w:p>
    <w:p w14:paraId="6C2A8941" w14:textId="77777777" w:rsidR="00401407" w:rsidRDefault="00401407" w:rsidP="00401407">
      <w:r>
        <w:t>None</w:t>
      </w:r>
    </w:p>
    <w:p w14:paraId="36E07C3A" w14:textId="77777777" w:rsidR="00401407" w:rsidRDefault="00401407" w:rsidP="00401407">
      <w:pPr>
        <w:sectPr w:rsidR="00401407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5D0A7FFB" w14:textId="77777777" w:rsidR="00401407" w:rsidRPr="007D73E8" w:rsidRDefault="00401407" w:rsidP="00401407"/>
    <w:bookmarkEnd w:id="3"/>
    <w:p w14:paraId="62EDD069" w14:textId="77777777" w:rsidR="007D73E8" w:rsidRPr="00401407" w:rsidRDefault="007D73E8" w:rsidP="00401407"/>
    <w:sectPr w:rsidR="007D73E8" w:rsidRPr="00401407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0A60F" w14:textId="77777777" w:rsidR="00D64054" w:rsidRDefault="00D64054">
      <w:r>
        <w:separator/>
      </w:r>
    </w:p>
    <w:p w14:paraId="372F75E6" w14:textId="77777777" w:rsidR="00D64054" w:rsidRDefault="00D64054"/>
  </w:endnote>
  <w:endnote w:type="continuationSeparator" w:id="0">
    <w:p w14:paraId="2B26F0A8" w14:textId="77777777" w:rsidR="00D64054" w:rsidRDefault="00D64054">
      <w:r>
        <w:continuationSeparator/>
      </w:r>
    </w:p>
    <w:p w14:paraId="0FEB2797" w14:textId="77777777" w:rsidR="00D64054" w:rsidRDefault="00D640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B582E" w14:textId="77777777" w:rsidR="00401407" w:rsidRPr="003D7433" w:rsidRDefault="00401407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6432" behindDoc="0" locked="0" layoutInCell="1" allowOverlap="1" wp14:anchorId="1A83BFD7" wp14:editId="4B6349A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0101E" id="Line 1100" o:spid="_x0000_s1026" style="position:absolute;z-index:2516664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GNS8&#10;o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5D501663" w:rsidR="00982290" w:rsidRPr="003D7433" w:rsidRDefault="00982290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48BC57C6" wp14:editId="7C8033C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6A27F" id="Line 1100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18A1" w14:textId="77777777" w:rsidR="00D64054" w:rsidRDefault="00D64054">
      <w:r>
        <w:separator/>
      </w:r>
    </w:p>
    <w:p w14:paraId="263AA48B" w14:textId="77777777" w:rsidR="00D64054" w:rsidRDefault="00D64054"/>
  </w:footnote>
  <w:footnote w:type="continuationSeparator" w:id="0">
    <w:p w14:paraId="1DA278F3" w14:textId="77777777" w:rsidR="00D64054" w:rsidRDefault="00D64054">
      <w:r>
        <w:continuationSeparator/>
      </w:r>
    </w:p>
    <w:p w14:paraId="7D06B1EE" w14:textId="77777777" w:rsidR="00D64054" w:rsidRDefault="00D640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CA1E3" w14:textId="77777777" w:rsidR="00401407" w:rsidRPr="003D7433" w:rsidRDefault="00401407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6D4E90BD" wp14:editId="7A138F0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05563" id="Line 1101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J5tc48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5408" behindDoc="1" locked="0" layoutInCell="1" allowOverlap="1" wp14:anchorId="5B620C60" wp14:editId="5B81B82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373B" w14:textId="77777777" w:rsidR="00401407" w:rsidRDefault="00401407">
    <w:pPr>
      <w:pStyle w:val="Header"/>
    </w:pPr>
  </w:p>
  <w:p w14:paraId="5404B5F0" w14:textId="77777777" w:rsidR="00401407" w:rsidRDefault="00401407">
    <w:pPr>
      <w:pStyle w:val="Header"/>
    </w:pPr>
  </w:p>
  <w:p w14:paraId="53C49A6B" w14:textId="77777777" w:rsidR="00401407" w:rsidRDefault="00401407">
    <w:pPr>
      <w:pStyle w:val="Header"/>
    </w:pPr>
  </w:p>
  <w:p w14:paraId="3864D9BB" w14:textId="77777777" w:rsidR="00401407" w:rsidRDefault="00401407">
    <w:pPr>
      <w:pStyle w:val="Header"/>
    </w:pPr>
  </w:p>
  <w:p w14:paraId="1001B321" w14:textId="77777777" w:rsidR="00401407" w:rsidRDefault="004014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27E4E397" w:rsidR="00982290" w:rsidRPr="003D7433" w:rsidRDefault="00982290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D21B742" wp14:editId="61800AF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8EF5C" id="Line 110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0288" behindDoc="1" locked="0" layoutInCell="1" allowOverlap="1" wp14:anchorId="08314AC0" wp14:editId="660D50E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82290" w:rsidRDefault="00982290">
    <w:pPr>
      <w:pStyle w:val="Header"/>
    </w:pPr>
  </w:p>
  <w:p w14:paraId="376C616C" w14:textId="77777777" w:rsidR="00982290" w:rsidRDefault="00982290">
    <w:pPr>
      <w:pStyle w:val="Header"/>
    </w:pPr>
  </w:p>
  <w:p w14:paraId="53E24699" w14:textId="77777777" w:rsidR="00982290" w:rsidRDefault="00982290">
    <w:pPr>
      <w:pStyle w:val="Header"/>
    </w:pPr>
  </w:p>
  <w:p w14:paraId="2ABB37AC" w14:textId="77777777" w:rsidR="00982290" w:rsidRDefault="00982290">
    <w:pPr>
      <w:pStyle w:val="Header"/>
    </w:pPr>
  </w:p>
  <w:p w14:paraId="6B537E06" w14:textId="77777777" w:rsidR="00982290" w:rsidRDefault="00982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5C0C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4C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B17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5C2A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4D1B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AC6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4DB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0B3C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5FD2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7E7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AD5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4D6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448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57B"/>
    <w:rsid w:val="001B3662"/>
    <w:rsid w:val="001B3E9C"/>
    <w:rsid w:val="001B3FC4"/>
    <w:rsid w:val="001B40A8"/>
    <w:rsid w:val="001B43D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AFC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A9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4F6C"/>
    <w:rsid w:val="001E5285"/>
    <w:rsid w:val="001E5393"/>
    <w:rsid w:val="001E55AA"/>
    <w:rsid w:val="001E5A5F"/>
    <w:rsid w:val="001E6737"/>
    <w:rsid w:val="001E6DB6"/>
    <w:rsid w:val="001E73B9"/>
    <w:rsid w:val="001E76AB"/>
    <w:rsid w:val="001E776E"/>
    <w:rsid w:val="001E794A"/>
    <w:rsid w:val="001E7AA8"/>
    <w:rsid w:val="001E7CDB"/>
    <w:rsid w:val="001E7EAF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720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575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5FA3"/>
    <w:rsid w:val="00236684"/>
    <w:rsid w:val="002367C9"/>
    <w:rsid w:val="00236936"/>
    <w:rsid w:val="00236B91"/>
    <w:rsid w:val="002370DD"/>
    <w:rsid w:val="00237230"/>
    <w:rsid w:val="00237655"/>
    <w:rsid w:val="002376F9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CE8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0C5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D54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0ED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9CD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C6"/>
    <w:rsid w:val="002C577A"/>
    <w:rsid w:val="002C581E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9AA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3C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0D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0B"/>
    <w:rsid w:val="00377787"/>
    <w:rsid w:val="003779A8"/>
    <w:rsid w:val="00377CF0"/>
    <w:rsid w:val="00377D63"/>
    <w:rsid w:val="00377DA5"/>
    <w:rsid w:val="00377F51"/>
    <w:rsid w:val="003801E9"/>
    <w:rsid w:val="003804CA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A7C3F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27D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433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3D6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07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959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4DCD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B83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1E48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42E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6A6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E8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003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11E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712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5D10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34DD"/>
    <w:rsid w:val="004F4235"/>
    <w:rsid w:val="004F42B6"/>
    <w:rsid w:val="004F433B"/>
    <w:rsid w:val="004F4349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869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E44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289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5BA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7AB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A01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8F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342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B2F"/>
    <w:rsid w:val="00620186"/>
    <w:rsid w:val="0062058E"/>
    <w:rsid w:val="00620887"/>
    <w:rsid w:val="0062094B"/>
    <w:rsid w:val="00620BF3"/>
    <w:rsid w:val="00620C1B"/>
    <w:rsid w:val="00620CD9"/>
    <w:rsid w:val="00620DA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275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706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77761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664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C76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4D8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0AC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CB6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CAC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673"/>
    <w:rsid w:val="00781C2F"/>
    <w:rsid w:val="00781D40"/>
    <w:rsid w:val="0078209C"/>
    <w:rsid w:val="0078257D"/>
    <w:rsid w:val="007828FF"/>
    <w:rsid w:val="00782C65"/>
    <w:rsid w:val="00782F30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249"/>
    <w:rsid w:val="00785412"/>
    <w:rsid w:val="00785B64"/>
    <w:rsid w:val="00785F3F"/>
    <w:rsid w:val="007860B0"/>
    <w:rsid w:val="00786214"/>
    <w:rsid w:val="007862EC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C7C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2AC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C8C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1D81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56C7"/>
    <w:rsid w:val="007D6194"/>
    <w:rsid w:val="007D6780"/>
    <w:rsid w:val="007D69C1"/>
    <w:rsid w:val="007D6FD2"/>
    <w:rsid w:val="007D73E8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A4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0AF8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B41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AE8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3C4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1AB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96F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73F"/>
    <w:rsid w:val="008C1A13"/>
    <w:rsid w:val="008C1A8E"/>
    <w:rsid w:val="008C1C41"/>
    <w:rsid w:val="008C22F4"/>
    <w:rsid w:val="008C2807"/>
    <w:rsid w:val="008C293A"/>
    <w:rsid w:val="008C2A76"/>
    <w:rsid w:val="008C2EC8"/>
    <w:rsid w:val="008C300A"/>
    <w:rsid w:val="008C36F6"/>
    <w:rsid w:val="008C3FA2"/>
    <w:rsid w:val="008C410A"/>
    <w:rsid w:val="008C422C"/>
    <w:rsid w:val="008C4283"/>
    <w:rsid w:val="008C4285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3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577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17AC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94E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4E97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A7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90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6CCB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891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E1D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8C7"/>
    <w:rsid w:val="009E196E"/>
    <w:rsid w:val="009E19BC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4FE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7E0"/>
    <w:rsid w:val="00A57C61"/>
    <w:rsid w:val="00A60008"/>
    <w:rsid w:val="00A60730"/>
    <w:rsid w:val="00A60757"/>
    <w:rsid w:val="00A6083E"/>
    <w:rsid w:val="00A60E06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9B9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0A7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1D3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290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E41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161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6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2E0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E11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B5A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5E9C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B29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1EB7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4C9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6F49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95B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B7F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6B4C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3FA5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B3A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4E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36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392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4CD6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55A"/>
    <w:rsid w:val="00D5488C"/>
    <w:rsid w:val="00D54CDE"/>
    <w:rsid w:val="00D54D19"/>
    <w:rsid w:val="00D5514A"/>
    <w:rsid w:val="00D553AB"/>
    <w:rsid w:val="00D5559E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54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701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03C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1D5E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921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37D7A"/>
    <w:rsid w:val="00E4002B"/>
    <w:rsid w:val="00E4011D"/>
    <w:rsid w:val="00E40766"/>
    <w:rsid w:val="00E40B9E"/>
    <w:rsid w:val="00E40D99"/>
    <w:rsid w:val="00E412C7"/>
    <w:rsid w:val="00E4151B"/>
    <w:rsid w:val="00E418D3"/>
    <w:rsid w:val="00E41ABE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3E6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42A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3DC9"/>
    <w:rsid w:val="00EF403D"/>
    <w:rsid w:val="00EF5161"/>
    <w:rsid w:val="00EF5636"/>
    <w:rsid w:val="00EF56FE"/>
    <w:rsid w:val="00EF576C"/>
    <w:rsid w:val="00EF5868"/>
    <w:rsid w:val="00EF5A81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B02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BDC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514"/>
    <w:rsid w:val="00F66D0F"/>
    <w:rsid w:val="00F66E64"/>
    <w:rsid w:val="00F66E98"/>
    <w:rsid w:val="00F672C1"/>
    <w:rsid w:val="00F67548"/>
    <w:rsid w:val="00F6765C"/>
    <w:rsid w:val="00F67723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2E0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9AC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9">
    <w:name w:val="Body9"/>
    <w:qFormat/>
    <w:rsid w:val="00DC1D5E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DC1D5E"/>
    <w:pPr>
      <w:jc w:val="center"/>
    </w:pPr>
  </w:style>
  <w:style w:type="paragraph" w:customStyle="1" w:styleId="Exar24">
    <w:name w:val="Exar24"/>
    <w:basedOn w:val="Footer"/>
    <w:rsid w:val="00DC1D5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9">
    <w:name w:val="FooterCentered29"/>
    <w:basedOn w:val="Footer"/>
    <w:rsid w:val="00C9595B"/>
    <w:pPr>
      <w:jc w:val="center"/>
    </w:pPr>
  </w:style>
  <w:style w:type="paragraph" w:customStyle="1" w:styleId="Exar29">
    <w:name w:val="Exar29"/>
    <w:basedOn w:val="Footer"/>
    <w:rsid w:val="00C9595B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3D7433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BF90-A74F-4144-A178-B92860F3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1736</TotalTime>
  <Pages>4</Pages>
  <Words>342</Words>
  <Characters>1981</Characters>
  <Application>Microsoft Office Word</Application>
  <DocSecurity>0</DocSecurity>
  <Lines>104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2250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60</cp:revision>
  <cp:lastPrinted>2016-05-02T02:14:00Z</cp:lastPrinted>
  <dcterms:created xsi:type="dcterms:W3CDTF">2016-09-07T15:45:00Z</dcterms:created>
  <dcterms:modified xsi:type="dcterms:W3CDTF">2020-01-27T18:57:00Z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ccae787d-e2f3-4564-a766-01e8567e3eb6</vt:lpwstr>
  </property>
  <property fmtid="{D5CDD505-2E9C-101B-9397-08002B2CF9AE}" pid="12" name="CTP_TimeStamp">
    <vt:lpwstr>2020-01-27 18:57:47Z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