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0D9F" w14:textId="77777777" w:rsidR="007862EC" w:rsidRPr="0004677F" w:rsidRDefault="007862EC" w:rsidP="007862EC">
      <w:pPr>
        <w:pStyle w:val="Heading1"/>
        <w:rPr>
          <w:rFonts w:ascii="Palatino Linotype" w:hAnsi="Palatino Linotype"/>
        </w:rPr>
      </w:pPr>
      <w:bookmarkStart w:id="0" w:name="_Toc461049982"/>
      <w:bookmarkStart w:id="1" w:name="_Toc472974333"/>
      <w:bookmarkStart w:id="2" w:name="_Toc426230138"/>
      <w:r w:rsidRPr="0004677F">
        <w:rPr>
          <w:rFonts w:ascii="Palatino Linotype" w:hAnsi="Palatino Linotype"/>
        </w:rPr>
        <w:t>Changes to Commands and Properties</w:t>
      </w:r>
      <w:bookmarkEnd w:id="0"/>
      <w:bookmarkEnd w:id="1"/>
    </w:p>
    <w:p w14:paraId="23536747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3" w:name="_Toc461049983"/>
      <w:bookmarkStart w:id="4" w:name="_Toc472974334"/>
      <w:r w:rsidRPr="0004677F">
        <w:rPr>
          <w:rFonts w:ascii="Palatino Linotype" w:hAnsi="Palatino Linotype"/>
          <w:color w:val="auto"/>
        </w:rPr>
        <w:t>Command Changes</w:t>
      </w:r>
      <w:bookmarkEnd w:id="3"/>
      <w:bookmarkEnd w:id="4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405"/>
        <w:gridCol w:w="5670"/>
      </w:tblGrid>
      <w:tr w:rsidR="007862EC" w:rsidRPr="00F812E0" w14:paraId="15935E70" w14:textId="77777777" w:rsidTr="00573869">
        <w:trPr>
          <w:trHeight w:val="360"/>
        </w:trPr>
        <w:tc>
          <w:tcPr>
            <w:tcW w:w="4405" w:type="dxa"/>
            <w:noWrap/>
            <w:hideMark/>
          </w:tcPr>
          <w:p w14:paraId="51ADD274" w14:textId="77777777" w:rsidR="007862EC" w:rsidRPr="00F812E0" w:rsidRDefault="007862EC" w:rsidP="001E73B9">
            <w:pPr>
              <w:rPr>
                <w:rFonts w:asciiTheme="majorHAnsi" w:hAnsiTheme="majorHAnsi"/>
                <w:b/>
                <w:bCs/>
              </w:rPr>
            </w:pPr>
            <w:r w:rsidRPr="00F812E0">
              <w:rPr>
                <w:rFonts w:asciiTheme="majorHAnsi" w:hAnsiTheme="majorHAnsi"/>
                <w:b/>
              </w:rPr>
              <w:t>Command Name</w:t>
            </w:r>
          </w:p>
        </w:tc>
        <w:tc>
          <w:tcPr>
            <w:tcW w:w="5670" w:type="dxa"/>
            <w:noWrap/>
            <w:hideMark/>
          </w:tcPr>
          <w:p w14:paraId="146F86CF" w14:textId="77777777" w:rsidR="007862EC" w:rsidRPr="00F812E0" w:rsidRDefault="007862EC" w:rsidP="001E73B9">
            <w:pPr>
              <w:rPr>
                <w:rFonts w:asciiTheme="majorHAnsi" w:hAnsiTheme="majorHAnsi"/>
                <w:b/>
                <w:bCs/>
              </w:rPr>
            </w:pPr>
            <w:r w:rsidRPr="00F812E0">
              <w:rPr>
                <w:rFonts w:asciiTheme="majorHAnsi" w:hAnsiTheme="majorHAnsi"/>
                <w:b/>
              </w:rPr>
              <w:t>Comment</w:t>
            </w:r>
          </w:p>
        </w:tc>
      </w:tr>
      <w:tr w:rsidR="008651AB" w:rsidRPr="00F812E0" w14:paraId="0172FB74" w14:textId="77777777" w:rsidTr="00573869">
        <w:trPr>
          <w:trHeight w:val="360"/>
        </w:trPr>
        <w:tc>
          <w:tcPr>
            <w:tcW w:w="4405" w:type="dxa"/>
            <w:noWrap/>
          </w:tcPr>
          <w:p w14:paraId="725C242B" w14:textId="517A2E93" w:rsidR="008651AB" w:rsidRPr="00F812E0" w:rsidRDefault="008651AB" w:rsidP="001E73B9">
            <w:pPr>
              <w:rPr>
                <w:rFonts w:asciiTheme="majorHAnsi" w:hAnsiTheme="majorHAnsi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list_node_regbus_layers</w:t>
            </w:r>
            <w:proofErr w:type="spellEnd"/>
          </w:p>
        </w:tc>
        <w:tc>
          <w:tcPr>
            <w:tcW w:w="5670" w:type="dxa"/>
            <w:noWrap/>
          </w:tcPr>
          <w:p w14:paraId="53E48945" w14:textId="6165F749" w:rsidR="008651AB" w:rsidRPr="00F812E0" w:rsidRDefault="00F812E0" w:rsidP="00416959">
            <w:pPr>
              <w:jc w:val="both"/>
              <w:rPr>
                <w:rFonts w:asciiTheme="majorHAnsi" w:hAnsiTheme="majorHAnsi"/>
              </w:rPr>
            </w:pPr>
            <w:r w:rsidRPr="00F812E0">
              <w:rPr>
                <w:rFonts w:asciiTheme="majorHAnsi" w:hAnsiTheme="majorHAnsi"/>
              </w:rPr>
              <w:t>This command lists the association between nodes and regbus layer, with all elements (bridges, routers, and agents) associated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5260C33F" w14:textId="77777777" w:rsidTr="00573869">
        <w:trPr>
          <w:trHeight w:val="360"/>
        </w:trPr>
        <w:tc>
          <w:tcPr>
            <w:tcW w:w="4405" w:type="dxa"/>
            <w:noWrap/>
          </w:tcPr>
          <w:p w14:paraId="0E26A0DF" w14:textId="72760349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reset_node_regbus_layer</w:t>
            </w:r>
            <w:proofErr w:type="spellEnd"/>
          </w:p>
        </w:tc>
        <w:tc>
          <w:tcPr>
            <w:tcW w:w="5670" w:type="dxa"/>
            <w:noWrap/>
          </w:tcPr>
          <w:p w14:paraId="7AF6351E" w14:textId="40EC50A4" w:rsidR="008651AB" w:rsidRPr="00F812E0" w:rsidRDefault="00F812E0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Pr="00F812E0">
              <w:rPr>
                <w:rFonts w:asciiTheme="majorHAnsi" w:hAnsiTheme="majorHAnsi"/>
              </w:rPr>
              <w:t>his command resets the association between regbus layer and node back to default value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65A85201" w14:textId="77777777" w:rsidTr="00573869">
        <w:trPr>
          <w:trHeight w:val="360"/>
        </w:trPr>
        <w:tc>
          <w:tcPr>
            <w:tcW w:w="4405" w:type="dxa"/>
            <w:noWrap/>
          </w:tcPr>
          <w:p w14:paraId="57E46519" w14:textId="3BA56486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set_node_regbus_layer</w:t>
            </w:r>
            <w:proofErr w:type="spellEnd"/>
          </w:p>
        </w:tc>
        <w:tc>
          <w:tcPr>
            <w:tcW w:w="5670" w:type="dxa"/>
            <w:noWrap/>
          </w:tcPr>
          <w:p w14:paraId="70075DD9" w14:textId="28EC816D" w:rsidR="008651AB" w:rsidRPr="00F812E0" w:rsidRDefault="00F812E0" w:rsidP="00416959">
            <w:pPr>
              <w:jc w:val="both"/>
              <w:rPr>
                <w:rFonts w:asciiTheme="majorHAnsi" w:hAnsiTheme="majorHAnsi"/>
              </w:rPr>
            </w:pPr>
            <w:r w:rsidRPr="00F812E0">
              <w:rPr>
                <w:rFonts w:asciiTheme="majorHAnsi" w:hAnsiTheme="majorHAnsi"/>
              </w:rPr>
              <w:t>This command changes the regbus layer associated to one or more nodes specified in the list.</w:t>
            </w:r>
          </w:p>
        </w:tc>
      </w:tr>
      <w:tr w:rsidR="008651AB" w:rsidRPr="00F812E0" w14:paraId="1F10A753" w14:textId="77777777" w:rsidTr="00573869">
        <w:trPr>
          <w:trHeight w:val="360"/>
        </w:trPr>
        <w:tc>
          <w:tcPr>
            <w:tcW w:w="4405" w:type="dxa"/>
            <w:noWrap/>
          </w:tcPr>
          <w:p w14:paraId="184EA945" w14:textId="0E461C45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query_links</w:t>
            </w:r>
            <w:proofErr w:type="spellEnd"/>
          </w:p>
        </w:tc>
        <w:tc>
          <w:tcPr>
            <w:tcW w:w="5670" w:type="dxa"/>
            <w:noWrap/>
          </w:tcPr>
          <w:p w14:paraId="1CC079E2" w14:textId="6958DAE7" w:rsidR="008651AB" w:rsidRPr="00F812E0" w:rsidRDefault="00F812E0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is used to list the links with certain properties between rtl groups. Note that links with ILDC aren’t listed.</w:t>
            </w:r>
          </w:p>
        </w:tc>
      </w:tr>
      <w:tr w:rsidR="008651AB" w:rsidRPr="00F812E0" w14:paraId="0EEE76EA" w14:textId="77777777" w:rsidTr="00573869">
        <w:trPr>
          <w:trHeight w:val="360"/>
        </w:trPr>
        <w:tc>
          <w:tcPr>
            <w:tcW w:w="4405" w:type="dxa"/>
            <w:noWrap/>
          </w:tcPr>
          <w:p w14:paraId="051E7C35" w14:textId="15FE9020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enter_scf_mode</w:t>
            </w:r>
            <w:proofErr w:type="spellEnd"/>
          </w:p>
        </w:tc>
        <w:tc>
          <w:tcPr>
            <w:tcW w:w="5670" w:type="dxa"/>
            <w:noWrap/>
          </w:tcPr>
          <w:p w14:paraId="7D8FC110" w14:textId="2BAA028C" w:rsidR="008651AB" w:rsidRPr="00F812E0" w:rsidRDefault="00F812E0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is used to reset the mesh and enter into SCF NocStudio Mode.</w:t>
            </w:r>
          </w:p>
        </w:tc>
      </w:tr>
      <w:tr w:rsidR="008651AB" w:rsidRPr="00F812E0" w14:paraId="4368CA60" w14:textId="77777777" w:rsidTr="00573869">
        <w:trPr>
          <w:trHeight w:val="360"/>
        </w:trPr>
        <w:tc>
          <w:tcPr>
            <w:tcW w:w="4405" w:type="dxa"/>
            <w:noWrap/>
          </w:tcPr>
          <w:p w14:paraId="53DE86D6" w14:textId="4603C1AF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r w:rsidRPr="00F812E0">
              <w:rPr>
                <w:rFonts w:asciiTheme="majorHAnsi" w:eastAsia="Times New Roman" w:hAnsiTheme="majorHAnsi" w:cs="Calibri"/>
                <w:color w:val="000000"/>
              </w:rPr>
              <w:t>set_initial_e2e_credits</w:t>
            </w:r>
          </w:p>
        </w:tc>
        <w:tc>
          <w:tcPr>
            <w:tcW w:w="5670" w:type="dxa"/>
            <w:noWrap/>
          </w:tcPr>
          <w:p w14:paraId="1AE7A31A" w14:textId="35811554" w:rsidR="008651AB" w:rsidRPr="00F812E0" w:rsidRDefault="00F812E0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is used to s</w:t>
            </w:r>
            <w:r w:rsidRPr="00F812E0">
              <w:rPr>
                <w:rFonts w:asciiTheme="majorHAnsi" w:hAnsiTheme="majorHAnsi"/>
              </w:rPr>
              <w:t>etup credited flows from s</w:t>
            </w:r>
            <w:r>
              <w:rPr>
                <w:rFonts w:asciiTheme="majorHAnsi" w:hAnsiTheme="majorHAnsi"/>
              </w:rPr>
              <w:t>ource</w:t>
            </w:r>
            <w:r w:rsidRPr="00F812E0">
              <w:rPr>
                <w:rFonts w:asciiTheme="majorHAnsi" w:hAnsiTheme="majorHAnsi"/>
              </w:rPr>
              <w:t xml:space="preserve"> to</w:t>
            </w:r>
            <w:r>
              <w:rPr>
                <w:rFonts w:asciiTheme="majorHAnsi" w:hAnsiTheme="majorHAnsi"/>
              </w:rPr>
              <w:t xml:space="preserve"> a</w:t>
            </w:r>
            <w:r w:rsidRPr="00F812E0">
              <w:rPr>
                <w:rFonts w:asciiTheme="majorHAnsi" w:hAnsiTheme="majorHAnsi"/>
              </w:rPr>
              <w:t xml:space="preserve"> dest</w:t>
            </w:r>
            <w:r>
              <w:rPr>
                <w:rFonts w:asciiTheme="majorHAnsi" w:hAnsiTheme="majorHAnsi"/>
              </w:rPr>
              <w:t>ination</w:t>
            </w:r>
            <w:r w:rsidRPr="00F812E0">
              <w:rPr>
                <w:rFonts w:asciiTheme="majorHAnsi" w:hAnsiTheme="majorHAnsi"/>
              </w:rPr>
              <w:t xml:space="preserve"> on an interface.</w:t>
            </w:r>
          </w:p>
        </w:tc>
      </w:tr>
      <w:tr w:rsidR="008651AB" w:rsidRPr="00F812E0" w14:paraId="520A8AB3" w14:textId="77777777" w:rsidTr="00573869">
        <w:trPr>
          <w:trHeight w:val="360"/>
        </w:trPr>
        <w:tc>
          <w:tcPr>
            <w:tcW w:w="4405" w:type="dxa"/>
            <w:noWrap/>
          </w:tcPr>
          <w:p w14:paraId="6353EAC6" w14:textId="192A3609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set_credits</w:t>
            </w:r>
            <w:proofErr w:type="spellEnd"/>
          </w:p>
        </w:tc>
        <w:tc>
          <w:tcPr>
            <w:tcW w:w="5670" w:type="dxa"/>
            <w:noWrap/>
          </w:tcPr>
          <w:p w14:paraId="25629568" w14:textId="52571E83" w:rsidR="008651AB" w:rsidRPr="00F812E0" w:rsidRDefault="00F812E0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is used to s</w:t>
            </w:r>
            <w:r w:rsidRPr="00F812E0">
              <w:rPr>
                <w:rFonts w:asciiTheme="majorHAnsi" w:hAnsiTheme="majorHAnsi"/>
              </w:rPr>
              <w:t xml:space="preserve">etup credited flows from a source to a destination where the source is a </w:t>
            </w:r>
            <w:proofErr w:type="spellStart"/>
            <w:r w:rsidRPr="00F812E0">
              <w:rPr>
                <w:rFonts w:asciiTheme="majorHAnsi" w:hAnsiTheme="majorHAnsi"/>
              </w:rPr>
              <w:t>MeshStop</w:t>
            </w:r>
            <w:proofErr w:type="spellEnd"/>
            <w:r w:rsidRPr="00F812E0">
              <w:rPr>
                <w:rFonts w:asciiTheme="majorHAnsi" w:hAnsiTheme="majorHAnsi"/>
              </w:rPr>
              <w:t xml:space="preserve">/SBO/TG and the </w:t>
            </w:r>
            <w:proofErr w:type="spellStart"/>
            <w:r w:rsidRPr="00F812E0">
              <w:rPr>
                <w:rFonts w:asciiTheme="majorHAnsi" w:hAnsiTheme="majorHAnsi"/>
              </w:rPr>
              <w:t>destnation</w:t>
            </w:r>
            <w:proofErr w:type="spellEnd"/>
            <w:r w:rsidRPr="00F812E0">
              <w:rPr>
                <w:rFonts w:asciiTheme="majorHAnsi" w:hAnsiTheme="majorHAnsi"/>
              </w:rPr>
              <w:t xml:space="preserve"> is a </w:t>
            </w:r>
            <w:proofErr w:type="spellStart"/>
            <w:r w:rsidRPr="00F812E0">
              <w:rPr>
                <w:rFonts w:asciiTheme="majorHAnsi" w:hAnsiTheme="majorHAnsi"/>
              </w:rPr>
              <w:t>MeshStop</w:t>
            </w:r>
            <w:proofErr w:type="spellEnd"/>
            <w:r w:rsidRPr="00F812E0">
              <w:rPr>
                <w:rFonts w:asciiTheme="majorHAnsi" w:hAnsiTheme="majorHAnsi"/>
              </w:rPr>
              <w:t>/SBO/TG/</w:t>
            </w:r>
            <w:r w:rsidR="00416959">
              <w:rPr>
                <w:rFonts w:asciiTheme="majorHAnsi" w:hAnsiTheme="majorHAnsi"/>
              </w:rPr>
              <w:t>I</w:t>
            </w:r>
            <w:r w:rsidRPr="00F812E0">
              <w:rPr>
                <w:rFonts w:asciiTheme="majorHAnsi" w:hAnsiTheme="majorHAnsi"/>
              </w:rPr>
              <w:t>nterface.</w:t>
            </w:r>
          </w:p>
        </w:tc>
      </w:tr>
      <w:tr w:rsidR="008651AB" w:rsidRPr="00F812E0" w14:paraId="726F7D73" w14:textId="77777777" w:rsidTr="00573869">
        <w:trPr>
          <w:trHeight w:val="360"/>
        </w:trPr>
        <w:tc>
          <w:tcPr>
            <w:tcW w:w="4405" w:type="dxa"/>
            <w:noWrap/>
          </w:tcPr>
          <w:p w14:paraId="44B67560" w14:textId="0367BA7C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add_slots</w:t>
            </w:r>
            <w:proofErr w:type="spellEnd"/>
          </w:p>
        </w:tc>
        <w:tc>
          <w:tcPr>
            <w:tcW w:w="5670" w:type="dxa"/>
            <w:noWrap/>
          </w:tcPr>
          <w:p w14:paraId="26C1C356" w14:textId="2D8C91F3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</w:t>
            </w:r>
            <w:r w:rsidRPr="00416959">
              <w:rPr>
                <w:rFonts w:asciiTheme="majorHAnsi" w:hAnsiTheme="majorHAnsi"/>
              </w:rPr>
              <w:t>ommand used to add a type of slot with access permissions for deadlock analysis.</w:t>
            </w:r>
          </w:p>
        </w:tc>
      </w:tr>
      <w:tr w:rsidR="008651AB" w:rsidRPr="00F812E0" w14:paraId="16418939" w14:textId="77777777" w:rsidTr="00573869">
        <w:trPr>
          <w:trHeight w:val="360"/>
        </w:trPr>
        <w:tc>
          <w:tcPr>
            <w:tcW w:w="4405" w:type="dxa"/>
            <w:noWrap/>
          </w:tcPr>
          <w:p w14:paraId="543DAA21" w14:textId="3D69D7E7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set_credit_return_layers</w:t>
            </w:r>
            <w:proofErr w:type="spellEnd"/>
          </w:p>
        </w:tc>
        <w:tc>
          <w:tcPr>
            <w:tcW w:w="5670" w:type="dxa"/>
            <w:noWrap/>
          </w:tcPr>
          <w:p w14:paraId="5CB49193" w14:textId="5A1CFBF4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is to c</w:t>
            </w:r>
            <w:r w:rsidRPr="00416959">
              <w:rPr>
                <w:rFonts w:asciiTheme="majorHAnsi" w:hAnsiTheme="majorHAnsi"/>
              </w:rPr>
              <w:t xml:space="preserve">hoose layers on which e2e and </w:t>
            </w:r>
            <w:proofErr w:type="spellStart"/>
            <w:r w:rsidRPr="00416959">
              <w:rPr>
                <w:rFonts w:asciiTheme="majorHAnsi" w:hAnsiTheme="majorHAnsi"/>
              </w:rPr>
              <w:t>tg</w:t>
            </w:r>
            <w:proofErr w:type="spellEnd"/>
            <w:r w:rsidRPr="00416959">
              <w:rPr>
                <w:rFonts w:asciiTheme="majorHAnsi" w:hAnsiTheme="majorHAnsi"/>
              </w:rPr>
              <w:t xml:space="preserve"> credits are returned</w:t>
            </w:r>
          </w:p>
        </w:tc>
      </w:tr>
      <w:tr w:rsidR="008651AB" w:rsidRPr="00F812E0" w14:paraId="2F717096" w14:textId="77777777" w:rsidTr="00573869">
        <w:trPr>
          <w:trHeight w:val="360"/>
        </w:trPr>
        <w:tc>
          <w:tcPr>
            <w:tcW w:w="4405" w:type="dxa"/>
            <w:noWrap/>
          </w:tcPr>
          <w:p w14:paraId="43C7B78C" w14:textId="24F5FF32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add_ihost</w:t>
            </w:r>
            <w:proofErr w:type="spellEnd"/>
          </w:p>
        </w:tc>
        <w:tc>
          <w:tcPr>
            <w:tcW w:w="5670" w:type="dxa"/>
            <w:noWrap/>
          </w:tcPr>
          <w:p w14:paraId="5FD953D1" w14:textId="1A3F9995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is used to c</w:t>
            </w:r>
            <w:r w:rsidRPr="00416959">
              <w:rPr>
                <w:rFonts w:asciiTheme="majorHAnsi" w:hAnsiTheme="majorHAnsi"/>
              </w:rPr>
              <w:t>reates a 1x1 host with one or two ports</w:t>
            </w:r>
            <w:r>
              <w:rPr>
                <w:rFonts w:asciiTheme="majorHAnsi" w:hAnsiTheme="majorHAnsi"/>
              </w:rPr>
              <w:t xml:space="preserve"> for SCF mesh.</w:t>
            </w:r>
          </w:p>
        </w:tc>
      </w:tr>
      <w:tr w:rsidR="008651AB" w:rsidRPr="00F812E0" w14:paraId="0515BFB2" w14:textId="77777777" w:rsidTr="00573869">
        <w:trPr>
          <w:trHeight w:val="360"/>
        </w:trPr>
        <w:tc>
          <w:tcPr>
            <w:tcW w:w="4405" w:type="dxa"/>
            <w:noWrap/>
          </w:tcPr>
          <w:p w14:paraId="557F8CC5" w14:textId="0C4BDA6A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print_flits_in_noc</w:t>
            </w:r>
            <w:proofErr w:type="spellEnd"/>
          </w:p>
        </w:tc>
        <w:tc>
          <w:tcPr>
            <w:tcW w:w="5670" w:type="dxa"/>
            <w:noWrap/>
          </w:tcPr>
          <w:p w14:paraId="19484898" w14:textId="2CB0FCCF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p</w:t>
            </w:r>
            <w:r w:rsidRPr="00416959">
              <w:rPr>
                <w:rFonts w:asciiTheme="majorHAnsi" w:hAnsiTheme="majorHAnsi"/>
              </w:rPr>
              <w:t>rints the flits in all the channel buffers of the NoC.</w:t>
            </w:r>
          </w:p>
        </w:tc>
      </w:tr>
      <w:tr w:rsidR="008651AB" w:rsidRPr="00F812E0" w14:paraId="1991AD59" w14:textId="77777777" w:rsidTr="00573869">
        <w:trPr>
          <w:trHeight w:val="360"/>
        </w:trPr>
        <w:tc>
          <w:tcPr>
            <w:tcW w:w="4405" w:type="dxa"/>
            <w:noWrap/>
          </w:tcPr>
          <w:p w14:paraId="082C5F79" w14:textId="5506BF4A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lastRenderedPageBreak/>
              <w:t>set_emb</w:t>
            </w:r>
            <w:proofErr w:type="spellEnd"/>
          </w:p>
        </w:tc>
        <w:tc>
          <w:tcPr>
            <w:tcW w:w="5670" w:type="dxa"/>
            <w:noWrap/>
          </w:tcPr>
          <w:p w14:paraId="29576A31" w14:textId="3049B329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is used to s</w:t>
            </w:r>
            <w:r w:rsidRPr="00416959">
              <w:rPr>
                <w:rFonts w:asciiTheme="majorHAnsi" w:hAnsiTheme="majorHAnsi"/>
              </w:rPr>
              <w:t>et rows and/or columns on which EMB will be placed.</w:t>
            </w:r>
          </w:p>
        </w:tc>
      </w:tr>
      <w:tr w:rsidR="008651AB" w:rsidRPr="00F812E0" w14:paraId="547848A2" w14:textId="77777777" w:rsidTr="00573869">
        <w:trPr>
          <w:trHeight w:val="360"/>
        </w:trPr>
        <w:tc>
          <w:tcPr>
            <w:tcW w:w="4405" w:type="dxa"/>
            <w:noWrap/>
          </w:tcPr>
          <w:p w14:paraId="6B927BCD" w14:textId="7EE56F38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set_row_bridging</w:t>
            </w:r>
            <w:proofErr w:type="spellEnd"/>
          </w:p>
        </w:tc>
        <w:tc>
          <w:tcPr>
            <w:tcW w:w="5670" w:type="dxa"/>
            <w:noWrap/>
          </w:tcPr>
          <w:p w14:paraId="6DA455B1" w14:textId="6EDB545D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 w:rsidRPr="00416959">
              <w:rPr>
                <w:rFonts w:asciiTheme="majorHAnsi" w:hAnsiTheme="majorHAnsi"/>
              </w:rPr>
              <w:t>This command is used to set the bridging between a pair of rows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10118BA8" w14:textId="77777777" w:rsidTr="00573869">
        <w:trPr>
          <w:trHeight w:val="360"/>
        </w:trPr>
        <w:tc>
          <w:tcPr>
            <w:tcW w:w="4405" w:type="dxa"/>
            <w:noWrap/>
          </w:tcPr>
          <w:p w14:paraId="789421CB" w14:textId="42E8A26B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set_col_bridging</w:t>
            </w:r>
            <w:proofErr w:type="spellEnd"/>
          </w:p>
        </w:tc>
        <w:tc>
          <w:tcPr>
            <w:tcW w:w="5670" w:type="dxa"/>
            <w:noWrap/>
          </w:tcPr>
          <w:p w14:paraId="65E151F2" w14:textId="20288C87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 w:rsidRPr="00416959">
              <w:rPr>
                <w:rFonts w:asciiTheme="majorHAnsi" w:hAnsiTheme="majorHAnsi"/>
              </w:rPr>
              <w:t xml:space="preserve">This command is used to set the bridging between a pair of </w:t>
            </w:r>
            <w:r>
              <w:rPr>
                <w:rFonts w:asciiTheme="majorHAnsi" w:hAnsiTheme="majorHAnsi"/>
              </w:rPr>
              <w:t>columns.</w:t>
            </w:r>
          </w:p>
        </w:tc>
      </w:tr>
      <w:tr w:rsidR="008651AB" w:rsidRPr="00F812E0" w14:paraId="7A17D666" w14:textId="77777777" w:rsidTr="00573869">
        <w:trPr>
          <w:trHeight w:val="360"/>
        </w:trPr>
        <w:tc>
          <w:tcPr>
            <w:tcW w:w="4405" w:type="dxa"/>
            <w:noWrap/>
          </w:tcPr>
          <w:p w14:paraId="39CBDBD9" w14:textId="71ABAC13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reset_row_bridging</w:t>
            </w:r>
            <w:proofErr w:type="spellEnd"/>
          </w:p>
        </w:tc>
        <w:tc>
          <w:tcPr>
            <w:tcW w:w="5670" w:type="dxa"/>
            <w:noWrap/>
          </w:tcPr>
          <w:p w14:paraId="5CBDD817" w14:textId="2B15BB9E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 w:rsidRPr="00416959">
              <w:rPr>
                <w:rFonts w:asciiTheme="majorHAnsi" w:hAnsiTheme="majorHAnsi"/>
              </w:rPr>
              <w:t xml:space="preserve">This command is used to reset the row bridging specified using </w:t>
            </w:r>
            <w:proofErr w:type="spellStart"/>
            <w:r w:rsidRPr="00416959">
              <w:rPr>
                <w:rFonts w:asciiTheme="majorHAnsi" w:hAnsiTheme="majorHAnsi"/>
              </w:rPr>
              <w:t>set_row_bridging</w:t>
            </w:r>
            <w:proofErr w:type="spellEnd"/>
          </w:p>
        </w:tc>
      </w:tr>
      <w:tr w:rsidR="008651AB" w:rsidRPr="00F812E0" w14:paraId="0199C2AE" w14:textId="77777777" w:rsidTr="00573869">
        <w:trPr>
          <w:trHeight w:val="360"/>
        </w:trPr>
        <w:tc>
          <w:tcPr>
            <w:tcW w:w="4405" w:type="dxa"/>
            <w:noWrap/>
          </w:tcPr>
          <w:p w14:paraId="6A0437BE" w14:textId="53562A7C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reset_col_bridging</w:t>
            </w:r>
            <w:proofErr w:type="spellEnd"/>
          </w:p>
        </w:tc>
        <w:tc>
          <w:tcPr>
            <w:tcW w:w="5670" w:type="dxa"/>
            <w:noWrap/>
          </w:tcPr>
          <w:p w14:paraId="3EDB640B" w14:textId="1BBAD92D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 w:rsidRPr="00416959">
              <w:rPr>
                <w:rFonts w:asciiTheme="majorHAnsi" w:hAnsiTheme="majorHAnsi"/>
              </w:rPr>
              <w:t xml:space="preserve">This command is used to reset the column bridging specified using </w:t>
            </w:r>
            <w:proofErr w:type="spellStart"/>
            <w:r w:rsidRPr="00416959">
              <w:rPr>
                <w:rFonts w:asciiTheme="majorHAnsi" w:hAnsiTheme="majorHAnsi"/>
              </w:rPr>
              <w:t>set_col_bridging</w:t>
            </w:r>
            <w:proofErr w:type="spellEnd"/>
          </w:p>
        </w:tc>
      </w:tr>
      <w:tr w:rsidR="008651AB" w:rsidRPr="00F812E0" w14:paraId="078DA4DF" w14:textId="77777777" w:rsidTr="00573869">
        <w:trPr>
          <w:trHeight w:val="360"/>
        </w:trPr>
        <w:tc>
          <w:tcPr>
            <w:tcW w:w="4405" w:type="dxa"/>
            <w:noWrap/>
          </w:tcPr>
          <w:p w14:paraId="1C4A3C6C" w14:textId="2BA8B130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set_throttling</w:t>
            </w:r>
            <w:proofErr w:type="spellEnd"/>
          </w:p>
        </w:tc>
        <w:tc>
          <w:tcPr>
            <w:tcW w:w="5670" w:type="dxa"/>
            <w:noWrap/>
          </w:tcPr>
          <w:p w14:paraId="66FCB3E1" w14:textId="4B0759C0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ets the throttling in specified directions for the routers.</w:t>
            </w:r>
          </w:p>
        </w:tc>
      </w:tr>
      <w:tr w:rsidR="008651AB" w:rsidRPr="00F812E0" w14:paraId="16F9AEA6" w14:textId="77777777" w:rsidTr="00573869">
        <w:trPr>
          <w:trHeight w:val="360"/>
        </w:trPr>
        <w:tc>
          <w:tcPr>
            <w:tcW w:w="4405" w:type="dxa"/>
            <w:noWrap/>
          </w:tcPr>
          <w:p w14:paraId="63D9BB46" w14:textId="01A245A0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set_polarity</w:t>
            </w:r>
            <w:proofErr w:type="spellEnd"/>
          </w:p>
        </w:tc>
        <w:tc>
          <w:tcPr>
            <w:tcW w:w="5670" w:type="dxa"/>
            <w:noWrap/>
          </w:tcPr>
          <w:p w14:paraId="32F25D7F" w14:textId="2F3AF716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ets row and column polarity (even/odd/none) from sources to destinations on a given interface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68E9125F" w14:textId="77777777" w:rsidTr="00573869">
        <w:trPr>
          <w:trHeight w:val="360"/>
        </w:trPr>
        <w:tc>
          <w:tcPr>
            <w:tcW w:w="4405" w:type="dxa"/>
            <w:noWrap/>
          </w:tcPr>
          <w:p w14:paraId="7DF15451" w14:textId="06A1B13A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show_polarity</w:t>
            </w:r>
            <w:proofErr w:type="spellEnd"/>
          </w:p>
        </w:tc>
        <w:tc>
          <w:tcPr>
            <w:tcW w:w="5670" w:type="dxa"/>
            <w:noWrap/>
          </w:tcPr>
          <w:p w14:paraId="2E3CADEC" w14:textId="2F4654AE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hows polarities (even/odd/none) between two bridges for a single interface_id</w:t>
            </w:r>
          </w:p>
        </w:tc>
      </w:tr>
      <w:tr w:rsidR="008651AB" w:rsidRPr="00F812E0" w14:paraId="2EAF9BE5" w14:textId="77777777" w:rsidTr="00573869">
        <w:trPr>
          <w:trHeight w:val="360"/>
        </w:trPr>
        <w:tc>
          <w:tcPr>
            <w:tcW w:w="4405" w:type="dxa"/>
            <w:noWrap/>
          </w:tcPr>
          <w:p w14:paraId="2A1D9A71" w14:textId="0418BCCA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set_route_direction</w:t>
            </w:r>
            <w:proofErr w:type="spellEnd"/>
          </w:p>
        </w:tc>
        <w:tc>
          <w:tcPr>
            <w:tcW w:w="5670" w:type="dxa"/>
            <w:noWrap/>
          </w:tcPr>
          <w:p w14:paraId="4CBAA097" w14:textId="5B4ADEB8" w:rsidR="008651AB" w:rsidRPr="00F812E0" w:rsidRDefault="00416959" w:rsidP="00416959">
            <w:pPr>
              <w:tabs>
                <w:tab w:val="left" w:pos="1366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ets row injection direction (east/west/shortest) and column injection direction (north/south/shortest) from sources to destinations on a given interface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51AD108D" w14:textId="77777777" w:rsidTr="00573869">
        <w:trPr>
          <w:trHeight w:val="360"/>
        </w:trPr>
        <w:tc>
          <w:tcPr>
            <w:tcW w:w="4405" w:type="dxa"/>
            <w:noWrap/>
          </w:tcPr>
          <w:p w14:paraId="7C68B861" w14:textId="440F4622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show_route_direction</w:t>
            </w:r>
            <w:proofErr w:type="spellEnd"/>
          </w:p>
        </w:tc>
        <w:tc>
          <w:tcPr>
            <w:tcW w:w="5670" w:type="dxa"/>
            <w:noWrap/>
          </w:tcPr>
          <w:p w14:paraId="58766928" w14:textId="7CCA6E95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hows route directions (east/west/shortest</w:t>
            </w:r>
            <w:r>
              <w:rPr>
                <w:rFonts w:asciiTheme="majorHAnsi" w:hAnsiTheme="majorHAnsi"/>
              </w:rPr>
              <w:t>)</w:t>
            </w:r>
            <w:r w:rsidRPr="00416959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 w:rsidRPr="00416959">
              <w:rPr>
                <w:rFonts w:asciiTheme="majorHAnsi" w:hAnsiTheme="majorHAnsi"/>
              </w:rPr>
              <w:t>(north/south/shortest) between two bridges for a single interface_id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5DA36D82" w14:textId="77777777" w:rsidTr="00573869">
        <w:trPr>
          <w:trHeight w:val="360"/>
        </w:trPr>
        <w:tc>
          <w:tcPr>
            <w:tcW w:w="4405" w:type="dxa"/>
            <w:noWrap/>
          </w:tcPr>
          <w:p w14:paraId="52CBC83C" w14:textId="19025B66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set_tg_node</w:t>
            </w:r>
            <w:proofErr w:type="spellEnd"/>
          </w:p>
        </w:tc>
        <w:tc>
          <w:tcPr>
            <w:tcW w:w="5670" w:type="dxa"/>
            <w:noWrap/>
          </w:tcPr>
          <w:p w14:paraId="6ECD863B" w14:textId="5A03ADB4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ets the position of the TG to be used for pairs of sources to destinations on a given interface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608019D0" w14:textId="77777777" w:rsidTr="00573869">
        <w:trPr>
          <w:trHeight w:val="360"/>
        </w:trPr>
        <w:tc>
          <w:tcPr>
            <w:tcW w:w="4405" w:type="dxa"/>
            <w:noWrap/>
          </w:tcPr>
          <w:p w14:paraId="720E12E5" w14:textId="0A7911C1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show_tg_node</w:t>
            </w:r>
            <w:proofErr w:type="spellEnd"/>
          </w:p>
        </w:tc>
        <w:tc>
          <w:tcPr>
            <w:tcW w:w="5670" w:type="dxa"/>
            <w:noWrap/>
          </w:tcPr>
          <w:p w14:paraId="20F7E104" w14:textId="6CA9F3BE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hows positions of TG's that will be used between two bridges for a single interface_id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51D26073" w14:textId="77777777" w:rsidTr="00573869">
        <w:trPr>
          <w:trHeight w:val="360"/>
        </w:trPr>
        <w:tc>
          <w:tcPr>
            <w:tcW w:w="4405" w:type="dxa"/>
            <w:noWrap/>
          </w:tcPr>
          <w:p w14:paraId="69B908D9" w14:textId="61AAC758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set_two_flit_layer</w:t>
            </w:r>
            <w:proofErr w:type="spellEnd"/>
          </w:p>
        </w:tc>
        <w:tc>
          <w:tcPr>
            <w:tcW w:w="5670" w:type="dxa"/>
            <w:noWrap/>
          </w:tcPr>
          <w:p w14:paraId="7A956F0E" w14:textId="46CDD33E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se</w:t>
            </w:r>
            <w:r w:rsidRPr="00416959">
              <w:rPr>
                <w:rFonts w:asciiTheme="majorHAnsi" w:hAnsiTheme="majorHAnsi"/>
              </w:rPr>
              <w:t>ts a layer to support two flit transactions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651AB" w:rsidRPr="00F812E0" w14:paraId="1055FA65" w14:textId="77777777" w:rsidTr="00573869">
        <w:trPr>
          <w:trHeight w:val="360"/>
        </w:trPr>
        <w:tc>
          <w:tcPr>
            <w:tcW w:w="4405" w:type="dxa"/>
            <w:noWrap/>
          </w:tcPr>
          <w:p w14:paraId="72992319" w14:textId="6FAE5794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lastRenderedPageBreak/>
              <w:t>set_ads_slot_layer</w:t>
            </w:r>
            <w:proofErr w:type="spellEnd"/>
          </w:p>
        </w:tc>
        <w:tc>
          <w:tcPr>
            <w:tcW w:w="5670" w:type="dxa"/>
            <w:noWrap/>
          </w:tcPr>
          <w:p w14:paraId="77E46725" w14:textId="382F5B33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ets the layers to contain the specified number of ADS or IR-ADS slots on all row and column rings.</w:t>
            </w:r>
          </w:p>
        </w:tc>
      </w:tr>
      <w:tr w:rsidR="008651AB" w:rsidRPr="00F812E0" w14:paraId="4420951E" w14:textId="77777777" w:rsidTr="00573869">
        <w:trPr>
          <w:trHeight w:val="360"/>
        </w:trPr>
        <w:tc>
          <w:tcPr>
            <w:tcW w:w="4405" w:type="dxa"/>
            <w:noWrap/>
          </w:tcPr>
          <w:p w14:paraId="624617D8" w14:textId="7EEA94FE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set_packet_groups</w:t>
            </w:r>
            <w:proofErr w:type="spellEnd"/>
          </w:p>
        </w:tc>
        <w:tc>
          <w:tcPr>
            <w:tcW w:w="5670" w:type="dxa"/>
            <w:noWrap/>
          </w:tcPr>
          <w:p w14:paraId="360DA285" w14:textId="5AA56D68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se</w:t>
            </w:r>
            <w:r w:rsidRPr="00416959">
              <w:rPr>
                <w:rFonts w:asciiTheme="majorHAnsi" w:hAnsiTheme="majorHAnsi"/>
              </w:rPr>
              <w:t>ts the layers/message types in a group (group A) to be used in 1x mode in simulation.</w:t>
            </w:r>
          </w:p>
        </w:tc>
      </w:tr>
      <w:tr w:rsidR="008651AB" w:rsidRPr="00F812E0" w14:paraId="42FA0F70" w14:textId="77777777" w:rsidTr="00573869">
        <w:trPr>
          <w:trHeight w:val="360"/>
        </w:trPr>
        <w:tc>
          <w:tcPr>
            <w:tcW w:w="4405" w:type="dxa"/>
            <w:noWrap/>
          </w:tcPr>
          <w:p w14:paraId="35A84304" w14:textId="0862C63E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list_packet_groups</w:t>
            </w:r>
            <w:proofErr w:type="spellEnd"/>
          </w:p>
        </w:tc>
        <w:tc>
          <w:tcPr>
            <w:tcW w:w="5670" w:type="dxa"/>
            <w:noWrap/>
          </w:tcPr>
          <w:p w14:paraId="131FB89D" w14:textId="03525F05" w:rsidR="008651AB" w:rsidRPr="00F812E0" w:rsidRDefault="0062058E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l</w:t>
            </w:r>
            <w:r w:rsidRPr="0062058E">
              <w:rPr>
                <w:rFonts w:asciiTheme="majorHAnsi" w:hAnsiTheme="majorHAnsi"/>
              </w:rPr>
              <w:t>ists the layers and message types in each packet group.</w:t>
            </w:r>
          </w:p>
        </w:tc>
      </w:tr>
      <w:tr w:rsidR="008651AB" w:rsidRPr="00F812E0" w14:paraId="0899ABAB" w14:textId="77777777" w:rsidTr="00573869">
        <w:trPr>
          <w:trHeight w:val="360"/>
        </w:trPr>
        <w:tc>
          <w:tcPr>
            <w:tcW w:w="4405" w:type="dxa"/>
            <w:noWrap/>
          </w:tcPr>
          <w:p w14:paraId="4C11AA1A" w14:textId="505BF6A3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reset_packet_groups</w:t>
            </w:r>
            <w:proofErr w:type="spellEnd"/>
          </w:p>
        </w:tc>
        <w:tc>
          <w:tcPr>
            <w:tcW w:w="5670" w:type="dxa"/>
            <w:noWrap/>
          </w:tcPr>
          <w:p w14:paraId="5CB78C99" w14:textId="6ABA17A8" w:rsidR="008651AB" w:rsidRPr="00F812E0" w:rsidRDefault="0062058E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r</w:t>
            </w:r>
            <w:r w:rsidRPr="0062058E">
              <w:rPr>
                <w:rFonts w:asciiTheme="majorHAnsi" w:hAnsiTheme="majorHAnsi"/>
              </w:rPr>
              <w:t>esets the packet group of each layer/message type to none.</w:t>
            </w:r>
          </w:p>
        </w:tc>
      </w:tr>
      <w:tr w:rsidR="008651AB" w:rsidRPr="00F812E0" w14:paraId="1D5C084E" w14:textId="77777777" w:rsidTr="00573869">
        <w:trPr>
          <w:trHeight w:val="360"/>
        </w:trPr>
        <w:tc>
          <w:tcPr>
            <w:tcW w:w="4405" w:type="dxa"/>
            <w:noWrap/>
          </w:tcPr>
          <w:p w14:paraId="149B75F7" w14:textId="7311BB4E" w:rsidR="008651AB" w:rsidRPr="00F812E0" w:rsidRDefault="008651AB" w:rsidP="008651AB">
            <w:pPr>
              <w:rPr>
                <w:rFonts w:asciiTheme="majorHAnsi" w:eastAsia="Times New Roman" w:hAnsiTheme="majorHAnsi" w:cs="Calibri"/>
                <w:color w:val="000000"/>
              </w:rPr>
            </w:pPr>
            <w:proofErr w:type="spellStart"/>
            <w:r w:rsidRPr="00F812E0">
              <w:rPr>
                <w:rFonts w:asciiTheme="majorHAnsi" w:eastAsia="Times New Roman" w:hAnsiTheme="majorHAnsi" w:cs="Calibri"/>
                <w:color w:val="000000"/>
              </w:rPr>
              <w:t>set_two_beat_credited_packets_layer</w:t>
            </w:r>
            <w:proofErr w:type="spellEnd"/>
          </w:p>
        </w:tc>
        <w:tc>
          <w:tcPr>
            <w:tcW w:w="5670" w:type="dxa"/>
            <w:noWrap/>
          </w:tcPr>
          <w:p w14:paraId="2B0942FF" w14:textId="533B0E44" w:rsidR="008651AB" w:rsidRPr="00F812E0" w:rsidRDefault="00416959" w:rsidP="0041695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command s</w:t>
            </w:r>
            <w:r w:rsidRPr="00416959">
              <w:rPr>
                <w:rFonts w:asciiTheme="majorHAnsi" w:hAnsiTheme="majorHAnsi"/>
              </w:rPr>
              <w:t>ets a layer in which two credited packets are sent as a part of the same hop of the transaction but consume only one credit.</w:t>
            </w:r>
          </w:p>
        </w:tc>
      </w:tr>
    </w:tbl>
    <w:p w14:paraId="7BC2581C" w14:textId="336918F9" w:rsidR="007862EC" w:rsidRPr="0004677F" w:rsidRDefault="008651AB" w:rsidP="007862EC">
      <w:pPr>
        <w:pStyle w:val="Heading2"/>
        <w:rPr>
          <w:rFonts w:ascii="Palatino Linotype" w:hAnsi="Palatino Linotype"/>
          <w:color w:val="auto"/>
        </w:rPr>
      </w:pPr>
      <w:bookmarkStart w:id="5" w:name="_Toc461049985"/>
      <w:bookmarkStart w:id="6" w:name="_Toc472974336"/>
      <w:r>
        <w:rPr>
          <w:rFonts w:ascii="Palatino Linotype" w:hAnsi="Palatino Linotype"/>
          <w:color w:val="auto"/>
        </w:rPr>
        <w:t>Default</w:t>
      </w:r>
      <w:r w:rsidR="007862EC" w:rsidRPr="0004677F">
        <w:rPr>
          <w:rFonts w:ascii="Palatino Linotype" w:hAnsi="Palatino Linotype"/>
          <w:color w:val="auto"/>
        </w:rPr>
        <w:t xml:space="preserve"> Property Changes</w:t>
      </w:r>
      <w:bookmarkEnd w:id="5"/>
      <w:bookmarkEnd w:id="6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06"/>
        <w:gridCol w:w="1450"/>
        <w:gridCol w:w="3619"/>
      </w:tblGrid>
      <w:tr w:rsidR="007862EC" w:rsidRPr="0062058E" w14:paraId="40240E61" w14:textId="77777777" w:rsidTr="00573869">
        <w:trPr>
          <w:trHeight w:val="360"/>
        </w:trPr>
        <w:tc>
          <w:tcPr>
            <w:tcW w:w="5006" w:type="dxa"/>
            <w:tcBorders>
              <w:bottom w:val="single" w:sz="4" w:space="0" w:color="auto"/>
            </w:tcBorders>
            <w:noWrap/>
            <w:hideMark/>
          </w:tcPr>
          <w:p w14:paraId="69BB1A7D" w14:textId="77777777" w:rsidR="007862EC" w:rsidRPr="0062058E" w:rsidRDefault="007862EC" w:rsidP="001E73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450" w:type="dxa"/>
            <w:noWrap/>
            <w:hideMark/>
          </w:tcPr>
          <w:p w14:paraId="49F4120A" w14:textId="77777777" w:rsidR="007862EC" w:rsidRPr="0062058E" w:rsidRDefault="007862EC" w:rsidP="001E73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3619" w:type="dxa"/>
            <w:noWrap/>
            <w:hideMark/>
          </w:tcPr>
          <w:p w14:paraId="3364E14D" w14:textId="77777777" w:rsidR="007862EC" w:rsidRPr="0062058E" w:rsidRDefault="007862EC" w:rsidP="001E73B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Comment</w:t>
            </w:r>
          </w:p>
        </w:tc>
      </w:tr>
      <w:tr w:rsidR="008651AB" w:rsidRPr="0062058E" w14:paraId="3D8404C7" w14:textId="77777777" w:rsidTr="00573869">
        <w:trPr>
          <w:trHeight w:val="36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2D14561" w14:textId="726C335F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arbitration_mode</w:t>
            </w:r>
            <w:proofErr w:type="spellEnd"/>
          </w:p>
        </w:tc>
        <w:tc>
          <w:tcPr>
            <w:tcW w:w="1450" w:type="dxa"/>
            <w:noWrap/>
          </w:tcPr>
          <w:p w14:paraId="115F8F5B" w14:textId="572FCA2C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Static</w:t>
            </w:r>
          </w:p>
        </w:tc>
        <w:tc>
          <w:tcPr>
            <w:tcW w:w="3619" w:type="dxa"/>
            <w:noWrap/>
          </w:tcPr>
          <w:p w14:paraId="1A0B45DE" w14:textId="59CF93A5" w:rsidR="008651AB" w:rsidRPr="0062058E" w:rsidRDefault="0062058E" w:rsidP="0062058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This property is used to control the type of arbitration used for the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output port of the bridge/router.</w:t>
            </w:r>
          </w:p>
        </w:tc>
      </w:tr>
      <w:tr w:rsidR="008651AB" w:rsidRPr="0062058E" w14:paraId="059853DE" w14:textId="77777777" w:rsidTr="00573869">
        <w:trPr>
          <w:trHeight w:val="36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55D9216" w14:textId="3BFBBA33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compress_strap_enable</w:t>
            </w:r>
            <w:proofErr w:type="spellEnd"/>
          </w:p>
        </w:tc>
        <w:tc>
          <w:tcPr>
            <w:tcW w:w="1450" w:type="dxa"/>
            <w:noWrap/>
          </w:tcPr>
          <w:p w14:paraId="51BA4F86" w14:textId="2DA47AC7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No</w:t>
            </w:r>
          </w:p>
        </w:tc>
        <w:tc>
          <w:tcPr>
            <w:tcW w:w="3619" w:type="dxa"/>
            <w:noWrap/>
          </w:tcPr>
          <w:p w14:paraId="7389B958" w14:textId="31A321BE" w:rsidR="008651AB" w:rsidRPr="0062058E" w:rsidRDefault="0062058E" w:rsidP="0062058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This property when enabled sets the </w:t>
            </w: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Strap </w:t>
            </w:r>
            <w:proofErr w:type="spellStart"/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drivevalue</w:t>
            </w:r>
            <w:proofErr w:type="spellEnd"/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ports to local. </w:t>
            </w:r>
            <w:proofErr w:type="spellStart"/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config_strap_id</w:t>
            </w:r>
            <w:proofErr w:type="spellEnd"/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command is used </w:t>
            </w: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as mux to pass values</w:t>
            </w:r>
            <w:r w:rsidR="00D5455A">
              <w:rPr>
                <w:rFonts w:asciiTheme="majorHAnsi" w:eastAsia="Times New Roman" w:hAnsiTheme="majorHAnsi" w:cs="Times New Roman"/>
                <w:bCs/>
                <w:color w:val="000000"/>
              </w:rPr>
              <w:t>.</w:t>
            </w:r>
          </w:p>
        </w:tc>
      </w:tr>
      <w:tr w:rsidR="008651AB" w:rsidRPr="0062058E" w14:paraId="0798E799" w14:textId="77777777" w:rsidTr="00573869">
        <w:trPr>
          <w:trHeight w:val="36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90EC75F" w14:textId="43230594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tcl_print_mode</w:t>
            </w:r>
            <w:proofErr w:type="spellEnd"/>
          </w:p>
        </w:tc>
        <w:tc>
          <w:tcPr>
            <w:tcW w:w="1450" w:type="dxa"/>
            <w:noWrap/>
          </w:tcPr>
          <w:p w14:paraId="070355AA" w14:textId="43F0954C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Warn</w:t>
            </w:r>
            <w:r w:rsidR="0062058E"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-</w:t>
            </w: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only</w:t>
            </w:r>
          </w:p>
        </w:tc>
        <w:tc>
          <w:tcPr>
            <w:tcW w:w="3619" w:type="dxa"/>
            <w:noWrap/>
          </w:tcPr>
          <w:p w14:paraId="25FA1F8B" w14:textId="0EC0E567" w:rsidR="008651AB" w:rsidRPr="0062058E" w:rsidRDefault="00D5455A" w:rsidP="0062058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This property enables 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print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ing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all warning messages in tcl mode.</w:t>
            </w:r>
          </w:p>
        </w:tc>
      </w:tr>
      <w:tr w:rsidR="008651AB" w:rsidRPr="0062058E" w14:paraId="1C723506" w14:textId="77777777" w:rsidTr="00573869">
        <w:trPr>
          <w:trHeight w:val="36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FAB68A" w14:textId="3199CA72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log_all_packets</w:t>
            </w:r>
            <w:proofErr w:type="spellEnd"/>
          </w:p>
        </w:tc>
        <w:tc>
          <w:tcPr>
            <w:tcW w:w="1450" w:type="dxa"/>
            <w:noWrap/>
          </w:tcPr>
          <w:p w14:paraId="2E39CFEF" w14:textId="31C5952B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Yes</w:t>
            </w:r>
          </w:p>
        </w:tc>
        <w:tc>
          <w:tcPr>
            <w:tcW w:w="3619" w:type="dxa"/>
            <w:noWrap/>
          </w:tcPr>
          <w:p w14:paraId="7AEACAC7" w14:textId="6A73B14F" w:rsidR="008651AB" w:rsidRPr="0062058E" w:rsidRDefault="00D5455A" w:rsidP="0062058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property decides w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hether to save every packet template for detailed statistics to be computed after simulation.</w:t>
            </w:r>
          </w:p>
        </w:tc>
      </w:tr>
      <w:tr w:rsidR="008651AB" w:rsidRPr="0062058E" w14:paraId="526B1C8D" w14:textId="77777777" w:rsidTr="00573869">
        <w:trPr>
          <w:trHeight w:val="36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25317B" w14:textId="73F83C6C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stats_view_green_threshold</w:t>
            </w:r>
            <w:proofErr w:type="spellEnd"/>
          </w:p>
        </w:tc>
        <w:tc>
          <w:tcPr>
            <w:tcW w:w="1450" w:type="dxa"/>
            <w:noWrap/>
          </w:tcPr>
          <w:p w14:paraId="36E7F0E2" w14:textId="7CE7E75E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0</w:t>
            </w:r>
          </w:p>
        </w:tc>
        <w:tc>
          <w:tcPr>
            <w:tcW w:w="3619" w:type="dxa"/>
            <w:noWrap/>
          </w:tcPr>
          <w:p w14:paraId="7B10E697" w14:textId="47E12C4C" w:rsidR="008651AB" w:rsidRPr="0062058E" w:rsidRDefault="00D5455A" w:rsidP="00D545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is to set the m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inimum value of throughput/occupancy at which tiles in the stats view are colored green.  This threshold must be less than the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proofErr w:type="spellStart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stats_view_orange_threshold</w:t>
            </w:r>
            <w:proofErr w:type="spellEnd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.</w:t>
            </w:r>
          </w:p>
        </w:tc>
      </w:tr>
      <w:tr w:rsidR="008651AB" w:rsidRPr="0062058E" w14:paraId="137AB813" w14:textId="77777777" w:rsidTr="00573869">
        <w:trPr>
          <w:trHeight w:val="36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E84C4F" w14:textId="1532E03E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stats_view_orange_threshold</w:t>
            </w:r>
            <w:proofErr w:type="spellEnd"/>
          </w:p>
        </w:tc>
        <w:tc>
          <w:tcPr>
            <w:tcW w:w="1450" w:type="dxa"/>
            <w:noWrap/>
          </w:tcPr>
          <w:p w14:paraId="2AC4542F" w14:textId="73288CA8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60</w:t>
            </w:r>
          </w:p>
        </w:tc>
        <w:tc>
          <w:tcPr>
            <w:tcW w:w="3619" w:type="dxa"/>
            <w:noWrap/>
          </w:tcPr>
          <w:p w14:paraId="48DE4E9D" w14:textId="59BE88D7" w:rsidR="008651AB" w:rsidRPr="0062058E" w:rsidRDefault="00D5455A" w:rsidP="00D545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is to set the m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inimum value of 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lastRenderedPageBreak/>
              <w:t xml:space="preserve">throughput/occupancy at which tiles in the stats view are colored orange.  This threshold must be more than the </w:t>
            </w:r>
            <w:proofErr w:type="spellStart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stats_view_green_threshold</w:t>
            </w:r>
            <w:proofErr w:type="spellEnd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and less than the </w:t>
            </w:r>
            <w:proofErr w:type="spellStart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stats_view_red_threshold</w:t>
            </w:r>
            <w:proofErr w:type="spellEnd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.</w:t>
            </w:r>
          </w:p>
        </w:tc>
      </w:tr>
      <w:tr w:rsidR="008651AB" w:rsidRPr="0062058E" w14:paraId="36E24A67" w14:textId="77777777" w:rsidTr="00573869">
        <w:trPr>
          <w:trHeight w:val="360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1809DD" w14:textId="5BD1584E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lastRenderedPageBreak/>
              <w:t>stats_view_red_threshold</w:t>
            </w:r>
            <w:proofErr w:type="spellEnd"/>
          </w:p>
        </w:tc>
        <w:tc>
          <w:tcPr>
            <w:tcW w:w="1450" w:type="dxa"/>
            <w:noWrap/>
          </w:tcPr>
          <w:p w14:paraId="123F1830" w14:textId="24AF292E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100</w:t>
            </w:r>
          </w:p>
        </w:tc>
        <w:tc>
          <w:tcPr>
            <w:tcW w:w="3619" w:type="dxa"/>
            <w:noWrap/>
          </w:tcPr>
          <w:p w14:paraId="62F17118" w14:textId="60F0555D" w:rsidR="00D5455A" w:rsidRPr="00D5455A" w:rsidRDefault="00D5455A" w:rsidP="00D545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is to set the m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inimum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value of throughput/occupancy at which tiles in the stats view are colored red.  This threshold must be more than the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</w:p>
          <w:p w14:paraId="198FA60F" w14:textId="638C7E95" w:rsidR="008651AB" w:rsidRPr="0062058E" w:rsidRDefault="00D5455A" w:rsidP="00D545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   </w:t>
            </w:r>
            <w:proofErr w:type="spellStart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stats_view_orange_threshold</w:t>
            </w:r>
            <w:proofErr w:type="spellEnd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.</w:t>
            </w:r>
          </w:p>
        </w:tc>
      </w:tr>
      <w:tr w:rsidR="008651AB" w:rsidRPr="0062058E" w14:paraId="44911E32" w14:textId="77777777" w:rsidTr="00573869">
        <w:trPr>
          <w:trHeight w:val="360"/>
        </w:trPr>
        <w:tc>
          <w:tcPr>
            <w:tcW w:w="5006" w:type="dxa"/>
            <w:noWrap/>
          </w:tcPr>
          <w:p w14:paraId="39D76699" w14:textId="09358181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scf_deadlock_analysis_enable</w:t>
            </w:r>
            <w:proofErr w:type="spellEnd"/>
          </w:p>
        </w:tc>
        <w:tc>
          <w:tcPr>
            <w:tcW w:w="1450" w:type="dxa"/>
            <w:noWrap/>
          </w:tcPr>
          <w:p w14:paraId="1787CAC9" w14:textId="0DF16D43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Yes</w:t>
            </w:r>
          </w:p>
        </w:tc>
        <w:tc>
          <w:tcPr>
            <w:tcW w:w="3619" w:type="dxa"/>
            <w:noWrap/>
          </w:tcPr>
          <w:p w14:paraId="4F7B3445" w14:textId="764194E4" w:rsidR="008651AB" w:rsidRPr="0062058E" w:rsidRDefault="00D5455A" w:rsidP="00D545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property w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hen set to true, will enable SCF deadlock detection analyzer to detect  possible deadlocks during mapping based on the traffic added in SCF NocStudio.</w:t>
            </w:r>
          </w:p>
        </w:tc>
      </w:tr>
      <w:tr w:rsidR="008651AB" w:rsidRPr="0062058E" w14:paraId="43EF2057" w14:textId="77777777" w:rsidTr="00573869">
        <w:trPr>
          <w:trHeight w:val="360"/>
        </w:trPr>
        <w:tc>
          <w:tcPr>
            <w:tcW w:w="5006" w:type="dxa"/>
            <w:noWrap/>
          </w:tcPr>
          <w:p w14:paraId="27E07BCB" w14:textId="64B5EB2E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emb_latency</w:t>
            </w:r>
            <w:proofErr w:type="spellEnd"/>
          </w:p>
        </w:tc>
        <w:tc>
          <w:tcPr>
            <w:tcW w:w="1450" w:type="dxa"/>
            <w:noWrap/>
          </w:tcPr>
          <w:p w14:paraId="69F9E2FA" w14:textId="0B3E371D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0</w:t>
            </w:r>
          </w:p>
        </w:tc>
        <w:tc>
          <w:tcPr>
            <w:tcW w:w="3619" w:type="dxa"/>
            <w:noWrap/>
          </w:tcPr>
          <w:p w14:paraId="32856E8F" w14:textId="7067BC87" w:rsidR="008651AB" w:rsidRPr="0062058E" w:rsidRDefault="00D5455A" w:rsidP="00D5455A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This property sets the default number of cycles taken by a data or credit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message to cross the EMB </w:t>
            </w:r>
            <w:proofErr w:type="spellStart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i.e</w:t>
            </w:r>
            <w:proofErr w:type="spellEnd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from SBO ingress on one die to the SBO egress on another die.</w:t>
            </w:r>
          </w:p>
        </w:tc>
      </w:tr>
      <w:tr w:rsidR="008651AB" w:rsidRPr="0062058E" w14:paraId="3C59C5C8" w14:textId="77777777" w:rsidTr="00573869">
        <w:trPr>
          <w:trHeight w:val="360"/>
        </w:trPr>
        <w:tc>
          <w:tcPr>
            <w:tcW w:w="5006" w:type="dxa"/>
            <w:noWrap/>
          </w:tcPr>
          <w:p w14:paraId="2E658EEB" w14:textId="320C4231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 w:rsidRPr="0062058E">
              <w:rPr>
                <w:rFonts w:asciiTheme="majorHAnsi" w:eastAsia="Times New Roman" w:hAnsiTheme="majorHAnsi" w:cs="Calibri"/>
                <w:color w:val="000000"/>
              </w:rPr>
              <w:t>scf_stamping_enable</w:t>
            </w:r>
            <w:proofErr w:type="spellEnd"/>
          </w:p>
        </w:tc>
        <w:tc>
          <w:tcPr>
            <w:tcW w:w="1450" w:type="dxa"/>
            <w:noWrap/>
          </w:tcPr>
          <w:p w14:paraId="0928971B" w14:textId="42C2D80A" w:rsidR="008651AB" w:rsidRPr="0062058E" w:rsidRDefault="008651AB" w:rsidP="008651AB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Cs/>
                <w:color w:val="000000"/>
              </w:rPr>
              <w:t>no</w:t>
            </w:r>
          </w:p>
        </w:tc>
        <w:tc>
          <w:tcPr>
            <w:tcW w:w="3619" w:type="dxa"/>
            <w:noWrap/>
          </w:tcPr>
          <w:p w14:paraId="75399017" w14:textId="60819EF8" w:rsidR="008651AB" w:rsidRPr="0062058E" w:rsidRDefault="00D5455A" w:rsidP="0062058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property w</w:t>
            </w:r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hen set to true, will enable multi-</w:t>
            </w:r>
            <w:proofErr w:type="spellStart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>instacing</w:t>
            </w:r>
            <w:proofErr w:type="spellEnd"/>
            <w:r w:rsidRPr="00D5455A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of SCF CMS modules.</w:t>
            </w:r>
          </w:p>
        </w:tc>
      </w:tr>
    </w:tbl>
    <w:p w14:paraId="343723E0" w14:textId="4596D6AD" w:rsidR="008651AB" w:rsidRDefault="008651AB" w:rsidP="008651AB">
      <w:pPr>
        <w:pStyle w:val="Heading2"/>
        <w:rPr>
          <w:rFonts w:ascii="Palatino Linotype" w:hAnsi="Palatino Linotype"/>
          <w:color w:val="auto"/>
        </w:rPr>
      </w:pPr>
      <w:bookmarkStart w:id="7" w:name="_Toc461049984"/>
      <w:bookmarkStart w:id="8" w:name="_Toc472974335"/>
      <w:bookmarkStart w:id="9" w:name="_Toc461049986"/>
      <w:bookmarkStart w:id="10" w:name="_Toc472974337"/>
      <w:r>
        <w:rPr>
          <w:rFonts w:ascii="Palatino Linotype" w:hAnsi="Palatino Linotype"/>
          <w:color w:val="auto"/>
        </w:rPr>
        <w:t>Mesh</w:t>
      </w:r>
      <w:r w:rsidRPr="0004677F">
        <w:rPr>
          <w:rFonts w:ascii="Palatino Linotype" w:hAnsi="Palatino Linotype"/>
          <w:color w:val="auto"/>
        </w:rPr>
        <w:t xml:space="preserve"> Property Changes</w:t>
      </w:r>
      <w:bookmarkEnd w:id="7"/>
      <w:bookmarkEnd w:id="8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585"/>
        <w:gridCol w:w="1178"/>
        <w:gridCol w:w="4312"/>
      </w:tblGrid>
      <w:tr w:rsidR="008651AB" w:rsidRPr="008651AB" w14:paraId="53F3F88F" w14:textId="77777777" w:rsidTr="00573869">
        <w:trPr>
          <w:trHeight w:val="300"/>
        </w:trPr>
        <w:tc>
          <w:tcPr>
            <w:tcW w:w="4585" w:type="dxa"/>
            <w:noWrap/>
          </w:tcPr>
          <w:p w14:paraId="47A5C84A" w14:textId="7B03B86D" w:rsidR="008651AB" w:rsidRPr="008651AB" w:rsidRDefault="008651AB" w:rsidP="008651AB">
            <w:r w:rsidRPr="001E73B9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178" w:type="dxa"/>
            <w:noWrap/>
          </w:tcPr>
          <w:p w14:paraId="3E018A09" w14:textId="58C71C7E" w:rsidR="008651AB" w:rsidRPr="008651AB" w:rsidRDefault="008651AB" w:rsidP="008651AB">
            <w:r w:rsidRPr="001E73B9">
              <w:rPr>
                <w:rFonts w:eastAsia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4312" w:type="dxa"/>
            <w:noWrap/>
          </w:tcPr>
          <w:p w14:paraId="5C195C3A" w14:textId="699CE104" w:rsidR="008651AB" w:rsidRPr="008651AB" w:rsidRDefault="008651AB" w:rsidP="008651AB">
            <w:r w:rsidRPr="001E73B9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8651AB" w:rsidRPr="008651AB" w14:paraId="6FCB7549" w14:textId="77777777" w:rsidTr="00573869">
        <w:trPr>
          <w:trHeight w:val="300"/>
        </w:trPr>
        <w:tc>
          <w:tcPr>
            <w:tcW w:w="4585" w:type="dxa"/>
            <w:noWrap/>
          </w:tcPr>
          <w:p w14:paraId="4F22C34C" w14:textId="6336151C" w:rsidR="008651AB" w:rsidRPr="008651AB" w:rsidRDefault="008651AB" w:rsidP="008651AB">
            <w:proofErr w:type="spellStart"/>
            <w:r w:rsidRPr="008651AB">
              <w:t>security_interrupt_enable</w:t>
            </w:r>
            <w:proofErr w:type="spellEnd"/>
          </w:p>
        </w:tc>
        <w:tc>
          <w:tcPr>
            <w:tcW w:w="1178" w:type="dxa"/>
            <w:noWrap/>
          </w:tcPr>
          <w:p w14:paraId="03AB2C5B" w14:textId="66B3AC21" w:rsidR="008651AB" w:rsidRPr="008651AB" w:rsidRDefault="008651AB" w:rsidP="008651AB">
            <w:r w:rsidRPr="008651AB">
              <w:t>no</w:t>
            </w:r>
          </w:p>
        </w:tc>
        <w:tc>
          <w:tcPr>
            <w:tcW w:w="4312" w:type="dxa"/>
            <w:noWrap/>
          </w:tcPr>
          <w:p w14:paraId="58D14831" w14:textId="1121FC1C" w:rsidR="008651AB" w:rsidRPr="008651AB" w:rsidRDefault="00D5455A" w:rsidP="00D5455A">
            <w:pPr>
              <w:jc w:val="both"/>
            </w:pPr>
            <w:r>
              <w:t>This property is used to expose/tie-off a security interrupt signal from all modules.</w:t>
            </w:r>
          </w:p>
        </w:tc>
      </w:tr>
      <w:tr w:rsidR="008651AB" w:rsidRPr="008651AB" w14:paraId="38CD4462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73B266A7" w14:textId="77777777" w:rsidR="008651AB" w:rsidRPr="008651AB" w:rsidRDefault="008651AB" w:rsidP="008651AB">
            <w:proofErr w:type="spellStart"/>
            <w:r w:rsidRPr="008651AB">
              <w:t>visa_enable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1E18F866" w14:textId="35E9B29D" w:rsidR="008651AB" w:rsidRPr="008651AB" w:rsidRDefault="008651AB" w:rsidP="008651AB">
            <w:r w:rsidRPr="008651AB">
              <w:t>no</w:t>
            </w:r>
          </w:p>
        </w:tc>
        <w:tc>
          <w:tcPr>
            <w:tcW w:w="4312" w:type="dxa"/>
            <w:noWrap/>
          </w:tcPr>
          <w:p w14:paraId="3EFE31E7" w14:textId="06586F6C" w:rsidR="008651AB" w:rsidRPr="008651AB" w:rsidRDefault="00D5455A" w:rsidP="00D5455A">
            <w:pPr>
              <w:jc w:val="both"/>
            </w:pPr>
            <w:r>
              <w:t xml:space="preserve">This property </w:t>
            </w:r>
            <w:proofErr w:type="spellStart"/>
            <w:r>
              <w:t>hhen</w:t>
            </w:r>
            <w:proofErr w:type="spellEnd"/>
            <w:r>
              <w:t xml:space="preserve"> set to true, the VISA pins are generated for the mesh stops during gen_ip.</w:t>
            </w:r>
          </w:p>
        </w:tc>
      </w:tr>
      <w:tr w:rsidR="008651AB" w:rsidRPr="008651AB" w14:paraId="1EAF4A3D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35C538CC" w14:textId="77777777" w:rsidR="008651AB" w:rsidRPr="008651AB" w:rsidRDefault="008651AB" w:rsidP="008651AB">
            <w:proofErr w:type="spellStart"/>
            <w:r w:rsidRPr="008651AB">
              <w:t>intel_inst_enable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6A20B1BD" w14:textId="61760687" w:rsidR="008651AB" w:rsidRPr="008651AB" w:rsidRDefault="008651AB" w:rsidP="008651AB">
            <w:r w:rsidRPr="008651AB">
              <w:t>no</w:t>
            </w:r>
          </w:p>
        </w:tc>
        <w:tc>
          <w:tcPr>
            <w:tcW w:w="4312" w:type="dxa"/>
            <w:noWrap/>
          </w:tcPr>
          <w:p w14:paraId="034F9261" w14:textId="36048013" w:rsidR="008651AB" w:rsidRPr="008651AB" w:rsidRDefault="00D5455A" w:rsidP="00D5455A">
            <w:pPr>
              <w:jc w:val="both"/>
            </w:pPr>
            <w:r>
              <w:t xml:space="preserve">This property when set to true, the pins guarded by INTEL_INST_ON in the RTL </w:t>
            </w:r>
            <w:r>
              <w:lastRenderedPageBreak/>
              <w:t>are also generated in the wrapper during gen_ip.</w:t>
            </w:r>
          </w:p>
        </w:tc>
      </w:tr>
      <w:tr w:rsidR="008651AB" w:rsidRPr="008651AB" w14:paraId="033931E1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45BFC614" w14:textId="77777777" w:rsidR="008651AB" w:rsidRPr="008651AB" w:rsidRDefault="008651AB" w:rsidP="008651AB">
            <w:proofErr w:type="spellStart"/>
            <w:r w:rsidRPr="00D5455A">
              <w:rPr>
                <w:highlight w:val="red"/>
              </w:rPr>
              <w:lastRenderedPageBreak/>
              <w:t>last_leg_credit_enable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691EB56B" w14:textId="07E54C8D" w:rsidR="008651AB" w:rsidRPr="008651AB" w:rsidRDefault="008651AB" w:rsidP="008651AB">
            <w:r w:rsidRPr="008651AB">
              <w:t>no</w:t>
            </w:r>
          </w:p>
        </w:tc>
        <w:tc>
          <w:tcPr>
            <w:tcW w:w="4312" w:type="dxa"/>
            <w:noWrap/>
          </w:tcPr>
          <w:p w14:paraId="5A22C700" w14:textId="0C910B21" w:rsidR="008651AB" w:rsidRPr="008651AB" w:rsidRDefault="008651AB" w:rsidP="00D5455A">
            <w:pPr>
              <w:jc w:val="both"/>
            </w:pPr>
          </w:p>
        </w:tc>
      </w:tr>
      <w:tr w:rsidR="008651AB" w:rsidRPr="008651AB" w14:paraId="72F2BDB9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443B4746" w14:textId="77777777" w:rsidR="008651AB" w:rsidRPr="008651AB" w:rsidRDefault="008651AB" w:rsidP="008651AB">
            <w:proofErr w:type="spellStart"/>
            <w:r w:rsidRPr="008651AB">
              <w:t>sbo_to_ta_credit_enable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312A2DA9" w14:textId="02B67918" w:rsidR="008651AB" w:rsidRPr="008651AB" w:rsidRDefault="008651AB" w:rsidP="008651AB">
            <w:r w:rsidRPr="008651AB">
              <w:t>yes</w:t>
            </w:r>
          </w:p>
        </w:tc>
        <w:tc>
          <w:tcPr>
            <w:tcW w:w="4312" w:type="dxa"/>
            <w:noWrap/>
          </w:tcPr>
          <w:p w14:paraId="3A268616" w14:textId="14AE0175" w:rsidR="008651AB" w:rsidRPr="008651AB" w:rsidRDefault="00D5455A" w:rsidP="00D5455A">
            <w:pPr>
              <w:jc w:val="both"/>
            </w:pPr>
            <w:r>
              <w:t>This property when f</w:t>
            </w:r>
            <w:r w:rsidRPr="00D5455A">
              <w:t>alse</w:t>
            </w:r>
            <w:r>
              <w:t xml:space="preserve">, the </w:t>
            </w:r>
            <w:r w:rsidRPr="00D5455A">
              <w:t>source gets credit to TA</w:t>
            </w:r>
            <w:r w:rsidR="004A56A6">
              <w:t>. Else, the</w:t>
            </w:r>
            <w:r w:rsidRPr="00D5455A">
              <w:t xml:space="preserve"> SBO gets credit to TA.</w:t>
            </w:r>
          </w:p>
        </w:tc>
      </w:tr>
      <w:tr w:rsidR="008651AB" w:rsidRPr="008651AB" w14:paraId="53DC2EC7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65656A33" w14:textId="77777777" w:rsidR="008651AB" w:rsidRPr="008651AB" w:rsidRDefault="008651AB" w:rsidP="008651AB">
            <w:proofErr w:type="spellStart"/>
            <w:r w:rsidRPr="008651AB">
              <w:t>two_flit_col_polarity_mode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7EA81A70" w14:textId="2D504637" w:rsidR="008651AB" w:rsidRPr="008651AB" w:rsidRDefault="008651AB" w:rsidP="008651AB">
            <w:proofErr w:type="spellStart"/>
            <w:r w:rsidRPr="008651AB">
              <w:t>even_odd</w:t>
            </w:r>
            <w:proofErr w:type="spellEnd"/>
          </w:p>
        </w:tc>
        <w:tc>
          <w:tcPr>
            <w:tcW w:w="4312" w:type="dxa"/>
            <w:noWrap/>
          </w:tcPr>
          <w:p w14:paraId="120B3AD1" w14:textId="7D198AD9" w:rsidR="008651AB" w:rsidRPr="008651AB" w:rsidRDefault="004A56A6" w:rsidP="004A56A6">
            <w:pPr>
              <w:jc w:val="both"/>
            </w:pPr>
            <w:r>
              <w:t>This property is used to set the mode of injection of flits into the vertical ring from the host port, based on the polarity.</w:t>
            </w:r>
          </w:p>
        </w:tc>
      </w:tr>
      <w:tr w:rsidR="008651AB" w:rsidRPr="008651AB" w14:paraId="00D455EB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40FB73BE" w14:textId="77777777" w:rsidR="008651AB" w:rsidRPr="008651AB" w:rsidRDefault="008651AB" w:rsidP="008651AB">
            <w:proofErr w:type="spellStart"/>
            <w:r w:rsidRPr="008651AB">
              <w:t>two_flit_row_polarity_mode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099405A3" w14:textId="7BA2842C" w:rsidR="008651AB" w:rsidRPr="008651AB" w:rsidRDefault="008651AB" w:rsidP="008651AB">
            <w:proofErr w:type="spellStart"/>
            <w:r w:rsidRPr="008651AB">
              <w:t>even_odd</w:t>
            </w:r>
            <w:proofErr w:type="spellEnd"/>
          </w:p>
        </w:tc>
        <w:tc>
          <w:tcPr>
            <w:tcW w:w="4312" w:type="dxa"/>
            <w:noWrap/>
          </w:tcPr>
          <w:p w14:paraId="0EA8E7E1" w14:textId="3B0CE38A" w:rsidR="008651AB" w:rsidRPr="008651AB" w:rsidRDefault="004A56A6" w:rsidP="004A56A6">
            <w:pPr>
              <w:jc w:val="both"/>
            </w:pPr>
            <w:r>
              <w:t>This property is used to set the mode of injection of flits into the horizontal ring from the TG, based on the polarity.</w:t>
            </w:r>
          </w:p>
        </w:tc>
      </w:tr>
      <w:tr w:rsidR="008651AB" w:rsidRPr="008651AB" w14:paraId="2DF90128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6CF0CE2B" w14:textId="77777777" w:rsidR="008651AB" w:rsidRPr="008651AB" w:rsidRDefault="008651AB" w:rsidP="008651AB">
            <w:proofErr w:type="spellStart"/>
            <w:r w:rsidRPr="008651AB">
              <w:t>global_back_pressure_type</w:t>
            </w:r>
            <w:proofErr w:type="spellEnd"/>
          </w:p>
        </w:tc>
        <w:tc>
          <w:tcPr>
            <w:tcW w:w="1178" w:type="dxa"/>
            <w:noWrap/>
            <w:hideMark/>
          </w:tcPr>
          <w:p w14:paraId="6D22317E" w14:textId="24B574D0" w:rsidR="008651AB" w:rsidRPr="008651AB" w:rsidRDefault="008651AB" w:rsidP="008651AB">
            <w:r w:rsidRPr="008651AB">
              <w:t>none</w:t>
            </w:r>
          </w:p>
        </w:tc>
        <w:tc>
          <w:tcPr>
            <w:tcW w:w="4312" w:type="dxa"/>
            <w:noWrap/>
          </w:tcPr>
          <w:p w14:paraId="53D1AD7A" w14:textId="3304DF0B" w:rsidR="008651AB" w:rsidRPr="008651AB" w:rsidRDefault="004A56A6" w:rsidP="004A56A6">
            <w:pPr>
              <w:jc w:val="both"/>
            </w:pPr>
            <w:r>
              <w:t>This property is used to set the global back pressure mechanism in the NoC.</w:t>
            </w:r>
          </w:p>
        </w:tc>
      </w:tr>
      <w:tr w:rsidR="008651AB" w:rsidRPr="008651AB" w14:paraId="398A27B1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44AE1B38" w14:textId="77777777" w:rsidR="008651AB" w:rsidRPr="008651AB" w:rsidRDefault="008651AB" w:rsidP="008651AB">
            <w:proofErr w:type="spellStart"/>
            <w:r w:rsidRPr="008651AB">
              <w:t>back_pressure_threshold</w:t>
            </w:r>
            <w:proofErr w:type="spellEnd"/>
          </w:p>
        </w:tc>
        <w:tc>
          <w:tcPr>
            <w:tcW w:w="1178" w:type="dxa"/>
            <w:noWrap/>
            <w:hideMark/>
          </w:tcPr>
          <w:p w14:paraId="66571C51" w14:textId="604F0788" w:rsidR="008651AB" w:rsidRPr="008651AB" w:rsidRDefault="008651AB" w:rsidP="008651AB">
            <w:r w:rsidRPr="008651AB">
              <w:t>3</w:t>
            </w:r>
          </w:p>
        </w:tc>
        <w:tc>
          <w:tcPr>
            <w:tcW w:w="4312" w:type="dxa"/>
            <w:noWrap/>
          </w:tcPr>
          <w:p w14:paraId="36E63BA0" w14:textId="36FAE514" w:rsidR="008651AB" w:rsidRPr="008651AB" w:rsidRDefault="004A56A6" w:rsidP="00D5455A">
            <w:pPr>
              <w:jc w:val="both"/>
            </w:pPr>
            <w:r>
              <w:t>This property sets the n</w:t>
            </w:r>
            <w:r w:rsidRPr="004A56A6">
              <w:t>umber of m</w:t>
            </w:r>
            <w:r>
              <w:t>es</w:t>
            </w:r>
            <w:r w:rsidRPr="004A56A6">
              <w:t>s</w:t>
            </w:r>
            <w:r>
              <w:t>a</w:t>
            </w:r>
            <w:r w:rsidRPr="004A56A6">
              <w:t>g</w:t>
            </w:r>
            <w:r>
              <w:t>e</w:t>
            </w:r>
            <w:r w:rsidRPr="004A56A6">
              <w:t>s of space left in buffers to enable global</w:t>
            </w:r>
            <w:r>
              <w:t>.</w:t>
            </w:r>
          </w:p>
        </w:tc>
      </w:tr>
      <w:tr w:rsidR="008651AB" w:rsidRPr="008651AB" w14:paraId="50D42109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04217E7B" w14:textId="77777777" w:rsidR="008651AB" w:rsidRPr="008651AB" w:rsidRDefault="008651AB" w:rsidP="008651AB">
            <w:proofErr w:type="spellStart"/>
            <w:r w:rsidRPr="008651AB">
              <w:t>throttling_hysterisis</w:t>
            </w:r>
            <w:proofErr w:type="spellEnd"/>
          </w:p>
        </w:tc>
        <w:tc>
          <w:tcPr>
            <w:tcW w:w="1178" w:type="dxa"/>
            <w:noWrap/>
            <w:hideMark/>
          </w:tcPr>
          <w:p w14:paraId="13FDEB9C" w14:textId="52E0E08B" w:rsidR="008651AB" w:rsidRPr="008651AB" w:rsidRDefault="008651AB" w:rsidP="008651AB">
            <w:r w:rsidRPr="008651AB">
              <w:t>10</w:t>
            </w:r>
          </w:p>
        </w:tc>
        <w:tc>
          <w:tcPr>
            <w:tcW w:w="4312" w:type="dxa"/>
            <w:noWrap/>
          </w:tcPr>
          <w:p w14:paraId="0F44789F" w14:textId="628BC641" w:rsidR="008651AB" w:rsidRPr="008651AB" w:rsidRDefault="004A56A6" w:rsidP="004A56A6">
            <w:pPr>
              <w:tabs>
                <w:tab w:val="left" w:pos="1069"/>
              </w:tabs>
              <w:jc w:val="both"/>
            </w:pPr>
            <w:r>
              <w:t xml:space="preserve">This property sets the number of cycles for the throttled sender to remain throttled before </w:t>
            </w:r>
            <w:proofErr w:type="spellStart"/>
            <w:r>
              <w:t>resuminng</w:t>
            </w:r>
            <w:proofErr w:type="spellEnd"/>
            <w:r>
              <w:t xml:space="preserve"> at usual rate.</w:t>
            </w:r>
          </w:p>
        </w:tc>
      </w:tr>
      <w:tr w:rsidR="008651AB" w:rsidRPr="008651AB" w14:paraId="534A6B39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750435BA" w14:textId="77777777" w:rsidR="008651AB" w:rsidRPr="008651AB" w:rsidRDefault="008651AB" w:rsidP="008651AB">
            <w:proofErr w:type="spellStart"/>
            <w:r w:rsidRPr="008651AB">
              <w:t>sink_rule_policy</w:t>
            </w:r>
            <w:proofErr w:type="spellEnd"/>
          </w:p>
        </w:tc>
        <w:tc>
          <w:tcPr>
            <w:tcW w:w="1178" w:type="dxa"/>
            <w:noWrap/>
            <w:hideMark/>
          </w:tcPr>
          <w:p w14:paraId="3D8E0A25" w14:textId="1813232B" w:rsidR="008651AB" w:rsidRPr="008651AB" w:rsidRDefault="008651AB" w:rsidP="008651AB">
            <w:r w:rsidRPr="008651AB">
              <w:t>stripes</w:t>
            </w:r>
          </w:p>
        </w:tc>
        <w:tc>
          <w:tcPr>
            <w:tcW w:w="4312" w:type="dxa"/>
            <w:noWrap/>
          </w:tcPr>
          <w:p w14:paraId="0D2804BC" w14:textId="1A778A80" w:rsidR="008651AB" w:rsidRPr="008651AB" w:rsidRDefault="004A56A6" w:rsidP="004A56A6">
            <w:pPr>
              <w:jc w:val="both"/>
            </w:pPr>
            <w:r>
              <w:t>This property is used to set the policy used to set the sink rules on all bridges.</w:t>
            </w:r>
          </w:p>
        </w:tc>
      </w:tr>
      <w:tr w:rsidR="008651AB" w:rsidRPr="008651AB" w14:paraId="0E1EAFD8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69005C1F" w14:textId="77777777" w:rsidR="008651AB" w:rsidRPr="008651AB" w:rsidRDefault="008651AB" w:rsidP="008651AB">
            <w:proofErr w:type="spellStart"/>
            <w:r w:rsidRPr="008651AB">
              <w:t>enable_fast_map</w:t>
            </w:r>
            <w:proofErr w:type="spellEnd"/>
          </w:p>
        </w:tc>
        <w:tc>
          <w:tcPr>
            <w:tcW w:w="1178" w:type="dxa"/>
            <w:noWrap/>
            <w:hideMark/>
          </w:tcPr>
          <w:p w14:paraId="4DDAF91D" w14:textId="3138E6F6" w:rsidR="008651AB" w:rsidRPr="008651AB" w:rsidRDefault="008651AB" w:rsidP="008651AB">
            <w:r w:rsidRPr="008651AB">
              <w:t>yes</w:t>
            </w:r>
          </w:p>
        </w:tc>
        <w:tc>
          <w:tcPr>
            <w:tcW w:w="4312" w:type="dxa"/>
            <w:noWrap/>
          </w:tcPr>
          <w:p w14:paraId="64939DEE" w14:textId="0D9701B5" w:rsidR="008651AB" w:rsidRPr="008651AB" w:rsidRDefault="004A56A6" w:rsidP="00D5455A">
            <w:pPr>
              <w:jc w:val="both"/>
            </w:pPr>
            <w:r w:rsidRPr="004A56A6">
              <w:t>When this property is set to true, the mapping speed is increased.</w:t>
            </w:r>
          </w:p>
        </w:tc>
      </w:tr>
      <w:tr w:rsidR="008651AB" w:rsidRPr="008651AB" w14:paraId="69E37ABE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4A4CB906" w14:textId="77777777" w:rsidR="008651AB" w:rsidRPr="008651AB" w:rsidRDefault="008651AB" w:rsidP="008651AB">
            <w:proofErr w:type="spellStart"/>
            <w:r w:rsidRPr="008651AB">
              <w:t>throttling_rate_factor</w:t>
            </w:r>
            <w:proofErr w:type="spellEnd"/>
          </w:p>
        </w:tc>
        <w:tc>
          <w:tcPr>
            <w:tcW w:w="1178" w:type="dxa"/>
            <w:noWrap/>
            <w:hideMark/>
          </w:tcPr>
          <w:p w14:paraId="7C6306EC" w14:textId="6F014A00" w:rsidR="008651AB" w:rsidRPr="008651AB" w:rsidRDefault="008651AB" w:rsidP="008651AB">
            <w:r w:rsidRPr="008651AB">
              <w:t>0.5</w:t>
            </w:r>
          </w:p>
        </w:tc>
        <w:tc>
          <w:tcPr>
            <w:tcW w:w="4312" w:type="dxa"/>
            <w:noWrap/>
          </w:tcPr>
          <w:p w14:paraId="7E0D9393" w14:textId="5113412B" w:rsidR="008651AB" w:rsidRPr="008651AB" w:rsidRDefault="004A56A6" w:rsidP="004A56A6">
            <w:pPr>
              <w:jc w:val="both"/>
            </w:pPr>
            <w:r>
              <w:t>This property sets the throttle rate factor for the mesh stop that the injection rate of the throttled mesh stop will be reduced by.</w:t>
            </w:r>
          </w:p>
        </w:tc>
      </w:tr>
      <w:tr w:rsidR="008651AB" w:rsidRPr="008651AB" w14:paraId="72769238" w14:textId="77777777" w:rsidTr="00573869">
        <w:trPr>
          <w:trHeight w:val="300"/>
        </w:trPr>
        <w:tc>
          <w:tcPr>
            <w:tcW w:w="4585" w:type="dxa"/>
            <w:noWrap/>
            <w:hideMark/>
          </w:tcPr>
          <w:p w14:paraId="56E8AD1A" w14:textId="77777777" w:rsidR="008651AB" w:rsidRPr="008651AB" w:rsidRDefault="008651AB" w:rsidP="008651AB">
            <w:r w:rsidRPr="008651AB">
              <w:t>enable_1x_mode</w:t>
            </w:r>
          </w:p>
        </w:tc>
        <w:tc>
          <w:tcPr>
            <w:tcW w:w="1178" w:type="dxa"/>
            <w:noWrap/>
            <w:hideMark/>
          </w:tcPr>
          <w:p w14:paraId="3745B5BB" w14:textId="1F80CBA7" w:rsidR="008651AB" w:rsidRPr="008651AB" w:rsidRDefault="008651AB" w:rsidP="008651AB">
            <w:r w:rsidRPr="008651AB">
              <w:t>no</w:t>
            </w:r>
          </w:p>
        </w:tc>
        <w:tc>
          <w:tcPr>
            <w:tcW w:w="4312" w:type="dxa"/>
            <w:noWrap/>
          </w:tcPr>
          <w:p w14:paraId="0859A75F" w14:textId="3E3855E3" w:rsidR="008651AB" w:rsidRPr="008651AB" w:rsidRDefault="004A56A6" w:rsidP="00D5455A">
            <w:pPr>
              <w:jc w:val="both"/>
            </w:pPr>
            <w:r w:rsidRPr="004A56A6">
              <w:t>This property enables 1x mode in simulation.</w:t>
            </w:r>
          </w:p>
        </w:tc>
      </w:tr>
    </w:tbl>
    <w:p w14:paraId="46B681C4" w14:textId="77777777" w:rsidR="008651AB" w:rsidRPr="008651AB" w:rsidRDefault="008651AB" w:rsidP="008651AB"/>
    <w:p w14:paraId="35526BDB" w14:textId="14B033B2" w:rsidR="007862EC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1" w:name="_GoBack"/>
      <w:bookmarkEnd w:id="11"/>
      <w:r w:rsidRPr="0004677F">
        <w:rPr>
          <w:rFonts w:ascii="Palatino Linotype" w:hAnsi="Palatino Linotype"/>
          <w:color w:val="auto"/>
        </w:rPr>
        <w:lastRenderedPageBreak/>
        <w:t>Bridge Property Changes</w:t>
      </w:r>
      <w:bookmarkEnd w:id="9"/>
      <w:bookmarkEnd w:id="1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986"/>
        <w:gridCol w:w="4054"/>
      </w:tblGrid>
      <w:tr w:rsidR="008651AB" w:rsidRPr="009655A7" w14:paraId="60B672B9" w14:textId="77777777" w:rsidTr="00573869">
        <w:trPr>
          <w:trHeight w:val="300"/>
        </w:trPr>
        <w:tc>
          <w:tcPr>
            <w:tcW w:w="5035" w:type="dxa"/>
            <w:noWrap/>
          </w:tcPr>
          <w:p w14:paraId="57F3F48B" w14:textId="0F099F86" w:rsidR="008651AB" w:rsidRPr="009655A7" w:rsidRDefault="008651AB" w:rsidP="008651AB">
            <w:pPr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986" w:type="dxa"/>
            <w:noWrap/>
          </w:tcPr>
          <w:p w14:paraId="44F9521C" w14:textId="7F3986E2" w:rsidR="008651AB" w:rsidRPr="009655A7" w:rsidRDefault="008651AB" w:rsidP="008651AB">
            <w:pPr>
              <w:rPr>
                <w:b/>
                <w:bCs/>
              </w:rPr>
            </w:pPr>
            <w:r w:rsidRPr="009655A7">
              <w:rPr>
                <w:b/>
                <w:bCs/>
              </w:rPr>
              <w:t>Default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4054" w:type="dxa"/>
            <w:noWrap/>
          </w:tcPr>
          <w:p w14:paraId="2BCFDF4E" w14:textId="5CF87693" w:rsidR="008651AB" w:rsidRPr="009655A7" w:rsidRDefault="008651AB" w:rsidP="008651AB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5464C" w:rsidRPr="009655A7" w14:paraId="175C6CBA" w14:textId="77777777" w:rsidTr="00573869">
        <w:trPr>
          <w:trHeight w:val="300"/>
        </w:trPr>
        <w:tc>
          <w:tcPr>
            <w:tcW w:w="5035" w:type="dxa"/>
            <w:noWrap/>
          </w:tcPr>
          <w:p w14:paraId="4949704A" w14:textId="7FEB8B28" w:rsidR="0005464C" w:rsidRDefault="0005464C" w:rsidP="008651A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arbitration_mode</w:t>
            </w:r>
            <w:proofErr w:type="spellEnd"/>
          </w:p>
        </w:tc>
        <w:tc>
          <w:tcPr>
            <w:tcW w:w="986" w:type="dxa"/>
            <w:noWrap/>
          </w:tcPr>
          <w:p w14:paraId="2165A25F" w14:textId="7BBB38C0" w:rsidR="0005464C" w:rsidRPr="009655A7" w:rsidRDefault="0005464C" w:rsidP="008651AB">
            <w:r>
              <w:t>static</w:t>
            </w:r>
          </w:p>
        </w:tc>
        <w:tc>
          <w:tcPr>
            <w:tcW w:w="4054" w:type="dxa"/>
            <w:noWrap/>
          </w:tcPr>
          <w:p w14:paraId="5312E808" w14:textId="6A322D8C" w:rsidR="0005464C" w:rsidRPr="009655A7" w:rsidRDefault="00573869" w:rsidP="00573869">
            <w:pPr>
              <w:jc w:val="both"/>
            </w:pPr>
            <w:r>
              <w:t>This property is used to control the type of arbitration used for the output port of the bridge.</w:t>
            </w:r>
          </w:p>
        </w:tc>
      </w:tr>
    </w:tbl>
    <w:p w14:paraId="34E504A4" w14:textId="50EFDBB9" w:rsidR="00E31B8D" w:rsidRDefault="007862EC" w:rsidP="00E31B8D">
      <w:pPr>
        <w:pStyle w:val="Heading2"/>
        <w:rPr>
          <w:rFonts w:ascii="Palatino Linotype" w:hAnsi="Palatino Linotype"/>
          <w:color w:val="auto"/>
        </w:rPr>
      </w:pPr>
      <w:bookmarkStart w:id="12" w:name="_Toc461049987"/>
      <w:bookmarkStart w:id="13" w:name="_Toc472974338"/>
      <w:r w:rsidRPr="0004677F">
        <w:rPr>
          <w:rFonts w:ascii="Palatino Linotype" w:hAnsi="Palatino Linotype"/>
          <w:color w:val="auto"/>
        </w:rPr>
        <w:t>Host Property Changes</w:t>
      </w:r>
      <w:bookmarkStart w:id="14" w:name="_Toc461049988"/>
      <w:bookmarkStart w:id="15" w:name="_Toc472974339"/>
      <w:bookmarkEnd w:id="12"/>
      <w:bookmarkEnd w:id="13"/>
    </w:p>
    <w:p w14:paraId="1CCD2160" w14:textId="0EAF39CB" w:rsidR="00E31B8D" w:rsidRPr="00E31B8D" w:rsidRDefault="00E31B8D" w:rsidP="00E31B8D">
      <w:r>
        <w:t>None</w:t>
      </w:r>
    </w:p>
    <w:p w14:paraId="0C91B0B4" w14:textId="7668FDFF" w:rsidR="007862EC" w:rsidRDefault="007862EC" w:rsidP="00E31B8D">
      <w:pPr>
        <w:pStyle w:val="Heading2"/>
        <w:rPr>
          <w:rFonts w:ascii="Palatino Linotype" w:hAnsi="Palatino Linotype"/>
          <w:color w:val="auto"/>
        </w:rPr>
      </w:pPr>
      <w:r w:rsidRPr="0004677F">
        <w:rPr>
          <w:rFonts w:ascii="Palatino Linotype" w:hAnsi="Palatino Linotype"/>
          <w:color w:val="auto"/>
        </w:rPr>
        <w:t>Interface Property Changes</w:t>
      </w:r>
      <w:bookmarkEnd w:id="14"/>
      <w:bookmarkEnd w:id="15"/>
    </w:p>
    <w:p w14:paraId="4B719029" w14:textId="7102263F" w:rsidR="0005464C" w:rsidRPr="0005464C" w:rsidRDefault="0005464C" w:rsidP="0005464C">
      <w:r w:rsidRPr="0005464C">
        <w:fldChar w:fldCharType="begin"/>
      </w:r>
      <w:r w:rsidRPr="0005464C">
        <w:instrText xml:space="preserve"> LINK </w:instrText>
      </w:r>
      <w:r w:rsidR="00E31B8D">
        <w:instrText xml:space="preserve">Excel.Sheet.12 C:\\Users\\skasarab\\Downloads\\PropertyDiffs-1907-release.xlsx Interface!R2C1:R8C3 </w:instrText>
      </w:r>
      <w:r w:rsidRPr="0005464C">
        <w:instrText xml:space="preserve">\a \f 5 \h  \* MERGEFORMAT </w:instrText>
      </w:r>
      <w:r w:rsidRPr="0005464C">
        <w:fldChar w:fldCharType="separate"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1198"/>
        <w:gridCol w:w="3842"/>
      </w:tblGrid>
      <w:tr w:rsidR="007C1D81" w:rsidRPr="00D1524E" w14:paraId="08774F7C" w14:textId="77777777" w:rsidTr="00D1524E">
        <w:tc>
          <w:tcPr>
            <w:tcW w:w="5035" w:type="dxa"/>
          </w:tcPr>
          <w:p w14:paraId="372202A2" w14:textId="7074AEFC" w:rsidR="007C1D81" w:rsidRPr="00D1524E" w:rsidRDefault="007C1D81" w:rsidP="0005464C">
            <w:pPr>
              <w:rPr>
                <w:b/>
              </w:rPr>
            </w:pPr>
            <w:r w:rsidRPr="00D1524E">
              <w:rPr>
                <w:b/>
              </w:rPr>
              <w:t>Property Name</w:t>
            </w:r>
          </w:p>
        </w:tc>
        <w:tc>
          <w:tcPr>
            <w:tcW w:w="1198" w:type="dxa"/>
          </w:tcPr>
          <w:p w14:paraId="2ECBCB2F" w14:textId="37C4F4B4" w:rsidR="007C1D81" w:rsidRPr="00D1524E" w:rsidRDefault="00D1524E" w:rsidP="0005464C">
            <w:pPr>
              <w:rPr>
                <w:b/>
              </w:rPr>
            </w:pPr>
            <w:r w:rsidRPr="00D1524E">
              <w:rPr>
                <w:b/>
              </w:rPr>
              <w:t>Default Value</w:t>
            </w:r>
          </w:p>
        </w:tc>
        <w:tc>
          <w:tcPr>
            <w:tcW w:w="3842" w:type="dxa"/>
          </w:tcPr>
          <w:p w14:paraId="5B3E84BE" w14:textId="5CD46C33" w:rsidR="007C1D81" w:rsidRPr="00D1524E" w:rsidRDefault="00D1524E" w:rsidP="0005464C">
            <w:pPr>
              <w:rPr>
                <w:b/>
              </w:rPr>
            </w:pPr>
            <w:r w:rsidRPr="00D1524E">
              <w:rPr>
                <w:b/>
              </w:rPr>
              <w:t>Comment</w:t>
            </w:r>
          </w:p>
        </w:tc>
      </w:tr>
      <w:tr w:rsidR="007C1D81" w:rsidRPr="00D1524E" w14:paraId="0398D390" w14:textId="77777777" w:rsidTr="00D1524E">
        <w:tc>
          <w:tcPr>
            <w:tcW w:w="5035" w:type="dxa"/>
          </w:tcPr>
          <w:p w14:paraId="6430EF15" w14:textId="6DC97EE4" w:rsidR="007C1D81" w:rsidRPr="00074D1B" w:rsidRDefault="00D1524E" w:rsidP="0005464C">
            <w:proofErr w:type="spellStart"/>
            <w:r w:rsidRPr="00074D1B">
              <w:t>rate_limit_incr_trigger</w:t>
            </w:r>
            <w:proofErr w:type="spellEnd"/>
          </w:p>
        </w:tc>
        <w:tc>
          <w:tcPr>
            <w:tcW w:w="1198" w:type="dxa"/>
          </w:tcPr>
          <w:p w14:paraId="4450EAD2" w14:textId="6E65C459" w:rsidR="007C1D81" w:rsidRPr="00074D1B" w:rsidRDefault="00D1524E" w:rsidP="0005464C">
            <w:r w:rsidRPr="00074D1B">
              <w:t>no</w:t>
            </w:r>
          </w:p>
        </w:tc>
        <w:tc>
          <w:tcPr>
            <w:tcW w:w="3842" w:type="dxa"/>
          </w:tcPr>
          <w:p w14:paraId="6F4D4D3B" w14:textId="1589872A" w:rsidR="007C1D81" w:rsidRPr="00D1524E" w:rsidRDefault="00074D1B" w:rsidP="00074D1B">
            <w:pPr>
              <w:jc w:val="both"/>
            </w:pPr>
            <w:r>
              <w:t>When a credited packet with this label is sent or received, add a token to the rate limiter for that packet's src/dest.</w:t>
            </w:r>
          </w:p>
        </w:tc>
      </w:tr>
      <w:tr w:rsidR="007C1D81" w:rsidRPr="00D1524E" w14:paraId="4301A892" w14:textId="77777777" w:rsidTr="00D1524E">
        <w:tc>
          <w:tcPr>
            <w:tcW w:w="5035" w:type="dxa"/>
          </w:tcPr>
          <w:p w14:paraId="18F8E9FF" w14:textId="28691353" w:rsidR="007C1D81" w:rsidRPr="00074D1B" w:rsidRDefault="00D1524E" w:rsidP="0005464C">
            <w:proofErr w:type="spellStart"/>
            <w:r w:rsidRPr="00074D1B">
              <w:t>rate_limit_decr_trigger</w:t>
            </w:r>
            <w:proofErr w:type="spellEnd"/>
          </w:p>
        </w:tc>
        <w:tc>
          <w:tcPr>
            <w:tcW w:w="1198" w:type="dxa"/>
          </w:tcPr>
          <w:p w14:paraId="20359555" w14:textId="2C412EA8" w:rsidR="007C1D81" w:rsidRPr="00074D1B" w:rsidRDefault="00D1524E" w:rsidP="0005464C">
            <w:r w:rsidRPr="00074D1B">
              <w:t>no</w:t>
            </w:r>
          </w:p>
        </w:tc>
        <w:tc>
          <w:tcPr>
            <w:tcW w:w="3842" w:type="dxa"/>
          </w:tcPr>
          <w:p w14:paraId="7B504109" w14:textId="77777777" w:rsidR="00074D1B" w:rsidRDefault="00074D1B" w:rsidP="00074D1B">
            <w:pPr>
              <w:jc w:val="both"/>
            </w:pPr>
            <w:r>
              <w:t>When a credited packet with this label is sent, use a token from the rate</w:t>
            </w:r>
          </w:p>
          <w:p w14:paraId="42AEB279" w14:textId="50DBEB28" w:rsidR="007C1D81" w:rsidRPr="00D1524E" w:rsidRDefault="00074D1B" w:rsidP="00074D1B">
            <w:pPr>
              <w:jc w:val="both"/>
            </w:pPr>
            <w:r>
              <w:t xml:space="preserve">    limiter for that packet's dest.</w:t>
            </w:r>
          </w:p>
        </w:tc>
      </w:tr>
      <w:tr w:rsidR="00D1524E" w:rsidRPr="00D1524E" w14:paraId="7EB58AA0" w14:textId="77777777" w:rsidTr="00D1524E">
        <w:tc>
          <w:tcPr>
            <w:tcW w:w="5035" w:type="dxa"/>
          </w:tcPr>
          <w:p w14:paraId="2FF6E943" w14:textId="0B1F4767" w:rsidR="00D1524E" w:rsidRPr="00D1524E" w:rsidRDefault="00D1524E" w:rsidP="0005464C">
            <w:proofErr w:type="spellStart"/>
            <w:r w:rsidRPr="00D1524E">
              <w:t>drop_bounce_buffer_size</w:t>
            </w:r>
            <w:proofErr w:type="spellEnd"/>
          </w:p>
        </w:tc>
        <w:tc>
          <w:tcPr>
            <w:tcW w:w="1198" w:type="dxa"/>
          </w:tcPr>
          <w:p w14:paraId="2E5F8343" w14:textId="586615AB" w:rsidR="00D1524E" w:rsidRPr="00D1524E" w:rsidRDefault="00D1524E" w:rsidP="0005464C">
            <w:r>
              <w:t>4</w:t>
            </w:r>
          </w:p>
        </w:tc>
        <w:tc>
          <w:tcPr>
            <w:tcW w:w="3842" w:type="dxa"/>
          </w:tcPr>
          <w:p w14:paraId="213B659A" w14:textId="2F5DD555" w:rsidR="00D1524E" w:rsidRPr="00D1524E" w:rsidRDefault="009B7891" w:rsidP="009B7891">
            <w:pPr>
              <w:jc w:val="both"/>
            </w:pPr>
            <w:r w:rsidRPr="009B7891">
              <w:t>This property is used to define the DROP port's bounce buffer size.</w:t>
            </w:r>
          </w:p>
        </w:tc>
      </w:tr>
      <w:tr w:rsidR="00D1524E" w:rsidRPr="00D1524E" w14:paraId="3DECD55F" w14:textId="77777777" w:rsidTr="00D1524E">
        <w:tc>
          <w:tcPr>
            <w:tcW w:w="5035" w:type="dxa"/>
          </w:tcPr>
          <w:p w14:paraId="607F9E10" w14:textId="5B89E589" w:rsidR="00D1524E" w:rsidRPr="00D1524E" w:rsidRDefault="00D1524E" w:rsidP="0005464C">
            <w:proofErr w:type="spellStart"/>
            <w:r w:rsidRPr="00D1524E">
              <w:t>credits_from_west_sbo</w:t>
            </w:r>
            <w:proofErr w:type="spellEnd"/>
          </w:p>
        </w:tc>
        <w:tc>
          <w:tcPr>
            <w:tcW w:w="1198" w:type="dxa"/>
          </w:tcPr>
          <w:p w14:paraId="1ADFA774" w14:textId="5F5A24A0" w:rsidR="00D1524E" w:rsidRPr="00D1524E" w:rsidRDefault="00D1524E" w:rsidP="0005464C">
            <w:r>
              <w:t>8</w:t>
            </w:r>
          </w:p>
        </w:tc>
        <w:tc>
          <w:tcPr>
            <w:tcW w:w="3842" w:type="dxa"/>
          </w:tcPr>
          <w:p w14:paraId="1127C63D" w14:textId="4783E72E" w:rsidR="00D1524E" w:rsidRPr="00D1524E" w:rsidRDefault="009B7891" w:rsidP="009B7891">
            <w:pPr>
              <w:jc w:val="both"/>
            </w:pPr>
            <w:r>
              <w:t xml:space="preserve">This property is used to set the number of credits available for the west </w:t>
            </w:r>
            <w:proofErr w:type="spellStart"/>
            <w:r>
              <w:t>sbo</w:t>
            </w:r>
            <w:proofErr w:type="spellEnd"/>
            <w:r>
              <w:t xml:space="preserve"> on the same layer as this interface, to send to this interface.</w:t>
            </w:r>
          </w:p>
        </w:tc>
      </w:tr>
      <w:tr w:rsidR="00D1524E" w:rsidRPr="00D1524E" w14:paraId="03667521" w14:textId="77777777" w:rsidTr="00D1524E">
        <w:tc>
          <w:tcPr>
            <w:tcW w:w="5035" w:type="dxa"/>
          </w:tcPr>
          <w:p w14:paraId="5D463AC9" w14:textId="6282117A" w:rsidR="00D1524E" w:rsidRPr="00D1524E" w:rsidRDefault="00D1524E" w:rsidP="0005464C">
            <w:proofErr w:type="spellStart"/>
            <w:r w:rsidRPr="00D1524E">
              <w:t>credits_from_east_sbo</w:t>
            </w:r>
            <w:proofErr w:type="spellEnd"/>
          </w:p>
        </w:tc>
        <w:tc>
          <w:tcPr>
            <w:tcW w:w="1198" w:type="dxa"/>
          </w:tcPr>
          <w:p w14:paraId="6A4A0DEE" w14:textId="203BF05C" w:rsidR="00D1524E" w:rsidRPr="00D1524E" w:rsidRDefault="00D1524E" w:rsidP="0005464C">
            <w:r>
              <w:t>8</w:t>
            </w:r>
          </w:p>
        </w:tc>
        <w:tc>
          <w:tcPr>
            <w:tcW w:w="3842" w:type="dxa"/>
          </w:tcPr>
          <w:p w14:paraId="3605464B" w14:textId="28554604" w:rsidR="00D1524E" w:rsidRPr="00D1524E" w:rsidRDefault="009B7891" w:rsidP="009B7891">
            <w:pPr>
              <w:jc w:val="both"/>
            </w:pPr>
            <w:r>
              <w:t xml:space="preserve">This property is used to set the number of credits available for the east </w:t>
            </w:r>
            <w:proofErr w:type="spellStart"/>
            <w:r>
              <w:t>sbo</w:t>
            </w:r>
            <w:proofErr w:type="spellEnd"/>
            <w:r>
              <w:t xml:space="preserve"> on the same layer as this interface, to send to this interface.</w:t>
            </w:r>
          </w:p>
        </w:tc>
      </w:tr>
      <w:tr w:rsidR="00D1524E" w:rsidRPr="00D1524E" w14:paraId="59B59D0C" w14:textId="77777777" w:rsidTr="00D1524E">
        <w:tc>
          <w:tcPr>
            <w:tcW w:w="5035" w:type="dxa"/>
          </w:tcPr>
          <w:p w14:paraId="36C4D2ED" w14:textId="358D69AA" w:rsidR="00D1524E" w:rsidRPr="00D1524E" w:rsidRDefault="00D1524E" w:rsidP="0005464C">
            <w:proofErr w:type="spellStart"/>
            <w:r w:rsidRPr="00D1524E">
              <w:lastRenderedPageBreak/>
              <w:t>credits_from_tg</w:t>
            </w:r>
            <w:proofErr w:type="spellEnd"/>
          </w:p>
        </w:tc>
        <w:tc>
          <w:tcPr>
            <w:tcW w:w="1198" w:type="dxa"/>
          </w:tcPr>
          <w:p w14:paraId="37DC8EC3" w14:textId="3680B1EB" w:rsidR="00D1524E" w:rsidRPr="00D1524E" w:rsidRDefault="00D1524E" w:rsidP="0005464C">
            <w:r>
              <w:t>8</w:t>
            </w:r>
          </w:p>
        </w:tc>
        <w:tc>
          <w:tcPr>
            <w:tcW w:w="3842" w:type="dxa"/>
          </w:tcPr>
          <w:p w14:paraId="0BC1B9F6" w14:textId="77777777" w:rsidR="009B7891" w:rsidRDefault="009B7891" w:rsidP="009B7891">
            <w:pPr>
              <w:jc w:val="both"/>
            </w:pPr>
            <w:r>
              <w:t>This property is used to set the number of credits available for the</w:t>
            </w:r>
          </w:p>
          <w:p w14:paraId="235D9F51" w14:textId="62BC3F5F" w:rsidR="00D1524E" w:rsidRPr="00D1524E" w:rsidRDefault="009B7891" w:rsidP="009B7891">
            <w:pPr>
              <w:jc w:val="both"/>
            </w:pPr>
            <w:r>
              <w:t>Transgress buffer on the same layer as this interface, to send to this interface.</w:t>
            </w:r>
          </w:p>
        </w:tc>
      </w:tr>
    </w:tbl>
    <w:p w14:paraId="3A8C3D57" w14:textId="693C123B" w:rsidR="0005464C" w:rsidRPr="0005464C" w:rsidRDefault="0005464C" w:rsidP="0005464C">
      <w:r w:rsidRPr="0005464C">
        <w:fldChar w:fldCharType="end"/>
      </w:r>
    </w:p>
    <w:p w14:paraId="4100CABB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6" w:name="_Toc461049989"/>
      <w:bookmarkStart w:id="17" w:name="_Toc472974340"/>
      <w:r w:rsidRPr="0004677F">
        <w:rPr>
          <w:rFonts w:ascii="Palatino Linotype" w:hAnsi="Palatino Linotype"/>
          <w:color w:val="auto"/>
        </w:rPr>
        <w:t>Link Property Changes</w:t>
      </w:r>
      <w:bookmarkEnd w:id="16"/>
      <w:bookmarkEnd w:id="17"/>
    </w:p>
    <w:p w14:paraId="35C62164" w14:textId="3F75F44E" w:rsidR="0005464C" w:rsidRDefault="0005464C" w:rsidP="009613EA">
      <w:r>
        <w:rPr>
          <w:rFonts w:ascii="Palatino Linotype" w:hAnsi="Palatino Linotype"/>
        </w:rPr>
        <w:fldChar w:fldCharType="begin"/>
      </w:r>
      <w:r>
        <w:rPr>
          <w:rFonts w:ascii="Palatino Linotype" w:hAnsi="Palatino Linotype"/>
        </w:rPr>
        <w:instrText xml:space="preserve"> LINK </w:instrText>
      </w:r>
      <w:r w:rsidR="00E31B8D">
        <w:rPr>
          <w:rFonts w:ascii="Palatino Linotype" w:hAnsi="Palatino Linotype"/>
        </w:rPr>
        <w:instrText xml:space="preserve">Excel.Sheet.12 C:\\Users\\skasarab\\Downloads\\PropertyDiffs-1907-release.xlsx Link!R2C1:R3C3 </w:instrText>
      </w:r>
      <w:r>
        <w:rPr>
          <w:rFonts w:ascii="Palatino Linotype" w:hAnsi="Palatino Linotype"/>
        </w:rPr>
        <w:instrText xml:space="preserve">\a \f 5 \h  \* MERGEFORMAT </w:instrText>
      </w:r>
      <w:r>
        <w:rPr>
          <w:rFonts w:ascii="Palatino Linotype" w:hAnsi="Palatino Linotype"/>
        </w:rPr>
        <w:fldChar w:fldCharType="separate"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990"/>
        <w:gridCol w:w="4050"/>
      </w:tblGrid>
      <w:tr w:rsidR="0005464C" w:rsidRPr="0005464C" w14:paraId="13E05128" w14:textId="77777777" w:rsidTr="0005464C">
        <w:trPr>
          <w:trHeight w:val="300"/>
        </w:trPr>
        <w:tc>
          <w:tcPr>
            <w:tcW w:w="5035" w:type="dxa"/>
            <w:noWrap/>
          </w:tcPr>
          <w:p w14:paraId="384BF7D3" w14:textId="563A9696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b/>
                <w:bCs/>
              </w:rPr>
              <w:t>Property Name</w:t>
            </w:r>
          </w:p>
        </w:tc>
        <w:tc>
          <w:tcPr>
            <w:tcW w:w="990" w:type="dxa"/>
            <w:noWrap/>
          </w:tcPr>
          <w:p w14:paraId="556F216F" w14:textId="20AFE7B0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b/>
                <w:bCs/>
              </w:rPr>
              <w:t>Default Value</w:t>
            </w:r>
          </w:p>
        </w:tc>
        <w:tc>
          <w:tcPr>
            <w:tcW w:w="4050" w:type="dxa"/>
            <w:noWrap/>
          </w:tcPr>
          <w:p w14:paraId="2362799D" w14:textId="175813B2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b/>
                <w:bCs/>
              </w:rPr>
              <w:t>Comment</w:t>
            </w:r>
          </w:p>
        </w:tc>
      </w:tr>
      <w:tr w:rsidR="0005464C" w:rsidRPr="0005464C" w14:paraId="1EB11D56" w14:textId="77777777" w:rsidTr="0005464C">
        <w:trPr>
          <w:trHeight w:val="300"/>
        </w:trPr>
        <w:tc>
          <w:tcPr>
            <w:tcW w:w="5035" w:type="dxa"/>
            <w:noWrap/>
          </w:tcPr>
          <w:p w14:paraId="020F9747" w14:textId="14CE07C2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emb_data_latency</w:t>
            </w:r>
            <w:proofErr w:type="spellEnd"/>
          </w:p>
        </w:tc>
        <w:tc>
          <w:tcPr>
            <w:tcW w:w="990" w:type="dxa"/>
            <w:noWrap/>
          </w:tcPr>
          <w:p w14:paraId="2B2B34D1" w14:textId="0F062290" w:rsidR="0005464C" w:rsidRPr="0005464C" w:rsidRDefault="0005464C" w:rsidP="0005464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4050" w:type="dxa"/>
            <w:noWrap/>
          </w:tcPr>
          <w:p w14:paraId="33960E58" w14:textId="3A74FB9C" w:rsidR="0005464C" w:rsidRPr="0005464C" w:rsidRDefault="009B7891" w:rsidP="009B7891">
            <w:pPr>
              <w:rPr>
                <w:rFonts w:ascii="Palatino Linotype" w:hAnsi="Palatino Linotype"/>
              </w:rPr>
            </w:pPr>
            <w:r w:rsidRPr="009B7891">
              <w:rPr>
                <w:rFonts w:ascii="Palatino Linotype" w:hAnsi="Palatino Linotype"/>
              </w:rPr>
              <w:t xml:space="preserve">This property sets the number of cycles taken by a data message to cross the EMB </w:t>
            </w:r>
            <w:proofErr w:type="spellStart"/>
            <w:r w:rsidRPr="009B7891">
              <w:rPr>
                <w:rFonts w:ascii="Palatino Linotype" w:hAnsi="Palatino Linotype"/>
              </w:rPr>
              <w:t>i.e</w:t>
            </w:r>
            <w:proofErr w:type="spellEnd"/>
            <w:r w:rsidRPr="009B7891">
              <w:rPr>
                <w:rFonts w:ascii="Palatino Linotype" w:hAnsi="Palatino Linotype"/>
              </w:rPr>
              <w:t xml:space="preserve"> from SBO ingress on one die to the SBO egress on another die.</w:t>
            </w:r>
          </w:p>
        </w:tc>
      </w:tr>
      <w:tr w:rsidR="0005464C" w:rsidRPr="0005464C" w14:paraId="27728A54" w14:textId="77777777" w:rsidTr="0005464C">
        <w:trPr>
          <w:trHeight w:val="300"/>
        </w:trPr>
        <w:tc>
          <w:tcPr>
            <w:tcW w:w="5035" w:type="dxa"/>
            <w:noWrap/>
            <w:hideMark/>
          </w:tcPr>
          <w:p w14:paraId="1F962C32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emb_credit_latency</w:t>
            </w:r>
            <w:proofErr w:type="spellEnd"/>
          </w:p>
        </w:tc>
        <w:tc>
          <w:tcPr>
            <w:tcW w:w="990" w:type="dxa"/>
            <w:noWrap/>
            <w:hideMark/>
          </w:tcPr>
          <w:p w14:paraId="5F2A4AA3" w14:textId="7968A827" w:rsidR="0005464C" w:rsidRPr="0005464C" w:rsidRDefault="0005464C" w:rsidP="0005464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4050" w:type="dxa"/>
            <w:noWrap/>
            <w:hideMark/>
          </w:tcPr>
          <w:p w14:paraId="747E2C33" w14:textId="41440FF9" w:rsidR="0005464C" w:rsidRPr="0005464C" w:rsidRDefault="009B7891" w:rsidP="009B7891">
            <w:pPr>
              <w:rPr>
                <w:rFonts w:ascii="Palatino Linotype" w:hAnsi="Palatino Linotype"/>
              </w:rPr>
            </w:pPr>
            <w:r w:rsidRPr="009B7891">
              <w:rPr>
                <w:rFonts w:ascii="Palatino Linotype" w:hAnsi="Palatino Linotype"/>
              </w:rPr>
              <w:t xml:space="preserve">This property sets the number of cycles taken by a credit message to cross the EMB </w:t>
            </w:r>
            <w:proofErr w:type="spellStart"/>
            <w:r w:rsidRPr="009B7891">
              <w:rPr>
                <w:rFonts w:ascii="Palatino Linotype" w:hAnsi="Palatino Linotype"/>
              </w:rPr>
              <w:t>i.e</w:t>
            </w:r>
            <w:proofErr w:type="spellEnd"/>
            <w:r w:rsidRPr="009B7891">
              <w:rPr>
                <w:rFonts w:ascii="Palatino Linotype" w:hAnsi="Palatino Linotype"/>
              </w:rPr>
              <w:t xml:space="preserve"> from SBO ingress on one die to the SBO egress on another die.</w:t>
            </w:r>
          </w:p>
        </w:tc>
      </w:tr>
    </w:tbl>
    <w:p w14:paraId="566E34E2" w14:textId="32888945" w:rsidR="007862EC" w:rsidRPr="0004677F" w:rsidRDefault="0005464C" w:rsidP="009613EA">
      <w:pPr>
        <w:rPr>
          <w:rFonts w:ascii="Palatino Linotype" w:hAnsi="Palatino Linotype"/>
        </w:rPr>
      </w:pPr>
      <w:r>
        <w:rPr>
          <w:rFonts w:ascii="Palatino Linotype" w:hAnsi="Palatino Linotype"/>
        </w:rPr>
        <w:fldChar w:fldCharType="end"/>
      </w:r>
    </w:p>
    <w:p w14:paraId="5CEFB0D8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18" w:name="_Toc461049990"/>
      <w:bookmarkStart w:id="19" w:name="_Toc472974341"/>
      <w:r w:rsidRPr="0004677F">
        <w:rPr>
          <w:rFonts w:ascii="Palatino Linotype" w:hAnsi="Palatino Linotype"/>
          <w:color w:val="auto"/>
        </w:rPr>
        <w:t>Router Property Changes</w:t>
      </w:r>
      <w:bookmarkEnd w:id="18"/>
      <w:bookmarkEnd w:id="19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986"/>
        <w:gridCol w:w="4054"/>
      </w:tblGrid>
      <w:tr w:rsidR="0005464C" w:rsidRPr="0005464C" w14:paraId="04779DB0" w14:textId="77777777" w:rsidTr="009B7891">
        <w:trPr>
          <w:trHeight w:val="300"/>
        </w:trPr>
        <w:tc>
          <w:tcPr>
            <w:tcW w:w="5035" w:type="dxa"/>
            <w:noWrap/>
          </w:tcPr>
          <w:p w14:paraId="79194274" w14:textId="1E4F27A4" w:rsidR="0005464C" w:rsidRPr="0005464C" w:rsidRDefault="0005464C" w:rsidP="0005464C">
            <w:pPr>
              <w:rPr>
                <w:rFonts w:ascii="Palatino Linotype" w:hAnsi="Palatino Linotype"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986" w:type="dxa"/>
            <w:noWrap/>
          </w:tcPr>
          <w:p w14:paraId="59175F30" w14:textId="5DB0816A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9655A7">
              <w:rPr>
                <w:b/>
                <w:bCs/>
              </w:rPr>
              <w:t>Default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4054" w:type="dxa"/>
            <w:noWrap/>
          </w:tcPr>
          <w:p w14:paraId="70ABA8CC" w14:textId="5761A5BF" w:rsidR="0005464C" w:rsidRPr="0005464C" w:rsidRDefault="0005464C" w:rsidP="0005464C">
            <w:pPr>
              <w:rPr>
                <w:rFonts w:ascii="Palatino Linotype" w:hAnsi="Palatino Linotype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5464C" w:rsidRPr="0005464C" w14:paraId="033A2D53" w14:textId="77777777" w:rsidTr="009B7891">
        <w:trPr>
          <w:trHeight w:val="300"/>
        </w:trPr>
        <w:tc>
          <w:tcPr>
            <w:tcW w:w="5035" w:type="dxa"/>
            <w:noWrap/>
          </w:tcPr>
          <w:p w14:paraId="75F6B306" w14:textId="5887B28F" w:rsidR="0005464C" w:rsidRDefault="0005464C" w:rsidP="0005464C">
            <w:pPr>
              <w:rPr>
                <w:b/>
                <w:bCs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arbitration_mode</w:t>
            </w:r>
            <w:proofErr w:type="spellEnd"/>
          </w:p>
        </w:tc>
        <w:tc>
          <w:tcPr>
            <w:tcW w:w="986" w:type="dxa"/>
            <w:noWrap/>
          </w:tcPr>
          <w:p w14:paraId="143EF52D" w14:textId="585F4DBC" w:rsidR="0005464C" w:rsidRPr="009655A7" w:rsidRDefault="0005464C" w:rsidP="0005464C">
            <w:pPr>
              <w:rPr>
                <w:b/>
                <w:bCs/>
              </w:rPr>
            </w:pPr>
            <w:r w:rsidRPr="0005464C">
              <w:rPr>
                <w:rFonts w:ascii="Palatino Linotype" w:hAnsi="Palatino Linotype"/>
              </w:rPr>
              <w:t>static</w:t>
            </w:r>
          </w:p>
        </w:tc>
        <w:tc>
          <w:tcPr>
            <w:tcW w:w="4054" w:type="dxa"/>
            <w:noWrap/>
          </w:tcPr>
          <w:p w14:paraId="4E508CE6" w14:textId="0E92582A" w:rsidR="0005464C" w:rsidRPr="009B7891" w:rsidRDefault="009B7891" w:rsidP="009B7891">
            <w:pPr>
              <w:jc w:val="both"/>
              <w:rPr>
                <w:bCs/>
              </w:rPr>
            </w:pPr>
            <w:r w:rsidRPr="009B7891">
              <w:rPr>
                <w:bCs/>
              </w:rPr>
              <w:t>This property is used to control the type of arbitration used for the output port of the router.</w:t>
            </w:r>
          </w:p>
        </w:tc>
      </w:tr>
      <w:tr w:rsidR="0005464C" w:rsidRPr="0005464C" w14:paraId="7B591074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6E8B4995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tg_ingress_bounce_buffer_size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7092C6E5" w14:textId="5B361B4F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49E54371" w14:textId="4F96798B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 w:rsidRPr="009B7891">
              <w:rPr>
                <w:rFonts w:ascii="Palatino Linotype" w:hAnsi="Palatino Linotype"/>
              </w:rPr>
              <w:t>This property is used to define the bounce input buffer size in the Transgress buffer.</w:t>
            </w:r>
          </w:p>
        </w:tc>
      </w:tr>
      <w:tr w:rsidR="0005464C" w:rsidRPr="0005464C" w14:paraId="28FEC5FA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22D91A25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tg_ingress_credit_buffer_size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7DCCB569" w14:textId="45C282C3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31587149" w14:textId="43775AA6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 w:rsidRPr="009B7891">
              <w:rPr>
                <w:rFonts w:ascii="Palatino Linotype" w:hAnsi="Palatino Linotype"/>
              </w:rPr>
              <w:t>This property defines the credit input buffer size in the Transgress buffer.</w:t>
            </w:r>
          </w:p>
        </w:tc>
      </w:tr>
      <w:tr w:rsidR="0005464C" w:rsidRPr="0005464C" w14:paraId="58C4F733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50FDD419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lastRenderedPageBreak/>
              <w:t>tg_egress_bounce_buffer_size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4BE997A" w14:textId="521F3D3E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0F12A15C" w14:textId="2C225CB6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 w:rsidRPr="009B7891">
              <w:rPr>
                <w:rFonts w:ascii="Palatino Linotype" w:hAnsi="Palatino Linotype"/>
              </w:rPr>
              <w:t>This property is used to define the egress bounce buffer size in the Transgress buffer.</w:t>
            </w:r>
          </w:p>
        </w:tc>
      </w:tr>
      <w:tr w:rsidR="0005464C" w:rsidRPr="0005464C" w14:paraId="2AD19430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174C42E3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tg_egress_credit_buffer_size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63AEAC65" w14:textId="137D5B87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3F1885CB" w14:textId="01A43908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 w:rsidRPr="009B7891">
              <w:rPr>
                <w:rFonts w:ascii="Palatino Linotype" w:hAnsi="Palatino Linotype"/>
              </w:rPr>
              <w:t>This property is used to define the egress credit buffer size in the Transgress buffer.</w:t>
            </w:r>
          </w:p>
        </w:tc>
      </w:tr>
      <w:tr w:rsidR="0005464C" w:rsidRPr="0005464C" w14:paraId="14FDEE44" w14:textId="77777777" w:rsidTr="009B7891">
        <w:trPr>
          <w:trHeight w:val="300"/>
        </w:trPr>
        <w:tc>
          <w:tcPr>
            <w:tcW w:w="5035" w:type="dxa"/>
            <w:noWrap/>
          </w:tcPr>
          <w:p w14:paraId="40CA3B09" w14:textId="7A247633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add_blocked_cycles_until_reserve</w:t>
            </w:r>
            <w:proofErr w:type="spellEnd"/>
          </w:p>
        </w:tc>
        <w:tc>
          <w:tcPr>
            <w:tcW w:w="986" w:type="dxa"/>
            <w:noWrap/>
          </w:tcPr>
          <w:p w14:paraId="29479BAB" w14:textId="63D7820E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n/a</w:t>
            </w:r>
          </w:p>
        </w:tc>
        <w:tc>
          <w:tcPr>
            <w:tcW w:w="4054" w:type="dxa"/>
            <w:noWrap/>
          </w:tcPr>
          <w:p w14:paraId="3B2BA8F7" w14:textId="53354EEA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is to set the n</w:t>
            </w:r>
            <w:r w:rsidRPr="009B7891">
              <w:rPr>
                <w:rFonts w:ascii="Palatino Linotype" w:hAnsi="Palatino Linotype"/>
              </w:rPr>
              <w:t xml:space="preserve">umber of </w:t>
            </w:r>
            <w:r>
              <w:rPr>
                <w:rFonts w:ascii="Palatino Linotype" w:hAnsi="Palatino Linotype"/>
              </w:rPr>
              <w:t xml:space="preserve">add </w:t>
            </w:r>
            <w:r w:rsidRPr="009B7891">
              <w:rPr>
                <w:rFonts w:ascii="Palatino Linotype" w:hAnsi="Palatino Linotype"/>
              </w:rPr>
              <w:t>blocked cycles before reserving a slot.</w:t>
            </w:r>
          </w:p>
        </w:tc>
      </w:tr>
      <w:tr w:rsidR="0005464C" w:rsidRPr="0005464C" w14:paraId="79A4342B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42ABAD5A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tg_blocked_cycles_until_reserve</w:t>
            </w:r>
            <w:proofErr w:type="spellEnd"/>
          </w:p>
        </w:tc>
        <w:tc>
          <w:tcPr>
            <w:tcW w:w="986" w:type="dxa"/>
            <w:noWrap/>
            <w:hideMark/>
          </w:tcPr>
          <w:p w14:paraId="4F2628DD" w14:textId="18B3213B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n/a</w:t>
            </w:r>
          </w:p>
        </w:tc>
        <w:tc>
          <w:tcPr>
            <w:tcW w:w="4054" w:type="dxa"/>
            <w:noWrap/>
          </w:tcPr>
          <w:p w14:paraId="05FA97F5" w14:textId="54C324C5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sets the n</w:t>
            </w:r>
            <w:r w:rsidRPr="009B7891">
              <w:rPr>
                <w:rFonts w:ascii="Palatino Linotype" w:hAnsi="Palatino Linotype"/>
              </w:rPr>
              <w:t xml:space="preserve">umber of </w:t>
            </w:r>
            <w:proofErr w:type="spellStart"/>
            <w:r w:rsidRPr="009B7891">
              <w:rPr>
                <w:rFonts w:ascii="Palatino Linotype" w:hAnsi="Palatino Linotype"/>
              </w:rPr>
              <w:t>tg</w:t>
            </w:r>
            <w:proofErr w:type="spellEnd"/>
            <w:r w:rsidRPr="009B7891">
              <w:rPr>
                <w:rFonts w:ascii="Palatino Linotype" w:hAnsi="Palatino Linotype"/>
              </w:rPr>
              <w:t xml:space="preserve"> blocked cycles before reserving a slot.</w:t>
            </w:r>
          </w:p>
        </w:tc>
      </w:tr>
      <w:tr w:rsidR="0005464C" w:rsidRPr="0005464C" w14:paraId="6F6998C4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2B724F3B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credits_from_sbo</w:t>
            </w:r>
            <w:proofErr w:type="spellEnd"/>
          </w:p>
        </w:tc>
        <w:tc>
          <w:tcPr>
            <w:tcW w:w="986" w:type="dxa"/>
            <w:noWrap/>
            <w:hideMark/>
          </w:tcPr>
          <w:p w14:paraId="5B565CC7" w14:textId="2B0E9CBE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n/a</w:t>
            </w:r>
          </w:p>
        </w:tc>
        <w:tc>
          <w:tcPr>
            <w:tcW w:w="4054" w:type="dxa"/>
            <w:noWrap/>
          </w:tcPr>
          <w:p w14:paraId="1B323009" w14:textId="326B0E8A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9B7891">
              <w:rPr>
                <w:rFonts w:ascii="Palatino Linotype" w:hAnsi="Palatino Linotype"/>
              </w:rPr>
              <w:t xml:space="preserve">ets </w:t>
            </w:r>
            <w:r>
              <w:rPr>
                <w:rFonts w:ascii="Palatino Linotype" w:hAnsi="Palatino Linotype"/>
              </w:rPr>
              <w:t xml:space="preserve">the </w:t>
            </w:r>
            <w:r w:rsidRPr="009B7891">
              <w:rPr>
                <w:rFonts w:ascii="Palatino Linotype" w:hAnsi="Palatino Linotype"/>
              </w:rPr>
              <w:t>number of credits from SBO in column of &lt;n&gt; to TG at the given position for the specified traffic class.</w:t>
            </w:r>
          </w:p>
        </w:tc>
      </w:tr>
      <w:tr w:rsidR="0005464C" w:rsidRPr="0005464C" w14:paraId="14FEA3A4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41168CB1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credits_to_sbo</w:t>
            </w:r>
            <w:proofErr w:type="spellEnd"/>
          </w:p>
        </w:tc>
        <w:tc>
          <w:tcPr>
            <w:tcW w:w="986" w:type="dxa"/>
            <w:noWrap/>
            <w:hideMark/>
          </w:tcPr>
          <w:p w14:paraId="192034F3" w14:textId="6A9FE35D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n/a</w:t>
            </w:r>
          </w:p>
        </w:tc>
        <w:tc>
          <w:tcPr>
            <w:tcW w:w="4054" w:type="dxa"/>
            <w:noWrap/>
          </w:tcPr>
          <w:p w14:paraId="039C0F2B" w14:textId="0A6E99F7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9B7891">
              <w:rPr>
                <w:rFonts w:ascii="Palatino Linotype" w:hAnsi="Palatino Linotype"/>
              </w:rPr>
              <w:t>ets</w:t>
            </w:r>
            <w:r>
              <w:rPr>
                <w:rFonts w:ascii="Palatino Linotype" w:hAnsi="Palatino Linotype"/>
              </w:rPr>
              <w:t xml:space="preserve"> the </w:t>
            </w:r>
            <w:r w:rsidRPr="009B7891">
              <w:rPr>
                <w:rFonts w:ascii="Palatino Linotype" w:hAnsi="Palatino Linotype"/>
              </w:rPr>
              <w:t>number of credits from the TG to the SBO on its horizontal ring.</w:t>
            </w:r>
          </w:p>
        </w:tc>
      </w:tr>
      <w:tr w:rsidR="0005464C" w:rsidRPr="0005464C" w14:paraId="17C218F0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07D874D7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credits_to_other_sbo</w:t>
            </w:r>
            <w:proofErr w:type="spellEnd"/>
          </w:p>
        </w:tc>
        <w:tc>
          <w:tcPr>
            <w:tcW w:w="986" w:type="dxa"/>
            <w:noWrap/>
            <w:hideMark/>
          </w:tcPr>
          <w:p w14:paraId="160720AB" w14:textId="12E2456C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2A7CFB51" w14:textId="5D65E411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sets the</w:t>
            </w:r>
            <w:r w:rsidRPr="009B7891">
              <w:rPr>
                <w:rFonts w:ascii="Palatino Linotype" w:hAnsi="Palatino Linotype"/>
              </w:rPr>
              <w:t xml:space="preserve"> number of credits from the current SBO to the other SBO.</w:t>
            </w:r>
          </w:p>
        </w:tc>
      </w:tr>
      <w:tr w:rsidR="0005464C" w:rsidRPr="0005464C" w14:paraId="1DCF8ADF" w14:textId="77777777" w:rsidTr="009B7891">
        <w:trPr>
          <w:trHeight w:val="300"/>
        </w:trPr>
        <w:tc>
          <w:tcPr>
            <w:tcW w:w="5035" w:type="dxa"/>
            <w:noWrap/>
          </w:tcPr>
          <w:p w14:paraId="1410E26F" w14:textId="5E7C7613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sbo_ingress_bounce_buffer_size</w:t>
            </w:r>
            <w:proofErr w:type="spellEnd"/>
          </w:p>
        </w:tc>
        <w:tc>
          <w:tcPr>
            <w:tcW w:w="986" w:type="dxa"/>
            <w:noWrap/>
          </w:tcPr>
          <w:p w14:paraId="66CB7F88" w14:textId="67CA8DE4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27E881FD" w14:textId="6F041A66" w:rsidR="0005464C" w:rsidRPr="009B7891" w:rsidRDefault="009B7891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</w:t>
            </w:r>
            <w:r w:rsidR="00074D1B">
              <w:rPr>
                <w:rFonts w:ascii="Palatino Linotype" w:hAnsi="Palatino Linotype"/>
              </w:rPr>
              <w:t>y s</w:t>
            </w:r>
            <w:r w:rsidRPr="009B7891">
              <w:rPr>
                <w:rFonts w:ascii="Palatino Linotype" w:hAnsi="Palatino Linotype"/>
              </w:rPr>
              <w:t>ets the bounce buffer size of the ingress buffer on the SBO.</w:t>
            </w:r>
          </w:p>
        </w:tc>
      </w:tr>
      <w:tr w:rsidR="0005464C" w:rsidRPr="0005464C" w14:paraId="18BA9BD4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0210C104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sbo_ingress_credit_buffer_size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57C97218" w14:textId="1C29E381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662AF309" w14:textId="42CE28B0" w:rsidR="0005464C" w:rsidRPr="009B7891" w:rsidRDefault="00074D1B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9B7891">
              <w:rPr>
                <w:rFonts w:ascii="Palatino Linotype" w:hAnsi="Palatino Linotype"/>
              </w:rPr>
              <w:t xml:space="preserve">ets the </w:t>
            </w:r>
            <w:r>
              <w:rPr>
                <w:rFonts w:ascii="Palatino Linotype" w:hAnsi="Palatino Linotype"/>
              </w:rPr>
              <w:t>cr</w:t>
            </w:r>
            <w:r w:rsidRPr="009B7891">
              <w:rPr>
                <w:rFonts w:ascii="Palatino Linotype" w:hAnsi="Palatino Linotype"/>
              </w:rPr>
              <w:t>e</w:t>
            </w:r>
            <w:r>
              <w:rPr>
                <w:rFonts w:ascii="Palatino Linotype" w:hAnsi="Palatino Linotype"/>
              </w:rPr>
              <w:t>dit</w:t>
            </w:r>
            <w:r w:rsidRPr="009B7891">
              <w:rPr>
                <w:rFonts w:ascii="Palatino Linotype" w:hAnsi="Palatino Linotype"/>
              </w:rPr>
              <w:t xml:space="preserve"> buffer size of the ingress buffer on the SBO.</w:t>
            </w:r>
          </w:p>
        </w:tc>
      </w:tr>
      <w:tr w:rsidR="0005464C" w:rsidRPr="0005464C" w14:paraId="6FEDD7C1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49F8DBA6" w14:textId="77777777" w:rsidR="0005464C" w:rsidRPr="0005464C" w:rsidRDefault="0005464C" w:rsidP="0005464C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sbo_egress_bounce_buffer_size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6B0F3BA8" w14:textId="0E098BB5" w:rsidR="0005464C" w:rsidRPr="0005464C" w:rsidRDefault="0005464C" w:rsidP="0005464C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42707964" w14:textId="441B264E" w:rsidR="0005464C" w:rsidRPr="009B7891" w:rsidRDefault="00074D1B" w:rsidP="009B789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9B7891">
              <w:rPr>
                <w:rFonts w:ascii="Palatino Linotype" w:hAnsi="Palatino Linotype"/>
              </w:rPr>
              <w:t xml:space="preserve">ets the bounce buffer size of the </w:t>
            </w:r>
            <w:r>
              <w:rPr>
                <w:rFonts w:ascii="Palatino Linotype" w:hAnsi="Palatino Linotype"/>
              </w:rPr>
              <w:t>e</w:t>
            </w:r>
            <w:r w:rsidRPr="009B7891">
              <w:rPr>
                <w:rFonts w:ascii="Palatino Linotype" w:hAnsi="Palatino Linotype"/>
              </w:rPr>
              <w:t>gress buffer on the SBO.</w:t>
            </w:r>
          </w:p>
        </w:tc>
      </w:tr>
      <w:tr w:rsidR="00074D1B" w:rsidRPr="0005464C" w14:paraId="672FA393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127AEC92" w14:textId="77777777" w:rsidR="00074D1B" w:rsidRPr="0005464C" w:rsidRDefault="00074D1B" w:rsidP="00074D1B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sbo_egress_credit_buffer_size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10D24E6C" w14:textId="1F4148F1" w:rsidR="00074D1B" w:rsidRPr="0005464C" w:rsidRDefault="00074D1B" w:rsidP="00074D1B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6F172D3E" w14:textId="365A226C" w:rsidR="00074D1B" w:rsidRPr="009B7891" w:rsidRDefault="00074D1B" w:rsidP="00074D1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9B7891">
              <w:rPr>
                <w:rFonts w:ascii="Palatino Linotype" w:hAnsi="Palatino Linotype"/>
              </w:rPr>
              <w:t>ets the</w:t>
            </w:r>
            <w:r>
              <w:rPr>
                <w:rFonts w:ascii="Palatino Linotype" w:hAnsi="Palatino Linotype"/>
              </w:rPr>
              <w:t xml:space="preserve"> credit</w:t>
            </w:r>
            <w:r w:rsidRPr="009B7891">
              <w:rPr>
                <w:rFonts w:ascii="Palatino Linotype" w:hAnsi="Palatino Linotype"/>
              </w:rPr>
              <w:t xml:space="preserve"> buffer size of the </w:t>
            </w:r>
            <w:r>
              <w:rPr>
                <w:rFonts w:ascii="Palatino Linotype" w:hAnsi="Palatino Linotype"/>
              </w:rPr>
              <w:t>e</w:t>
            </w:r>
            <w:r w:rsidRPr="009B7891">
              <w:rPr>
                <w:rFonts w:ascii="Palatino Linotype" w:hAnsi="Palatino Linotype"/>
              </w:rPr>
              <w:t>gress buffer on the SBO.</w:t>
            </w:r>
          </w:p>
        </w:tc>
      </w:tr>
      <w:tr w:rsidR="00074D1B" w:rsidRPr="0005464C" w14:paraId="43637117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29A32894" w14:textId="77777777" w:rsidR="00074D1B" w:rsidRPr="0005464C" w:rsidRDefault="00074D1B" w:rsidP="00074D1B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turn_agent_bounce_buffer_size</w:t>
            </w:r>
            <w:proofErr w:type="spellEnd"/>
          </w:p>
        </w:tc>
        <w:tc>
          <w:tcPr>
            <w:tcW w:w="986" w:type="dxa"/>
            <w:noWrap/>
            <w:hideMark/>
          </w:tcPr>
          <w:p w14:paraId="73587800" w14:textId="26980325" w:rsidR="00074D1B" w:rsidRPr="0005464C" w:rsidRDefault="00074D1B" w:rsidP="00074D1B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4</w:t>
            </w:r>
          </w:p>
        </w:tc>
        <w:tc>
          <w:tcPr>
            <w:tcW w:w="4054" w:type="dxa"/>
            <w:noWrap/>
          </w:tcPr>
          <w:p w14:paraId="240087B8" w14:textId="5E436D3C" w:rsidR="00074D1B" w:rsidRPr="009B7891" w:rsidRDefault="00074D1B" w:rsidP="00074D1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074D1B">
              <w:rPr>
                <w:rFonts w:ascii="Palatino Linotype" w:hAnsi="Palatino Linotype"/>
              </w:rPr>
              <w:t>ets the turn agent bounce buffer size on the router.</w:t>
            </w:r>
          </w:p>
        </w:tc>
      </w:tr>
      <w:tr w:rsidR="00074D1B" w:rsidRPr="0005464C" w14:paraId="17C6651A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58F651A0" w14:textId="77777777" w:rsidR="00074D1B" w:rsidRPr="0005464C" w:rsidRDefault="00074D1B" w:rsidP="00074D1B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turn_agent_latency</w:t>
            </w:r>
            <w:proofErr w:type="spellEnd"/>
          </w:p>
        </w:tc>
        <w:tc>
          <w:tcPr>
            <w:tcW w:w="986" w:type="dxa"/>
            <w:noWrap/>
            <w:hideMark/>
          </w:tcPr>
          <w:p w14:paraId="7CA651E5" w14:textId="30BD61C2" w:rsidR="00074D1B" w:rsidRPr="0005464C" w:rsidRDefault="00074D1B" w:rsidP="00074D1B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4</w:t>
            </w:r>
          </w:p>
        </w:tc>
        <w:tc>
          <w:tcPr>
            <w:tcW w:w="4054" w:type="dxa"/>
            <w:noWrap/>
          </w:tcPr>
          <w:p w14:paraId="13A0B82D" w14:textId="63D686A0" w:rsidR="00074D1B" w:rsidRPr="009B7891" w:rsidRDefault="00074D1B" w:rsidP="00074D1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074D1B">
              <w:rPr>
                <w:rFonts w:ascii="Palatino Linotype" w:hAnsi="Palatino Linotype"/>
              </w:rPr>
              <w:t>ets the turn agent latency on the router.</w:t>
            </w:r>
          </w:p>
        </w:tc>
      </w:tr>
      <w:tr w:rsidR="00074D1B" w:rsidRPr="0005464C" w14:paraId="297CB347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31214640" w14:textId="77777777" w:rsidR="00074D1B" w:rsidRPr="0005464C" w:rsidRDefault="00074D1B" w:rsidP="00074D1B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lastRenderedPageBreak/>
              <w:t>throttling_threshold</w:t>
            </w:r>
            <w:proofErr w:type="spellEnd"/>
          </w:p>
        </w:tc>
        <w:tc>
          <w:tcPr>
            <w:tcW w:w="986" w:type="dxa"/>
            <w:noWrap/>
            <w:hideMark/>
          </w:tcPr>
          <w:p w14:paraId="6490DABE" w14:textId="6C5C159B" w:rsidR="00074D1B" w:rsidRPr="0005464C" w:rsidRDefault="00074D1B" w:rsidP="00074D1B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512</w:t>
            </w:r>
          </w:p>
        </w:tc>
        <w:tc>
          <w:tcPr>
            <w:tcW w:w="4054" w:type="dxa"/>
            <w:noWrap/>
          </w:tcPr>
          <w:p w14:paraId="24248E88" w14:textId="66158C3B" w:rsidR="00074D1B" w:rsidRPr="009B7891" w:rsidRDefault="00074D1B" w:rsidP="00074D1B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property s</w:t>
            </w:r>
            <w:r w:rsidRPr="00074D1B">
              <w:rPr>
                <w:rFonts w:ascii="Palatino Linotype" w:hAnsi="Palatino Linotype"/>
              </w:rPr>
              <w:t>et</w:t>
            </w:r>
            <w:r>
              <w:rPr>
                <w:rFonts w:ascii="Palatino Linotype" w:hAnsi="Palatino Linotype"/>
              </w:rPr>
              <w:t>s</w:t>
            </w:r>
            <w:r w:rsidRPr="00074D1B">
              <w:rPr>
                <w:rFonts w:ascii="Palatino Linotype" w:hAnsi="Palatino Linotype"/>
              </w:rPr>
              <w:t xml:space="preserve"> the throttling threshold for the router, which is the number of cycles that the mesh stop is unable to send packets from bridges connected to it,</w:t>
            </w:r>
            <w:r>
              <w:rPr>
                <w:rFonts w:ascii="Palatino Linotype" w:hAnsi="Palatino Linotype"/>
              </w:rPr>
              <w:t xml:space="preserve"> </w:t>
            </w:r>
            <w:r w:rsidRPr="00074D1B">
              <w:rPr>
                <w:rFonts w:ascii="Palatino Linotype" w:hAnsi="Palatino Linotype"/>
              </w:rPr>
              <w:t>after which the throttling signal is sent.</w:t>
            </w:r>
          </w:p>
        </w:tc>
      </w:tr>
      <w:tr w:rsidR="00074D1B" w:rsidRPr="0005464C" w14:paraId="0B7AF889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2FF6634A" w14:textId="77777777" w:rsidR="00074D1B" w:rsidRPr="00074D1B" w:rsidRDefault="00074D1B" w:rsidP="00074D1B">
            <w:pPr>
              <w:rPr>
                <w:rFonts w:ascii="Palatino Linotype" w:hAnsi="Palatino Linotype"/>
                <w:highlight w:val="red"/>
              </w:rPr>
            </w:pPr>
            <w:proofErr w:type="spellStart"/>
            <w:r w:rsidRPr="00074D1B">
              <w:rPr>
                <w:rFonts w:ascii="Palatino Linotype" w:hAnsi="Palatino Linotype"/>
                <w:highlight w:val="red"/>
              </w:rPr>
              <w:t>port_credits_to_tg</w:t>
            </w:r>
            <w:proofErr w:type="spellEnd"/>
          </w:p>
        </w:tc>
        <w:tc>
          <w:tcPr>
            <w:tcW w:w="986" w:type="dxa"/>
            <w:noWrap/>
            <w:hideMark/>
          </w:tcPr>
          <w:p w14:paraId="1A4BE613" w14:textId="23B5DC1D" w:rsidR="00074D1B" w:rsidRPr="0005464C" w:rsidRDefault="00074D1B" w:rsidP="00074D1B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6CC638B9" w14:textId="3E726EEF" w:rsidR="00074D1B" w:rsidRPr="009B7891" w:rsidRDefault="00074D1B" w:rsidP="00074D1B">
            <w:pPr>
              <w:jc w:val="both"/>
              <w:rPr>
                <w:rFonts w:ascii="Palatino Linotype" w:hAnsi="Palatino Linotype"/>
              </w:rPr>
            </w:pPr>
          </w:p>
        </w:tc>
      </w:tr>
      <w:tr w:rsidR="00074D1B" w:rsidRPr="0005464C" w14:paraId="2823C61E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079D65D5" w14:textId="77777777" w:rsidR="00074D1B" w:rsidRPr="00074D1B" w:rsidRDefault="00074D1B" w:rsidP="00074D1B">
            <w:pPr>
              <w:rPr>
                <w:rFonts w:ascii="Palatino Linotype" w:hAnsi="Palatino Linotype"/>
                <w:highlight w:val="red"/>
              </w:rPr>
            </w:pPr>
            <w:proofErr w:type="spellStart"/>
            <w:r w:rsidRPr="00074D1B">
              <w:rPr>
                <w:rFonts w:ascii="Palatino Linotype" w:hAnsi="Palatino Linotype"/>
                <w:highlight w:val="red"/>
              </w:rPr>
              <w:t>port_credits_to_sbo</w:t>
            </w:r>
            <w:proofErr w:type="spellEnd"/>
          </w:p>
        </w:tc>
        <w:tc>
          <w:tcPr>
            <w:tcW w:w="986" w:type="dxa"/>
            <w:noWrap/>
            <w:hideMark/>
          </w:tcPr>
          <w:p w14:paraId="3C58497C" w14:textId="12CA014E" w:rsidR="00074D1B" w:rsidRPr="0005464C" w:rsidRDefault="00074D1B" w:rsidP="00074D1B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8</w:t>
            </w:r>
          </w:p>
        </w:tc>
        <w:tc>
          <w:tcPr>
            <w:tcW w:w="4054" w:type="dxa"/>
            <w:noWrap/>
          </w:tcPr>
          <w:p w14:paraId="2208013A" w14:textId="47169559" w:rsidR="00074D1B" w:rsidRPr="009B7891" w:rsidRDefault="00074D1B" w:rsidP="00074D1B">
            <w:pPr>
              <w:jc w:val="both"/>
              <w:rPr>
                <w:rFonts w:ascii="Palatino Linotype" w:hAnsi="Palatino Linotype"/>
              </w:rPr>
            </w:pPr>
          </w:p>
        </w:tc>
      </w:tr>
      <w:tr w:rsidR="00074D1B" w:rsidRPr="0005464C" w14:paraId="743DB73E" w14:textId="77777777" w:rsidTr="009B7891">
        <w:trPr>
          <w:trHeight w:val="300"/>
        </w:trPr>
        <w:tc>
          <w:tcPr>
            <w:tcW w:w="5035" w:type="dxa"/>
            <w:noWrap/>
            <w:hideMark/>
          </w:tcPr>
          <w:p w14:paraId="7F7441A4" w14:textId="77777777" w:rsidR="00074D1B" w:rsidRPr="0005464C" w:rsidRDefault="00074D1B" w:rsidP="00074D1B">
            <w:pPr>
              <w:rPr>
                <w:rFonts w:ascii="Palatino Linotype" w:hAnsi="Palatino Linotype"/>
              </w:rPr>
            </w:pPr>
            <w:proofErr w:type="spellStart"/>
            <w:r w:rsidRPr="0005464C">
              <w:rPr>
                <w:rFonts w:ascii="Palatino Linotype" w:hAnsi="Palatino Linotype"/>
              </w:rPr>
              <w:t>sink_rule</w:t>
            </w:r>
            <w:proofErr w:type="spellEnd"/>
          </w:p>
        </w:tc>
        <w:tc>
          <w:tcPr>
            <w:tcW w:w="986" w:type="dxa"/>
            <w:noWrap/>
            <w:hideMark/>
          </w:tcPr>
          <w:p w14:paraId="2A071B21" w14:textId="6AA0CCB9" w:rsidR="00074D1B" w:rsidRPr="0005464C" w:rsidRDefault="00074D1B" w:rsidP="00074D1B">
            <w:pPr>
              <w:rPr>
                <w:rFonts w:ascii="Palatino Linotype" w:hAnsi="Palatino Linotype"/>
              </w:rPr>
            </w:pPr>
            <w:r w:rsidRPr="0005464C">
              <w:rPr>
                <w:rFonts w:ascii="Palatino Linotype" w:hAnsi="Palatino Linotype"/>
              </w:rPr>
              <w:t>n/a</w:t>
            </w:r>
          </w:p>
        </w:tc>
        <w:tc>
          <w:tcPr>
            <w:tcW w:w="4054" w:type="dxa"/>
            <w:noWrap/>
          </w:tcPr>
          <w:p w14:paraId="6DA87FDA" w14:textId="4525F26C" w:rsidR="00074D1B" w:rsidRPr="009B7891" w:rsidRDefault="00074D1B" w:rsidP="00074D1B">
            <w:pPr>
              <w:jc w:val="both"/>
              <w:rPr>
                <w:rFonts w:ascii="Palatino Linotype" w:hAnsi="Palatino Linotype"/>
              </w:rPr>
            </w:pPr>
            <w:r w:rsidRPr="00074D1B">
              <w:rPr>
                <w:rFonts w:ascii="Palatino Linotype" w:hAnsi="Palatino Linotype"/>
              </w:rPr>
              <w:t>This property is used to set the sink rule for the rx interface.</w:t>
            </w:r>
          </w:p>
        </w:tc>
      </w:tr>
    </w:tbl>
    <w:p w14:paraId="72603A23" w14:textId="7718E32F" w:rsidR="007862EC" w:rsidRPr="0004677F" w:rsidRDefault="007862EC" w:rsidP="009613EA">
      <w:pPr>
        <w:rPr>
          <w:rFonts w:ascii="Palatino Linotype" w:hAnsi="Palatino Linotype"/>
        </w:rPr>
      </w:pPr>
    </w:p>
    <w:p w14:paraId="70A35197" w14:textId="77777777" w:rsidR="007862EC" w:rsidRPr="0004677F" w:rsidRDefault="007862EC" w:rsidP="007862EC">
      <w:pPr>
        <w:pStyle w:val="Heading2"/>
        <w:rPr>
          <w:rFonts w:ascii="Palatino Linotype" w:hAnsi="Palatino Linotype"/>
          <w:color w:val="auto"/>
        </w:rPr>
      </w:pPr>
      <w:bookmarkStart w:id="20" w:name="_Toc461049991"/>
      <w:bookmarkStart w:id="21" w:name="_Toc472974342"/>
      <w:r w:rsidRPr="0004677F">
        <w:rPr>
          <w:rFonts w:ascii="Palatino Linotype" w:hAnsi="Palatino Linotype"/>
          <w:color w:val="auto"/>
        </w:rPr>
        <w:t>VC Property Changes</w:t>
      </w:r>
      <w:bookmarkEnd w:id="20"/>
      <w:bookmarkEnd w:id="21"/>
    </w:p>
    <w:p w14:paraId="447DF7E1" w14:textId="77777777" w:rsidR="007862EC" w:rsidRDefault="007862EC">
      <w:pPr>
        <w:rPr>
          <w:rFonts w:ascii="Palatino Linotype" w:hAnsi="Palatino Linotype"/>
        </w:rPr>
      </w:pPr>
      <w:r w:rsidRPr="0004677F">
        <w:rPr>
          <w:rFonts w:ascii="Palatino Linotype" w:hAnsi="Palatino Linotype"/>
        </w:rPr>
        <w:t>Non</w:t>
      </w:r>
      <w:bookmarkEnd w:id="2"/>
      <w:r>
        <w:rPr>
          <w:rFonts w:ascii="Palatino Linotype" w:hAnsi="Palatino Linotype"/>
        </w:rPr>
        <w:t>e</w:t>
      </w:r>
    </w:p>
    <w:p w14:paraId="0A415F7A" w14:textId="49E7E36F" w:rsidR="001C1AFC" w:rsidRDefault="001C1AFC" w:rsidP="001C1AFC">
      <w:pPr>
        <w:pStyle w:val="Heading2"/>
      </w:pPr>
      <w:r>
        <w:t>CSB Storage Property Changes</w:t>
      </w:r>
    </w:p>
    <w:p w14:paraId="32D76C06" w14:textId="11C8C50B" w:rsidR="001C1AFC" w:rsidRPr="001C1AFC" w:rsidRDefault="009655A7" w:rsidP="001C1AFC">
      <w:r>
        <w:t>None</w:t>
      </w:r>
    </w:p>
    <w:p w14:paraId="2F9B4D7A" w14:textId="77777777" w:rsidR="007862EC" w:rsidRDefault="007862EC" w:rsidP="00C56F49">
      <w:pPr>
        <w:pStyle w:val="Body"/>
      </w:pPr>
    </w:p>
    <w:p w14:paraId="73F819E2" w14:textId="77777777" w:rsidR="007862EC" w:rsidRPr="008B333F" w:rsidRDefault="007862EC">
      <w:pPr>
        <w:rPr>
          <w:rFonts w:ascii="Palatino Linotype" w:hAnsi="Palatino Linotype"/>
        </w:rPr>
      </w:pPr>
    </w:p>
    <w:sectPr w:rsidR="007862EC" w:rsidRPr="008B333F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3AD73" w14:textId="77777777" w:rsidR="00A6554F" w:rsidRDefault="00A6554F">
      <w:r>
        <w:separator/>
      </w:r>
    </w:p>
    <w:p w14:paraId="1911FEE1" w14:textId="77777777" w:rsidR="00A6554F" w:rsidRDefault="00A6554F"/>
  </w:endnote>
  <w:endnote w:type="continuationSeparator" w:id="0">
    <w:p w14:paraId="59A54F34" w14:textId="77777777" w:rsidR="00A6554F" w:rsidRDefault="00A6554F">
      <w:r>
        <w:continuationSeparator/>
      </w:r>
    </w:p>
    <w:p w14:paraId="35DC50B0" w14:textId="77777777" w:rsidR="00A6554F" w:rsidRDefault="00A65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5D501663" w:rsidR="0062058E" w:rsidRPr="003D7433" w:rsidRDefault="0062058E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48BC57C6" wp14:editId="7C8033CC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6A27F" id="Line 1100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9DAF8" w14:textId="77777777" w:rsidR="00A6554F" w:rsidRDefault="00A6554F">
      <w:r>
        <w:separator/>
      </w:r>
    </w:p>
    <w:p w14:paraId="16E240BA" w14:textId="77777777" w:rsidR="00A6554F" w:rsidRDefault="00A6554F"/>
  </w:footnote>
  <w:footnote w:type="continuationSeparator" w:id="0">
    <w:p w14:paraId="3F31C8A7" w14:textId="77777777" w:rsidR="00A6554F" w:rsidRDefault="00A6554F">
      <w:r>
        <w:continuationSeparator/>
      </w:r>
    </w:p>
    <w:p w14:paraId="73EB885B" w14:textId="77777777" w:rsidR="00A6554F" w:rsidRDefault="00A655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27E4E397" w:rsidR="0062058E" w:rsidRPr="003D7433" w:rsidRDefault="0062058E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D21B742" wp14:editId="61800AF5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8EF5C" id="Line 110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0288" behindDoc="1" locked="0" layoutInCell="1" allowOverlap="1" wp14:anchorId="08314AC0" wp14:editId="660D50E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62058E" w:rsidRDefault="0062058E">
    <w:pPr>
      <w:pStyle w:val="Header"/>
    </w:pPr>
  </w:p>
  <w:p w14:paraId="376C616C" w14:textId="77777777" w:rsidR="0062058E" w:rsidRDefault="0062058E">
    <w:pPr>
      <w:pStyle w:val="Header"/>
    </w:pPr>
  </w:p>
  <w:p w14:paraId="53E24699" w14:textId="77777777" w:rsidR="0062058E" w:rsidRDefault="0062058E">
    <w:pPr>
      <w:pStyle w:val="Header"/>
    </w:pPr>
  </w:p>
  <w:p w14:paraId="2ABB37AC" w14:textId="77777777" w:rsidR="0062058E" w:rsidRDefault="0062058E">
    <w:pPr>
      <w:pStyle w:val="Header"/>
    </w:pPr>
  </w:p>
  <w:p w14:paraId="6B537E06" w14:textId="77777777" w:rsidR="0062058E" w:rsidRDefault="00620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4C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B17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5C2A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4D1B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AC6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4DB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0B3C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5FD2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7E7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AD5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448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57B"/>
    <w:rsid w:val="001B3662"/>
    <w:rsid w:val="001B3E9C"/>
    <w:rsid w:val="001B3FC4"/>
    <w:rsid w:val="001B40A8"/>
    <w:rsid w:val="001B43D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AFC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A9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4F6C"/>
    <w:rsid w:val="001E5285"/>
    <w:rsid w:val="001E5393"/>
    <w:rsid w:val="001E55AA"/>
    <w:rsid w:val="001E5A5F"/>
    <w:rsid w:val="001E6737"/>
    <w:rsid w:val="001E6DB6"/>
    <w:rsid w:val="001E73B9"/>
    <w:rsid w:val="001E76AB"/>
    <w:rsid w:val="001E776E"/>
    <w:rsid w:val="001E794A"/>
    <w:rsid w:val="001E7AA8"/>
    <w:rsid w:val="001E7CDB"/>
    <w:rsid w:val="001E7EAF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575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5FA3"/>
    <w:rsid w:val="00236684"/>
    <w:rsid w:val="002367C9"/>
    <w:rsid w:val="00236936"/>
    <w:rsid w:val="00236B91"/>
    <w:rsid w:val="002370DD"/>
    <w:rsid w:val="00237230"/>
    <w:rsid w:val="00237655"/>
    <w:rsid w:val="002376F9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CE8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0C5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0ED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9CD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C6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9AA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0D"/>
    <w:rsid w:val="003007DA"/>
    <w:rsid w:val="003008E5"/>
    <w:rsid w:val="00300DF6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0B"/>
    <w:rsid w:val="00377787"/>
    <w:rsid w:val="003779A8"/>
    <w:rsid w:val="00377CF0"/>
    <w:rsid w:val="00377D63"/>
    <w:rsid w:val="00377DA5"/>
    <w:rsid w:val="00377F51"/>
    <w:rsid w:val="003801E9"/>
    <w:rsid w:val="003804CA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A7C3F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27D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433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3D6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959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4DCD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1E48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42E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6A6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E8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003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11E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5D10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34DD"/>
    <w:rsid w:val="004F4235"/>
    <w:rsid w:val="004F42B6"/>
    <w:rsid w:val="004F433B"/>
    <w:rsid w:val="004F4349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869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E44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289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5BA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7AB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A01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8F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17B2F"/>
    <w:rsid w:val="00620186"/>
    <w:rsid w:val="0062058E"/>
    <w:rsid w:val="00620887"/>
    <w:rsid w:val="0062094B"/>
    <w:rsid w:val="00620BF3"/>
    <w:rsid w:val="00620C1B"/>
    <w:rsid w:val="00620CD9"/>
    <w:rsid w:val="00620DA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275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706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77761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664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C76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4D8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CB6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CAC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0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249"/>
    <w:rsid w:val="00785412"/>
    <w:rsid w:val="00785B64"/>
    <w:rsid w:val="00785F3F"/>
    <w:rsid w:val="007860B0"/>
    <w:rsid w:val="00786214"/>
    <w:rsid w:val="007862EC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97C7C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2AC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C8C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1D81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56C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A4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0AF8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3C4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1AB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96F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73F"/>
    <w:rsid w:val="008C1A13"/>
    <w:rsid w:val="008C1A8E"/>
    <w:rsid w:val="008C1C41"/>
    <w:rsid w:val="008C22F4"/>
    <w:rsid w:val="008C2807"/>
    <w:rsid w:val="008C293A"/>
    <w:rsid w:val="008C2A76"/>
    <w:rsid w:val="008C2EC8"/>
    <w:rsid w:val="008C300A"/>
    <w:rsid w:val="008C36F6"/>
    <w:rsid w:val="008C3FA2"/>
    <w:rsid w:val="008C410A"/>
    <w:rsid w:val="008C422C"/>
    <w:rsid w:val="008C4283"/>
    <w:rsid w:val="008C4285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3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94E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4E97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A7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6CCB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891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4FE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7E0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9B9"/>
    <w:rsid w:val="00A64C4C"/>
    <w:rsid w:val="00A64F5C"/>
    <w:rsid w:val="00A651AF"/>
    <w:rsid w:val="00A6554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290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E41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6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2E0"/>
    <w:rsid w:val="00B02BAE"/>
    <w:rsid w:val="00B02D91"/>
    <w:rsid w:val="00B02DDF"/>
    <w:rsid w:val="00B03134"/>
    <w:rsid w:val="00B03D9B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E11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5E9C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1EB7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4C9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6F49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95B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6B4C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B3A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4E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36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4CD6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55A"/>
    <w:rsid w:val="00D5488C"/>
    <w:rsid w:val="00D54CDE"/>
    <w:rsid w:val="00D54D19"/>
    <w:rsid w:val="00D5514A"/>
    <w:rsid w:val="00D553AB"/>
    <w:rsid w:val="00D5559E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701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03C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1D5E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B8D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37D7A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3E6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42A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3DC9"/>
    <w:rsid w:val="00EF403D"/>
    <w:rsid w:val="00EF5161"/>
    <w:rsid w:val="00EF5636"/>
    <w:rsid w:val="00EF56FE"/>
    <w:rsid w:val="00EF576C"/>
    <w:rsid w:val="00EF5868"/>
    <w:rsid w:val="00EF5A81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B02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0BDC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514"/>
    <w:rsid w:val="00F66D0F"/>
    <w:rsid w:val="00F66E64"/>
    <w:rsid w:val="00F66E98"/>
    <w:rsid w:val="00F672C1"/>
    <w:rsid w:val="00F67548"/>
    <w:rsid w:val="00F6765C"/>
    <w:rsid w:val="00F67723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2E0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9AC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9">
    <w:name w:val="Body9"/>
    <w:qFormat/>
    <w:rsid w:val="00DC1D5E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DC1D5E"/>
    <w:pPr>
      <w:jc w:val="center"/>
    </w:pPr>
  </w:style>
  <w:style w:type="paragraph" w:customStyle="1" w:styleId="Exar24">
    <w:name w:val="Exar24"/>
    <w:basedOn w:val="Footer"/>
    <w:rsid w:val="00DC1D5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9">
    <w:name w:val="FooterCentered29"/>
    <w:basedOn w:val="Footer"/>
    <w:rsid w:val="00C9595B"/>
    <w:pPr>
      <w:jc w:val="center"/>
    </w:pPr>
  </w:style>
  <w:style w:type="paragraph" w:customStyle="1" w:styleId="Exar29">
    <w:name w:val="Exar29"/>
    <w:basedOn w:val="Footer"/>
    <w:rsid w:val="00C959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3D7433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B627A-8F75-41E4-B7E5-F24A2AB8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1570</TotalTime>
  <Pages>1</Pages>
  <Words>1678</Words>
  <Characters>9268</Characters>
  <Application>Microsoft Office Word</Application>
  <DocSecurity>0</DocSecurity>
  <Lines>441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10642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Sai Yashwanth Kasarabada</cp:lastModifiedBy>
  <cp:revision>51</cp:revision>
  <cp:lastPrinted>2016-05-02T02:14:00Z</cp:lastPrinted>
  <dcterms:created xsi:type="dcterms:W3CDTF">2016-09-07T15:45:00Z</dcterms:created>
  <dcterms:modified xsi:type="dcterms:W3CDTF">2019-07-18T18:36:00Z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65adac7b-b570-4ee5-8990-a26e868bd154</vt:lpwstr>
  </property>
  <property fmtid="{D5CDD505-2E9C-101B-9397-08002B2CF9AE}" pid="12" name="CTP_TimeStamp">
    <vt:lpwstr>2019-07-18 18:36:01Z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