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5EE68" w14:textId="77777777" w:rsidR="004B04B3" w:rsidRPr="005E3C22" w:rsidRDefault="004B04B3" w:rsidP="004B04B3">
      <w:pPr>
        <w:pStyle w:val="Heading1"/>
        <w:rPr>
          <w:rFonts w:ascii="Palatino Linotype" w:hAnsi="Palatino Linotype"/>
        </w:rPr>
      </w:pPr>
      <w:bookmarkStart w:id="0" w:name="_Toc461798319"/>
      <w:bookmarkStart w:id="1" w:name="_Toc496630059"/>
      <w:r w:rsidRPr="005E3C22">
        <w:rPr>
          <w:rFonts w:ascii="Palatino Linotype" w:hAnsi="Palatino Linotype"/>
        </w:rPr>
        <w:t>Cache Hierarchy Configurability</w:t>
      </w:r>
      <w:bookmarkEnd w:id="0"/>
      <w:bookmarkEnd w:id="1"/>
    </w:p>
    <w:p w14:paraId="4587C062" w14:textId="77777777" w:rsidR="004B04B3" w:rsidRPr="005E3C22" w:rsidRDefault="004B04B3" w:rsidP="00EE3D22">
      <w:pPr>
        <w:jc w:val="both"/>
        <w:rPr>
          <w:rFonts w:ascii="Palatino Linotype" w:hAnsi="Palatino Linotype"/>
        </w:rPr>
      </w:pPr>
      <w:r w:rsidRPr="005E3C22">
        <w:rPr>
          <w:rFonts w:ascii="Palatino Linotype" w:hAnsi="Palatino Linotype"/>
        </w:rPr>
        <w:t>Gemini supports a flexible cache hierarchy, allowing the architect significant control of the design.  A cache hierarchy is the organization of the caches, coherency components, and memories.  It is defined by the connectivity of these components, as well as which addresses are handled by each component.</w:t>
      </w:r>
    </w:p>
    <w:p w14:paraId="03EC36B6" w14:textId="77777777" w:rsidR="004B04B3" w:rsidRPr="005E3C22" w:rsidRDefault="004B04B3" w:rsidP="00F701C7">
      <w:pPr>
        <w:rPr>
          <w:rFonts w:ascii="Palatino Linotype" w:hAnsi="Palatino Linotype"/>
        </w:rPr>
      </w:pPr>
      <w:r w:rsidRPr="005E3C22">
        <w:rPr>
          <w:rFonts w:ascii="Palatino Linotype" w:hAnsi="Palatino Linotype"/>
        </w:rPr>
        <w:t>A simple example of a cache hierarchy is shown below:</w:t>
      </w:r>
    </w:p>
    <w:p w14:paraId="17FBA60F" w14:textId="77777777" w:rsidR="004B04B3" w:rsidRPr="005E3C22" w:rsidRDefault="004B04B3" w:rsidP="00F701C7">
      <w:pPr>
        <w:jc w:val="center"/>
        <w:rPr>
          <w:rFonts w:ascii="Palatino Linotype" w:hAnsi="Palatino Linotype"/>
        </w:rPr>
      </w:pPr>
      <w:r w:rsidRPr="005E3C22">
        <w:rPr>
          <w:rFonts w:ascii="Palatino Linotype" w:hAnsi="Palatino Linotype"/>
        </w:rPr>
        <w:object w:dxaOrig="8364" w:dyaOrig="2604" w14:anchorId="054F31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75pt;height:130.4pt" o:ole="">
            <v:imagedata r:id="rId8" o:title=""/>
          </v:shape>
          <o:OLEObject Type="Embed" ProgID="Visio.Drawing.11" ShapeID="_x0000_i1025" DrawAspect="Content" ObjectID="_1595314372" r:id="rId9"/>
        </w:object>
      </w:r>
    </w:p>
    <w:p w14:paraId="2C1E3AEF" w14:textId="77777777" w:rsidR="004B04B3" w:rsidRPr="005E3C22" w:rsidRDefault="004B04B3" w:rsidP="00F701C7">
      <w:pPr>
        <w:pStyle w:val="Caption"/>
        <w:rPr>
          <w:rFonts w:ascii="Palatino Linotype" w:hAnsi="Palatino Linotype"/>
        </w:rPr>
      </w:pPr>
      <w:bookmarkStart w:id="2" w:name="_Toc496630169"/>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17</w:t>
      </w:r>
      <w:r w:rsidRPr="005E3C22">
        <w:rPr>
          <w:rFonts w:ascii="Palatino Linotype" w:hAnsi="Palatino Linotype"/>
          <w:noProof/>
        </w:rPr>
        <w:fldChar w:fldCharType="end"/>
      </w:r>
      <w:r w:rsidRPr="005E3C22">
        <w:rPr>
          <w:rFonts w:ascii="Palatino Linotype" w:hAnsi="Palatino Linotype"/>
        </w:rPr>
        <w:t>: Coherent and Non-Coherent Devices</w:t>
      </w:r>
      <w:bookmarkEnd w:id="2"/>
    </w:p>
    <w:p w14:paraId="1EC7A01E" w14:textId="77777777" w:rsidR="004B04B3" w:rsidRPr="005E3C22" w:rsidRDefault="004B04B3" w:rsidP="00EE3D22">
      <w:pPr>
        <w:jc w:val="both"/>
        <w:rPr>
          <w:rFonts w:ascii="Palatino Linotype" w:hAnsi="Palatino Linotype"/>
        </w:rPr>
      </w:pPr>
      <w:r w:rsidRPr="005E3C22">
        <w:rPr>
          <w:rFonts w:ascii="Palatino Linotype" w:hAnsi="Palatino Linotype"/>
        </w:rPr>
        <w:t>In the diagram above, a master is connected to two slave devices.  One is memory slave that is intended to support coherency.  The other is an I/O slave that accepts only non-coherent requests.  As seen in the diagram, the coherent memory is connected to the master through a coherency controller and a last level cache. For the I/O slave, non-coherent requests can be sent directly from the master to the slave.</w:t>
      </w:r>
    </w:p>
    <w:p w14:paraId="6B5668B3" w14:textId="77777777" w:rsidR="004B04B3" w:rsidRPr="005E3C22" w:rsidRDefault="004B04B3" w:rsidP="004B04B3">
      <w:pPr>
        <w:pStyle w:val="Heading2"/>
        <w:rPr>
          <w:rFonts w:ascii="Palatino Linotype" w:hAnsi="Palatino Linotype"/>
        </w:rPr>
      </w:pPr>
      <w:bookmarkStart w:id="3" w:name="_Toc430886200"/>
      <w:bookmarkStart w:id="4" w:name="_Toc431204633"/>
      <w:bookmarkStart w:id="5" w:name="_Toc461798320"/>
      <w:bookmarkStart w:id="6" w:name="_Toc496630060"/>
      <w:r w:rsidRPr="005E3C22">
        <w:rPr>
          <w:rFonts w:ascii="Palatino Linotype" w:hAnsi="Palatino Linotype"/>
        </w:rPr>
        <w:t>Asymmetric Hierarchies</w:t>
      </w:r>
      <w:bookmarkEnd w:id="3"/>
      <w:bookmarkEnd w:id="4"/>
      <w:bookmarkEnd w:id="5"/>
      <w:bookmarkEnd w:id="6"/>
    </w:p>
    <w:p w14:paraId="6CFB9801" w14:textId="77777777" w:rsidR="004B04B3" w:rsidRPr="005E3C22" w:rsidRDefault="004B04B3" w:rsidP="00F701C7">
      <w:pPr>
        <w:rPr>
          <w:rFonts w:ascii="Palatino Linotype" w:hAnsi="Palatino Linotype"/>
        </w:rPr>
      </w:pPr>
      <w:r w:rsidRPr="005E3C22">
        <w:rPr>
          <w:rFonts w:ascii="Palatino Linotype" w:hAnsi="Palatino Linotype"/>
        </w:rPr>
        <w:t>The cache hierarchy can be asymmetric within the same system.</w:t>
      </w:r>
    </w:p>
    <w:p w14:paraId="0B035DAC" w14:textId="77777777" w:rsidR="004B04B3" w:rsidRPr="005E3C22" w:rsidRDefault="004B04B3" w:rsidP="00F701C7">
      <w:pPr>
        <w:jc w:val="center"/>
        <w:rPr>
          <w:rFonts w:ascii="Palatino Linotype" w:hAnsi="Palatino Linotype"/>
        </w:rPr>
      </w:pPr>
      <w:r w:rsidRPr="005E3C22">
        <w:rPr>
          <w:rFonts w:ascii="Palatino Linotype" w:hAnsi="Palatino Linotype"/>
        </w:rPr>
        <w:object w:dxaOrig="8634" w:dyaOrig="3069" w14:anchorId="4A37E670">
          <v:shape id="_x0000_i1026" type="#_x0000_t75" style="width:6in;height:153.5pt" o:ole="">
            <v:imagedata r:id="rId10" o:title=""/>
          </v:shape>
          <o:OLEObject Type="Embed" ProgID="Visio.Drawing.11" ShapeID="_x0000_i1026" DrawAspect="Content" ObjectID="_1595314373" r:id="rId11"/>
        </w:object>
      </w:r>
    </w:p>
    <w:p w14:paraId="1B2D33FA" w14:textId="77777777" w:rsidR="004B04B3" w:rsidRPr="005E3C22" w:rsidRDefault="004B04B3" w:rsidP="00F701C7">
      <w:pPr>
        <w:pStyle w:val="Caption"/>
        <w:rPr>
          <w:rFonts w:ascii="Palatino Linotype" w:hAnsi="Palatino Linotype"/>
        </w:rPr>
      </w:pPr>
      <w:bookmarkStart w:id="7" w:name="_Toc496630170"/>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18</w:t>
      </w:r>
      <w:r w:rsidRPr="005E3C22">
        <w:rPr>
          <w:rFonts w:ascii="Palatino Linotype" w:hAnsi="Palatino Linotype"/>
          <w:noProof/>
        </w:rPr>
        <w:fldChar w:fldCharType="end"/>
      </w:r>
      <w:r w:rsidRPr="005E3C22">
        <w:rPr>
          <w:rFonts w:ascii="Palatino Linotype" w:hAnsi="Palatino Linotype"/>
        </w:rPr>
        <w:t>: Asymmetric Cache Hierarchy</w:t>
      </w:r>
      <w:bookmarkEnd w:id="7"/>
    </w:p>
    <w:p w14:paraId="302FC2E8" w14:textId="77777777" w:rsidR="004B04B3" w:rsidRPr="005E3C22" w:rsidRDefault="004B04B3" w:rsidP="00EE3D22">
      <w:pPr>
        <w:jc w:val="both"/>
        <w:rPr>
          <w:rFonts w:ascii="Palatino Linotype" w:hAnsi="Palatino Linotype"/>
        </w:rPr>
      </w:pPr>
      <w:r w:rsidRPr="005E3C22">
        <w:rPr>
          <w:rFonts w:ascii="Palatino Linotype" w:hAnsi="Palatino Linotype"/>
        </w:rPr>
        <w:lastRenderedPageBreak/>
        <w:t>In the diagram above, both slaves are enabled for coherency, but only one of them utilizes the cache.  Since one of the slaves is an on-chip RAM, it provides no benefit for storing data in the LLC since the on-chip RAM can be accessed just as quickly.  It also allows the LLC to improve performance more by only caching lines with a long memory latency.</w:t>
      </w:r>
    </w:p>
    <w:p w14:paraId="335503E4" w14:textId="77777777" w:rsidR="004B04B3" w:rsidRPr="005E3C22" w:rsidRDefault="004B04B3" w:rsidP="004B04B3">
      <w:pPr>
        <w:pStyle w:val="Heading2"/>
        <w:rPr>
          <w:rFonts w:ascii="Palatino Linotype" w:hAnsi="Palatino Linotype"/>
        </w:rPr>
      </w:pPr>
      <w:bookmarkStart w:id="8" w:name="_Toc430886201"/>
      <w:bookmarkStart w:id="9" w:name="_Toc431204634"/>
      <w:bookmarkStart w:id="10" w:name="_Toc461798321"/>
      <w:bookmarkStart w:id="11" w:name="_Toc496630061"/>
      <w:r w:rsidRPr="005E3C22">
        <w:rPr>
          <w:rFonts w:ascii="Palatino Linotype" w:hAnsi="Palatino Linotype"/>
        </w:rPr>
        <w:t>Different Ranges for the same Slave</w:t>
      </w:r>
      <w:bookmarkEnd w:id="8"/>
      <w:bookmarkEnd w:id="9"/>
      <w:bookmarkEnd w:id="10"/>
      <w:bookmarkEnd w:id="11"/>
    </w:p>
    <w:p w14:paraId="5F8311DA" w14:textId="77777777" w:rsidR="004B04B3" w:rsidRPr="005E3C22" w:rsidRDefault="004B04B3" w:rsidP="00EE3D22">
      <w:pPr>
        <w:jc w:val="both"/>
        <w:rPr>
          <w:rFonts w:ascii="Palatino Linotype" w:hAnsi="Palatino Linotype"/>
        </w:rPr>
      </w:pPr>
      <w:r w:rsidRPr="005E3C22">
        <w:rPr>
          <w:rFonts w:ascii="Palatino Linotype" w:hAnsi="Palatino Linotype"/>
        </w:rPr>
        <w:t>This asymmetry can also apply to the same slave, but allowing different memory ranges to be treated differently.</w:t>
      </w:r>
    </w:p>
    <w:p w14:paraId="4250B1BC" w14:textId="77777777" w:rsidR="004B04B3" w:rsidRPr="005E3C22" w:rsidRDefault="004B04B3" w:rsidP="00F701C7">
      <w:pPr>
        <w:jc w:val="center"/>
        <w:rPr>
          <w:rFonts w:ascii="Palatino Linotype" w:hAnsi="Palatino Linotype"/>
        </w:rPr>
      </w:pPr>
      <w:r w:rsidRPr="005E3C22">
        <w:rPr>
          <w:rFonts w:ascii="Palatino Linotype" w:hAnsi="Palatino Linotype"/>
        </w:rPr>
        <w:object w:dxaOrig="11306" w:dyaOrig="2117" w14:anchorId="5D902EA7">
          <v:shape id="_x0000_i1027" type="#_x0000_t75" style="width:467.3pt;height:87.6pt" o:ole="">
            <v:imagedata r:id="rId12" o:title=""/>
          </v:shape>
          <o:OLEObject Type="Embed" ProgID="Visio.Drawing.11" ShapeID="_x0000_i1027" DrawAspect="Content" ObjectID="_1595314374" r:id="rId13"/>
        </w:object>
      </w:r>
    </w:p>
    <w:p w14:paraId="2CBF5576" w14:textId="77777777" w:rsidR="004B04B3" w:rsidRPr="005E3C22" w:rsidRDefault="004B04B3" w:rsidP="00F701C7">
      <w:pPr>
        <w:pStyle w:val="Caption"/>
        <w:rPr>
          <w:rFonts w:ascii="Palatino Linotype" w:hAnsi="Palatino Linotype"/>
        </w:rPr>
      </w:pPr>
      <w:bookmarkStart w:id="12" w:name="_Toc496630171"/>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19</w:t>
      </w:r>
      <w:r w:rsidRPr="005E3C22">
        <w:rPr>
          <w:rFonts w:ascii="Palatino Linotype" w:hAnsi="Palatino Linotype"/>
          <w:noProof/>
        </w:rPr>
        <w:fldChar w:fldCharType="end"/>
      </w:r>
      <w:r w:rsidRPr="005E3C22">
        <w:rPr>
          <w:rFonts w:ascii="Palatino Linotype" w:hAnsi="Palatino Linotype"/>
        </w:rPr>
        <w:t>: Different ranges of to the same memory controller</w:t>
      </w:r>
      <w:bookmarkEnd w:id="12"/>
    </w:p>
    <w:p w14:paraId="433E5361" w14:textId="77777777" w:rsidR="004B04B3" w:rsidRPr="005E3C22" w:rsidRDefault="004B04B3" w:rsidP="00EE3D22">
      <w:pPr>
        <w:jc w:val="both"/>
        <w:rPr>
          <w:rFonts w:ascii="Palatino Linotype" w:hAnsi="Palatino Linotype"/>
        </w:rPr>
      </w:pPr>
      <w:r w:rsidRPr="005E3C22">
        <w:rPr>
          <w:rFonts w:ascii="Palatino Linotype" w:hAnsi="Palatino Linotype"/>
        </w:rPr>
        <w:t xml:space="preserve">In the diagram above, different ranges of the same memory controller can be handled differently, with one range going through a cache, while the other range goes directly from the CCC to the memory controller.  </w:t>
      </w:r>
    </w:p>
    <w:p w14:paraId="49117CF7" w14:textId="77777777" w:rsidR="004B04B3" w:rsidRPr="005E3C22" w:rsidRDefault="004B04B3" w:rsidP="004B04B3">
      <w:pPr>
        <w:pStyle w:val="Heading2"/>
        <w:rPr>
          <w:rFonts w:ascii="Palatino Linotype" w:hAnsi="Palatino Linotype"/>
        </w:rPr>
      </w:pPr>
      <w:bookmarkStart w:id="13" w:name="_Toc430886202"/>
      <w:bookmarkStart w:id="14" w:name="_Toc431204635"/>
      <w:bookmarkStart w:id="15" w:name="_Toc461798322"/>
      <w:bookmarkStart w:id="16" w:name="_Toc496630062"/>
      <w:r w:rsidRPr="005E3C22">
        <w:rPr>
          <w:rFonts w:ascii="Palatino Linotype" w:hAnsi="Palatino Linotype"/>
        </w:rPr>
        <w:t>Adding Slices for CCC or LLC</w:t>
      </w:r>
      <w:bookmarkEnd w:id="13"/>
      <w:bookmarkEnd w:id="14"/>
      <w:bookmarkEnd w:id="15"/>
      <w:bookmarkEnd w:id="16"/>
    </w:p>
    <w:p w14:paraId="3EF3E992" w14:textId="77777777" w:rsidR="004B04B3" w:rsidRPr="005E3C22" w:rsidRDefault="004B04B3" w:rsidP="00EE3D22">
      <w:pPr>
        <w:jc w:val="both"/>
        <w:rPr>
          <w:rFonts w:ascii="Palatino Linotype" w:hAnsi="Palatino Linotype"/>
        </w:rPr>
      </w:pPr>
      <w:r w:rsidRPr="005E3C22">
        <w:rPr>
          <w:rFonts w:ascii="Palatino Linotype" w:hAnsi="Palatino Linotype"/>
        </w:rPr>
        <w:t>For systems with larger bandwidth requirements, it may be necessary to utilize multiple CCCs or LLCs to increase bandwidth.  One common method for supporting this is to take an address range and slice it into equal parts, with each CCC or LLC responsible for one of the parts.  If requests are well distributed to the different slices, bandwidth will increase proportional to the number of components.  Having 4 instances of a cache can get 4x the bandwidth of a single instance.</w:t>
      </w:r>
    </w:p>
    <w:p w14:paraId="2E5457B6" w14:textId="77777777" w:rsidR="004B04B3" w:rsidRPr="005E3C22" w:rsidRDefault="004B04B3" w:rsidP="00EE3D22">
      <w:pPr>
        <w:jc w:val="both"/>
        <w:rPr>
          <w:rFonts w:ascii="Palatino Linotype" w:hAnsi="Palatino Linotype"/>
        </w:rPr>
      </w:pPr>
      <w:r w:rsidRPr="005E3C22">
        <w:rPr>
          <w:rFonts w:ascii="Palatino Linotype" w:hAnsi="Palatino Linotype"/>
        </w:rPr>
        <w:t>The slicing function uses specified address bits to assign responsibility to each component.  Slicing can be done using a power-of-2 number of slices.  This allows a simple decode of address bits.</w:t>
      </w:r>
    </w:p>
    <w:p w14:paraId="74B5BA81" w14:textId="77777777" w:rsidR="004B04B3" w:rsidRPr="005E3C22" w:rsidRDefault="004B04B3" w:rsidP="00F701C7">
      <w:pPr>
        <w:jc w:val="center"/>
        <w:rPr>
          <w:rFonts w:ascii="Palatino Linotype" w:hAnsi="Palatino Linotype"/>
        </w:rPr>
      </w:pPr>
      <w:r w:rsidRPr="005E3C22">
        <w:rPr>
          <w:rFonts w:ascii="Palatino Linotype" w:hAnsi="Palatino Linotype"/>
        </w:rPr>
        <w:object w:dxaOrig="10569" w:dyaOrig="4370" w14:anchorId="7F5A9FF2">
          <v:shape id="_x0000_i1028" type="#_x0000_t75" style="width:468pt;height:194.25pt" o:ole="">
            <v:imagedata r:id="rId14" o:title=""/>
          </v:shape>
          <o:OLEObject Type="Embed" ProgID="Visio.Drawing.11" ShapeID="_x0000_i1028" DrawAspect="Content" ObjectID="_1595314375" r:id="rId15"/>
        </w:object>
      </w:r>
    </w:p>
    <w:p w14:paraId="7AC0DB73" w14:textId="77777777" w:rsidR="004B04B3" w:rsidRPr="005E3C22" w:rsidRDefault="004B04B3" w:rsidP="00F701C7">
      <w:pPr>
        <w:pStyle w:val="Caption"/>
        <w:rPr>
          <w:rFonts w:ascii="Palatino Linotype" w:hAnsi="Palatino Linotype"/>
        </w:rPr>
      </w:pPr>
      <w:bookmarkStart w:id="17" w:name="_Ref412742120"/>
      <w:bookmarkStart w:id="18" w:name="_Toc496630172"/>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20</w:t>
      </w:r>
      <w:r w:rsidRPr="005E3C22">
        <w:rPr>
          <w:rFonts w:ascii="Palatino Linotype" w:hAnsi="Palatino Linotype"/>
          <w:noProof/>
        </w:rPr>
        <w:fldChar w:fldCharType="end"/>
      </w:r>
      <w:r w:rsidRPr="005E3C22">
        <w:rPr>
          <w:rFonts w:ascii="Palatino Linotype" w:hAnsi="Palatino Linotype"/>
        </w:rPr>
        <w:t>: Uniform sliced address space</w:t>
      </w:r>
      <w:bookmarkEnd w:id="17"/>
      <w:bookmarkEnd w:id="18"/>
    </w:p>
    <w:p w14:paraId="53AFBCE4" w14:textId="77777777" w:rsidR="004B04B3" w:rsidRPr="005E3C22" w:rsidRDefault="004B04B3" w:rsidP="00EE3D22">
      <w:pPr>
        <w:jc w:val="both"/>
        <w:rPr>
          <w:rFonts w:ascii="Palatino Linotype" w:hAnsi="Palatino Linotype"/>
        </w:rPr>
      </w:pPr>
      <w:r w:rsidRPr="005E3C22">
        <w:rPr>
          <w:rFonts w:ascii="Palatino Linotype" w:hAnsi="Palatino Linotype"/>
        </w:rPr>
        <w:t>In the figure above, the memory controller address space is split into 4 regions, dividing by address bits 7 and 6.  Each address region is handled by a separate CCC and a separate LLC.  Each CCC slice handles ¼ of the memory addresses, as does each LLC slice.  Since both the CCCs and the LLCs are sliced with the same bits, connectivity is limited.  Each CCC slice only has a connection to a single LLC slice.</w:t>
      </w:r>
    </w:p>
    <w:p w14:paraId="17EE693F" w14:textId="77777777" w:rsidR="004B04B3" w:rsidRPr="005E3C22" w:rsidRDefault="004B04B3" w:rsidP="004B04B3">
      <w:pPr>
        <w:pStyle w:val="Heading2"/>
        <w:rPr>
          <w:rFonts w:ascii="Palatino Linotype" w:hAnsi="Palatino Linotype"/>
        </w:rPr>
      </w:pPr>
      <w:bookmarkStart w:id="19" w:name="_Toc430886203"/>
      <w:bookmarkStart w:id="20" w:name="_Toc431204636"/>
      <w:bookmarkStart w:id="21" w:name="_Toc461798323"/>
      <w:bookmarkStart w:id="22" w:name="_Toc496630063"/>
      <w:r w:rsidRPr="005E3C22">
        <w:rPr>
          <w:rFonts w:ascii="Palatino Linotype" w:hAnsi="Palatino Linotype"/>
        </w:rPr>
        <w:t>Different Slicing between CCC and LLC</w:t>
      </w:r>
      <w:bookmarkEnd w:id="19"/>
      <w:bookmarkEnd w:id="20"/>
      <w:bookmarkEnd w:id="21"/>
      <w:bookmarkEnd w:id="22"/>
    </w:p>
    <w:p w14:paraId="30485760" w14:textId="77777777" w:rsidR="004B04B3" w:rsidRPr="005E3C22" w:rsidRDefault="004B04B3" w:rsidP="00EE3D22">
      <w:pPr>
        <w:jc w:val="both"/>
        <w:rPr>
          <w:rFonts w:ascii="Palatino Linotype" w:hAnsi="Palatino Linotype"/>
        </w:rPr>
      </w:pPr>
      <w:r w:rsidRPr="005E3C22">
        <w:rPr>
          <w:rFonts w:ascii="Palatino Linotype" w:hAnsi="Palatino Linotype"/>
        </w:rPr>
        <w:t>In the example above, slicing was done in a uniform way between the CCCs and LLCs.  This may be a useful design method, but Gemini supports a larger variety of cache hierarchies.  The number of CCCs and the number of LLC can vary.</w:t>
      </w:r>
    </w:p>
    <w:p w14:paraId="624CCE45" w14:textId="77777777" w:rsidR="004B04B3" w:rsidRPr="005E3C22" w:rsidRDefault="004B04B3" w:rsidP="00F701C7">
      <w:pPr>
        <w:jc w:val="center"/>
        <w:rPr>
          <w:rFonts w:ascii="Palatino Linotype" w:hAnsi="Palatino Linotype"/>
        </w:rPr>
      </w:pPr>
      <w:r w:rsidRPr="005E3C22">
        <w:rPr>
          <w:rFonts w:ascii="Palatino Linotype" w:hAnsi="Palatino Linotype"/>
        </w:rPr>
        <w:object w:dxaOrig="14484" w:dyaOrig="4809" w14:anchorId="52B6FA9A">
          <v:shape id="_x0000_i1029" type="#_x0000_t75" style="width:468pt;height:156.25pt" o:ole="">
            <v:imagedata r:id="rId16" o:title=""/>
          </v:shape>
          <o:OLEObject Type="Embed" ProgID="Visio.Drawing.11" ShapeID="_x0000_i1029" DrawAspect="Content" ObjectID="_1595314376" r:id="rId17"/>
        </w:object>
      </w:r>
    </w:p>
    <w:p w14:paraId="37922973" w14:textId="77777777" w:rsidR="004B04B3" w:rsidRPr="005E3C22" w:rsidRDefault="004B04B3" w:rsidP="00F701C7">
      <w:pPr>
        <w:pStyle w:val="Caption"/>
        <w:rPr>
          <w:rFonts w:ascii="Palatino Linotype" w:hAnsi="Palatino Linotype"/>
        </w:rPr>
      </w:pPr>
      <w:bookmarkStart w:id="23" w:name="_Toc496630173"/>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21</w:t>
      </w:r>
      <w:r w:rsidRPr="005E3C22">
        <w:rPr>
          <w:rFonts w:ascii="Palatino Linotype" w:hAnsi="Palatino Linotype"/>
          <w:noProof/>
        </w:rPr>
        <w:fldChar w:fldCharType="end"/>
      </w:r>
      <w:r w:rsidRPr="005E3C22">
        <w:rPr>
          <w:rFonts w:ascii="Palatino Linotype" w:hAnsi="Palatino Linotype"/>
        </w:rPr>
        <w:t>: Different Slicing between CCC and LLC</w:t>
      </w:r>
      <w:bookmarkEnd w:id="23"/>
    </w:p>
    <w:p w14:paraId="7D4CE855" w14:textId="77777777" w:rsidR="004B04B3" w:rsidRPr="005E3C22" w:rsidRDefault="004B04B3" w:rsidP="00EE3D22">
      <w:pPr>
        <w:jc w:val="both"/>
        <w:rPr>
          <w:rFonts w:ascii="Palatino Linotype" w:hAnsi="Palatino Linotype"/>
        </w:rPr>
      </w:pPr>
      <w:r w:rsidRPr="005E3C22">
        <w:rPr>
          <w:rFonts w:ascii="Palatino Linotype" w:hAnsi="Palatino Linotype"/>
        </w:rPr>
        <w:lastRenderedPageBreak/>
        <w:t>The figure above shows 4 CCCs and 4LLCs, but with a different connectivity.  CCC0 and CCC1 can each talk to LLC0 and LLC1, while CCC2 and CCC3 talk to LLC2 and LLC3.  This configuration can happen when slice bits are chosen in a different manner.</w:t>
      </w:r>
    </w:p>
    <w:p w14:paraId="0A79F0A1" w14:textId="77777777" w:rsidR="004B04B3" w:rsidRPr="005E3C22" w:rsidRDefault="004B04B3" w:rsidP="004B04B3">
      <w:pPr>
        <w:pStyle w:val="Heading2"/>
        <w:rPr>
          <w:rFonts w:ascii="Palatino Linotype" w:hAnsi="Palatino Linotype"/>
        </w:rPr>
      </w:pPr>
      <w:bookmarkStart w:id="24" w:name="_Toc430886204"/>
      <w:bookmarkStart w:id="25" w:name="_Toc431204637"/>
      <w:bookmarkStart w:id="26" w:name="_Toc461798324"/>
      <w:bookmarkStart w:id="27" w:name="_Toc496630064"/>
      <w:r w:rsidRPr="005E3C22">
        <w:rPr>
          <w:rFonts w:ascii="Palatino Linotype" w:hAnsi="Palatino Linotype"/>
        </w:rPr>
        <w:t>Different Number of CCCs and LLCs</w:t>
      </w:r>
      <w:bookmarkEnd w:id="24"/>
      <w:bookmarkEnd w:id="25"/>
      <w:bookmarkEnd w:id="26"/>
      <w:bookmarkEnd w:id="27"/>
    </w:p>
    <w:p w14:paraId="03110BC3" w14:textId="77777777" w:rsidR="004B04B3" w:rsidRPr="005E3C22" w:rsidRDefault="004B04B3" w:rsidP="00EE3D22">
      <w:pPr>
        <w:jc w:val="both"/>
        <w:rPr>
          <w:rFonts w:ascii="Palatino Linotype" w:hAnsi="Palatino Linotype"/>
        </w:rPr>
      </w:pPr>
      <w:r w:rsidRPr="005E3C22">
        <w:rPr>
          <w:rFonts w:ascii="Palatino Linotype" w:hAnsi="Palatino Linotype"/>
        </w:rPr>
        <w:t>Since slicing can be different between CCCs and LLC, Gemini can also support a different number of CCCs and LLCs in the same cache hierarchy.  This can be useful if the bandwidth requirements are different or if physical location requires agents to be physically distributed.</w:t>
      </w:r>
    </w:p>
    <w:p w14:paraId="3FFCDEF4" w14:textId="77777777" w:rsidR="004B04B3" w:rsidRPr="005E3C22" w:rsidRDefault="004B04B3" w:rsidP="00F701C7">
      <w:pPr>
        <w:jc w:val="center"/>
        <w:rPr>
          <w:rFonts w:ascii="Palatino Linotype" w:hAnsi="Palatino Linotype"/>
        </w:rPr>
      </w:pPr>
      <w:r w:rsidRPr="005E3C22">
        <w:rPr>
          <w:rFonts w:ascii="Palatino Linotype" w:hAnsi="Palatino Linotype"/>
        </w:rPr>
        <w:object w:dxaOrig="13292" w:dyaOrig="4764" w14:anchorId="50B8D12B">
          <v:shape id="_x0000_i1030" type="#_x0000_t75" style="width:468pt;height:168.45pt" o:ole="">
            <v:imagedata r:id="rId18" o:title=""/>
          </v:shape>
          <o:OLEObject Type="Embed" ProgID="Visio.Drawing.11" ShapeID="_x0000_i1030" DrawAspect="Content" ObjectID="_1595314377" r:id="rId19"/>
        </w:object>
      </w:r>
    </w:p>
    <w:p w14:paraId="63020970" w14:textId="77777777" w:rsidR="004B04B3" w:rsidRPr="005E3C22" w:rsidRDefault="004B04B3" w:rsidP="00F701C7">
      <w:pPr>
        <w:pStyle w:val="Caption"/>
        <w:rPr>
          <w:rFonts w:ascii="Palatino Linotype" w:hAnsi="Palatino Linotype"/>
        </w:rPr>
      </w:pPr>
      <w:bookmarkStart w:id="28" w:name="_Toc496630174"/>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22</w:t>
      </w:r>
      <w:r w:rsidRPr="005E3C22">
        <w:rPr>
          <w:rFonts w:ascii="Palatino Linotype" w:hAnsi="Palatino Linotype"/>
          <w:noProof/>
        </w:rPr>
        <w:fldChar w:fldCharType="end"/>
      </w:r>
      <w:r w:rsidRPr="005E3C22">
        <w:rPr>
          <w:rFonts w:ascii="Palatino Linotype" w:hAnsi="Palatino Linotype"/>
        </w:rPr>
        <w:t>: Different number of CCCs and LLCs</w:t>
      </w:r>
      <w:bookmarkEnd w:id="28"/>
    </w:p>
    <w:p w14:paraId="6030F383" w14:textId="77777777" w:rsidR="004B04B3" w:rsidRPr="005E3C22" w:rsidRDefault="004B04B3" w:rsidP="00EE3D22">
      <w:pPr>
        <w:jc w:val="both"/>
        <w:rPr>
          <w:rFonts w:ascii="Palatino Linotype" w:hAnsi="Palatino Linotype"/>
        </w:rPr>
      </w:pPr>
      <w:r w:rsidRPr="005E3C22">
        <w:rPr>
          <w:rFonts w:ascii="Palatino Linotype" w:hAnsi="Palatino Linotype"/>
        </w:rPr>
        <w:t xml:space="preserve">In the figure above, there are only 2 CCCs while there are 4 LLCs in this cache hierarchy.  Additionally, each CCC only talks to two LLCs.  </w:t>
      </w:r>
    </w:p>
    <w:p w14:paraId="50FAE306" w14:textId="77777777" w:rsidR="004B04B3" w:rsidRPr="005E3C22" w:rsidRDefault="004B04B3" w:rsidP="00F701C7">
      <w:pPr>
        <w:rPr>
          <w:rFonts w:ascii="Palatino Linotype" w:hAnsi="Palatino Linotype"/>
        </w:rPr>
      </w:pPr>
    </w:p>
    <w:p w14:paraId="43E42F60" w14:textId="77777777" w:rsidR="004B04B3" w:rsidRPr="005E3C22" w:rsidRDefault="004B04B3" w:rsidP="004B04B3">
      <w:pPr>
        <w:pStyle w:val="Heading2"/>
        <w:rPr>
          <w:rFonts w:ascii="Palatino Linotype" w:hAnsi="Palatino Linotype"/>
        </w:rPr>
      </w:pPr>
      <w:bookmarkStart w:id="29" w:name="_Toc430886205"/>
      <w:bookmarkStart w:id="30" w:name="_Toc431204638"/>
      <w:bookmarkStart w:id="31" w:name="_Toc461798325"/>
      <w:bookmarkStart w:id="32" w:name="_Toc496630065"/>
      <w:r w:rsidRPr="005E3C22">
        <w:rPr>
          <w:rFonts w:ascii="Palatino Linotype" w:hAnsi="Palatino Linotype"/>
        </w:rPr>
        <w:t>Combining These Design Choices</w:t>
      </w:r>
      <w:bookmarkEnd w:id="29"/>
      <w:bookmarkEnd w:id="30"/>
      <w:bookmarkEnd w:id="31"/>
      <w:bookmarkEnd w:id="32"/>
    </w:p>
    <w:p w14:paraId="23FA59AE" w14:textId="77777777" w:rsidR="004B04B3" w:rsidRPr="005E3C22" w:rsidRDefault="004B04B3" w:rsidP="00EE3D22">
      <w:pPr>
        <w:jc w:val="both"/>
        <w:rPr>
          <w:rFonts w:ascii="Palatino Linotype" w:hAnsi="Palatino Linotype"/>
        </w:rPr>
      </w:pPr>
      <w:r w:rsidRPr="005E3C22">
        <w:rPr>
          <w:rFonts w:ascii="Palatino Linotype" w:hAnsi="Palatino Linotype"/>
        </w:rPr>
        <w:t>Complex cache hierarchies can be built with these various controls, as seen below.</w:t>
      </w:r>
    </w:p>
    <w:p w14:paraId="564F3FF3" w14:textId="77777777" w:rsidR="004B04B3" w:rsidRPr="005E3C22" w:rsidRDefault="004B04B3" w:rsidP="00F701C7">
      <w:pPr>
        <w:jc w:val="center"/>
        <w:rPr>
          <w:rFonts w:ascii="Palatino Linotype" w:hAnsi="Palatino Linotype"/>
        </w:rPr>
      </w:pPr>
      <w:r w:rsidRPr="005E3C22">
        <w:rPr>
          <w:rFonts w:ascii="Palatino Linotype" w:hAnsi="Palatino Linotype"/>
        </w:rPr>
        <w:object w:dxaOrig="16906" w:dyaOrig="6669" w14:anchorId="5D3D35B0">
          <v:shape id="_x0000_i1031" type="#_x0000_t75" style="width:467.3pt;height:183.4pt" o:ole="">
            <v:imagedata r:id="rId20" o:title=""/>
          </v:shape>
          <o:OLEObject Type="Embed" ProgID="Visio.Drawing.11" ShapeID="_x0000_i1031" DrawAspect="Content" ObjectID="_1595314378" r:id="rId21"/>
        </w:object>
      </w:r>
    </w:p>
    <w:p w14:paraId="39554204" w14:textId="77777777" w:rsidR="004B04B3" w:rsidRPr="005E3C22" w:rsidRDefault="004B04B3" w:rsidP="004B04B3">
      <w:pPr>
        <w:pStyle w:val="Heading2"/>
        <w:rPr>
          <w:rFonts w:ascii="Palatino Linotype" w:hAnsi="Palatino Linotype"/>
        </w:rPr>
      </w:pPr>
      <w:bookmarkStart w:id="33" w:name="_Toc430886209"/>
      <w:bookmarkStart w:id="34" w:name="_Toc431204642"/>
      <w:bookmarkStart w:id="35" w:name="_Toc461798326"/>
      <w:bookmarkStart w:id="36" w:name="_Toc496630066"/>
      <w:r w:rsidRPr="005E3C22">
        <w:rPr>
          <w:rFonts w:ascii="Palatino Linotype" w:hAnsi="Palatino Linotype"/>
        </w:rPr>
        <w:t>Non-Coherent Access Point</w:t>
      </w:r>
      <w:bookmarkEnd w:id="33"/>
      <w:bookmarkEnd w:id="34"/>
      <w:bookmarkEnd w:id="35"/>
      <w:bookmarkEnd w:id="36"/>
    </w:p>
    <w:p w14:paraId="16D26D25" w14:textId="77777777" w:rsidR="004B04B3" w:rsidRPr="005E3C22" w:rsidRDefault="004B04B3" w:rsidP="00EE3D22">
      <w:pPr>
        <w:jc w:val="both"/>
        <w:rPr>
          <w:rFonts w:ascii="Palatino Linotype" w:hAnsi="Palatino Linotype"/>
        </w:rPr>
      </w:pPr>
      <w:r w:rsidRPr="005E3C22">
        <w:rPr>
          <w:rFonts w:ascii="Palatino Linotype" w:hAnsi="Palatino Linotype"/>
        </w:rPr>
        <w:t>Gemini’s cache hierarchy support allows for the LLC or Cache to be added as either a Coherent Cache or as a Memory Cache.</w:t>
      </w:r>
    </w:p>
    <w:p w14:paraId="21B1E82E" w14:textId="77777777" w:rsidR="004B04B3" w:rsidRPr="005E3C22" w:rsidRDefault="004B04B3" w:rsidP="00EE3D22">
      <w:pPr>
        <w:jc w:val="both"/>
        <w:rPr>
          <w:rFonts w:ascii="Palatino Linotype" w:hAnsi="Palatino Linotype"/>
        </w:rPr>
      </w:pPr>
      <w:r w:rsidRPr="005E3C22">
        <w:rPr>
          <w:rFonts w:ascii="Palatino Linotype" w:hAnsi="Palatino Linotype"/>
        </w:rPr>
        <w:t>A Coherent Cache is a cache that is only accessible by coherent requests.  The CCC sends requests to the LLCs, but non-coherent traffic skips the CCC and the LLC and talks directly to memory.</w:t>
      </w:r>
    </w:p>
    <w:p w14:paraId="4124E7FB" w14:textId="77777777" w:rsidR="004B04B3" w:rsidRPr="005E3C22" w:rsidRDefault="004B04B3" w:rsidP="00F701C7">
      <w:pPr>
        <w:jc w:val="center"/>
        <w:rPr>
          <w:rFonts w:ascii="Palatino Linotype" w:hAnsi="Palatino Linotype"/>
        </w:rPr>
      </w:pPr>
      <w:r w:rsidRPr="005E3C22">
        <w:rPr>
          <w:rFonts w:ascii="Palatino Linotype" w:hAnsi="Palatino Linotype"/>
        </w:rPr>
        <w:object w:dxaOrig="11064" w:dyaOrig="3999" w14:anchorId="10417D54">
          <v:shape id="_x0000_i1032" type="#_x0000_t75" style="width:467.3pt;height:167.75pt" o:ole="">
            <v:imagedata r:id="rId22" o:title=""/>
          </v:shape>
          <o:OLEObject Type="Embed" ProgID="Visio.Drawing.11" ShapeID="_x0000_i1032" DrawAspect="Content" ObjectID="_1595314379" r:id="rId23"/>
        </w:object>
      </w:r>
    </w:p>
    <w:p w14:paraId="3FE455A9" w14:textId="77777777" w:rsidR="004B04B3" w:rsidRPr="005E3C22" w:rsidRDefault="004B04B3" w:rsidP="00F701C7">
      <w:pPr>
        <w:pStyle w:val="Caption"/>
        <w:rPr>
          <w:rFonts w:ascii="Palatino Linotype" w:hAnsi="Palatino Linotype"/>
        </w:rPr>
      </w:pPr>
      <w:bookmarkStart w:id="37" w:name="_Toc496630175"/>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23</w:t>
      </w:r>
      <w:r w:rsidRPr="005E3C22">
        <w:rPr>
          <w:rFonts w:ascii="Palatino Linotype" w:hAnsi="Palatino Linotype"/>
          <w:noProof/>
        </w:rPr>
        <w:fldChar w:fldCharType="end"/>
      </w:r>
      <w:r w:rsidRPr="005E3C22">
        <w:rPr>
          <w:rFonts w:ascii="Palatino Linotype" w:hAnsi="Palatino Linotype"/>
        </w:rPr>
        <w:t>: Example Coherency Cache hierarchy</w:t>
      </w:r>
      <w:bookmarkEnd w:id="37"/>
    </w:p>
    <w:p w14:paraId="35B70731" w14:textId="77777777" w:rsidR="004B04B3" w:rsidRPr="005E3C22" w:rsidRDefault="004B04B3" w:rsidP="00EE3D22">
      <w:pPr>
        <w:jc w:val="both"/>
        <w:rPr>
          <w:rFonts w:ascii="Palatino Linotype" w:hAnsi="Palatino Linotype"/>
        </w:rPr>
      </w:pPr>
      <w:r w:rsidRPr="005E3C22">
        <w:rPr>
          <w:rFonts w:ascii="Palatino Linotype" w:hAnsi="Palatino Linotype"/>
        </w:rPr>
        <w:t>In the diagram above, coherent traffic is sent to IOCB and CCC, which can send coherent requests to the LLC.  Non-coherent requests, as embodied by the AXI agent’s traffic, skip past the coherent system and the LLC, and get sent directly to the memory port.</w:t>
      </w:r>
    </w:p>
    <w:p w14:paraId="499BB1A0" w14:textId="77777777" w:rsidR="004B04B3" w:rsidRPr="005E3C22" w:rsidRDefault="004B04B3" w:rsidP="00EE3D22">
      <w:pPr>
        <w:jc w:val="both"/>
        <w:rPr>
          <w:rFonts w:ascii="Palatino Linotype" w:hAnsi="Palatino Linotype"/>
        </w:rPr>
      </w:pPr>
      <w:r w:rsidRPr="005E3C22">
        <w:rPr>
          <w:rFonts w:ascii="Palatino Linotype" w:hAnsi="Palatino Linotype"/>
        </w:rPr>
        <w:t>An alternative cache hierarchy design uses a Memory Cache.  A memory cache is a cache that is accessible by all traffic, including coherent and non-coherent.   The following diagram shows an example memory cache system.</w:t>
      </w:r>
    </w:p>
    <w:p w14:paraId="74FA2442" w14:textId="77777777" w:rsidR="004B04B3" w:rsidRPr="005E3C22" w:rsidRDefault="004B04B3" w:rsidP="00F701C7">
      <w:pPr>
        <w:jc w:val="center"/>
        <w:rPr>
          <w:rFonts w:ascii="Palatino Linotype" w:hAnsi="Palatino Linotype"/>
        </w:rPr>
      </w:pPr>
      <w:r w:rsidRPr="005E3C22">
        <w:rPr>
          <w:rFonts w:ascii="Palatino Linotype" w:hAnsi="Palatino Linotype"/>
        </w:rPr>
        <w:object w:dxaOrig="11064" w:dyaOrig="3999" w14:anchorId="3B71B191">
          <v:shape id="_x0000_i1033" type="#_x0000_t75" style="width:467.3pt;height:167.75pt" o:ole="">
            <v:imagedata r:id="rId24" o:title=""/>
          </v:shape>
          <o:OLEObject Type="Embed" ProgID="Visio.Drawing.11" ShapeID="_x0000_i1033" DrawAspect="Content" ObjectID="_1595314380" r:id="rId25"/>
        </w:object>
      </w:r>
    </w:p>
    <w:p w14:paraId="3B4DEFB6" w14:textId="77777777" w:rsidR="004B04B3" w:rsidRPr="005E3C22" w:rsidRDefault="004B04B3" w:rsidP="00F701C7">
      <w:pPr>
        <w:pStyle w:val="Caption"/>
        <w:rPr>
          <w:rFonts w:ascii="Palatino Linotype" w:hAnsi="Palatino Linotype"/>
        </w:rPr>
      </w:pPr>
      <w:bookmarkStart w:id="38" w:name="_Toc496630176"/>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24</w:t>
      </w:r>
      <w:r w:rsidRPr="005E3C22">
        <w:rPr>
          <w:rFonts w:ascii="Palatino Linotype" w:hAnsi="Palatino Linotype"/>
          <w:noProof/>
        </w:rPr>
        <w:fldChar w:fldCharType="end"/>
      </w:r>
      <w:r w:rsidRPr="005E3C22">
        <w:rPr>
          <w:rFonts w:ascii="Palatino Linotype" w:hAnsi="Palatino Linotype"/>
        </w:rPr>
        <w:t>: Example Memory Cache hierarchy</w:t>
      </w:r>
      <w:bookmarkEnd w:id="38"/>
    </w:p>
    <w:p w14:paraId="37F1FD26" w14:textId="77777777" w:rsidR="004B04B3" w:rsidRPr="005E3C22" w:rsidRDefault="004B04B3" w:rsidP="00F701C7">
      <w:pPr>
        <w:pStyle w:val="ImportantNote10"/>
        <w:rPr>
          <w:rFonts w:ascii="Palatino Linotype" w:hAnsi="Palatino Linotype"/>
        </w:rPr>
      </w:pPr>
      <w:r w:rsidRPr="005E3C22">
        <w:rPr>
          <w:rFonts w:ascii="Palatino Linotype" w:hAnsi="Palatino Linotype"/>
        </w:rPr>
        <w:t>There are several tradeoffs between a coherent cache and a memory cache, and choosing the right option for a system can create a significant differentiation.</w:t>
      </w:r>
    </w:p>
    <w:p w14:paraId="59896116" w14:textId="77777777" w:rsidR="004B04B3" w:rsidRPr="005E3C22" w:rsidRDefault="004B04B3" w:rsidP="00EE3D22">
      <w:pPr>
        <w:jc w:val="both"/>
        <w:rPr>
          <w:rFonts w:ascii="Palatino Linotype" w:hAnsi="Palatino Linotype"/>
        </w:rPr>
      </w:pPr>
      <w:r w:rsidRPr="005E3C22">
        <w:rPr>
          <w:rFonts w:ascii="Palatino Linotype" w:hAnsi="Palatino Linotype"/>
        </w:rPr>
        <w:t xml:space="preserve">The decision of a memory cache vs. a coherent cache is decided during construction of the Gemini system.  The </w:t>
      </w:r>
      <w:r w:rsidRPr="005E3C22">
        <w:rPr>
          <w:rFonts w:ascii="Palatino Linotype" w:hAnsi="Palatino Linotype"/>
          <w:i/>
        </w:rPr>
        <w:t>add_llc_group</w:t>
      </w:r>
      <w:r w:rsidRPr="005E3C22">
        <w:rPr>
          <w:rFonts w:ascii="Palatino Linotype" w:hAnsi="Palatino Linotype"/>
        </w:rPr>
        <w:t xml:space="preserve"> or </w:t>
      </w:r>
      <w:r w:rsidRPr="005E3C22">
        <w:rPr>
          <w:rFonts w:ascii="Palatino Linotype" w:hAnsi="Palatino Linotype"/>
          <w:i/>
        </w:rPr>
        <w:t>add_cache_group</w:t>
      </w:r>
      <w:r w:rsidRPr="005E3C22">
        <w:rPr>
          <w:rFonts w:ascii="Palatino Linotype" w:hAnsi="Palatino Linotype"/>
        </w:rPr>
        <w:t xml:space="preserve"> commands have a memory cache attribute that can be set.  If set, the cache will act as a memory cach</w:t>
      </w:r>
      <w:bookmarkStart w:id="39" w:name="_GoBack"/>
      <w:bookmarkEnd w:id="39"/>
      <w:r w:rsidRPr="005E3C22">
        <w:rPr>
          <w:rFonts w:ascii="Palatino Linotype" w:hAnsi="Palatino Linotype"/>
        </w:rPr>
        <w:t>e, and non-coherent traffic to that range will be sent to the LLC.  If the attribute is not set, the default will be coherent cache behavior, where only the CCC talks to the LLC.</w:t>
      </w:r>
    </w:p>
    <w:p w14:paraId="065E715F" w14:textId="77777777" w:rsidR="004B04B3" w:rsidRPr="005E3C22" w:rsidRDefault="004B04B3" w:rsidP="00B67533">
      <w:pPr>
        <w:pStyle w:val="Body13"/>
        <w:rPr>
          <w:rFonts w:ascii="Palatino Linotype" w:hAnsi="Palatino Linotype"/>
        </w:rPr>
        <w:sectPr w:rsidR="004B04B3" w:rsidRPr="005E3C22" w:rsidSect="00CC3D06">
          <w:headerReference w:type="even" r:id="rId26"/>
          <w:headerReference w:type="default" r:id="rId27"/>
          <w:footerReference w:type="even" r:id="rId28"/>
          <w:footerReference w:type="default" r:id="rId29"/>
          <w:headerReference w:type="first" r:id="rId30"/>
          <w:footerReference w:type="first" r:id="rId31"/>
          <w:pgSz w:w="12240" w:h="15840" w:code="1"/>
          <w:pgMar w:top="1440" w:right="1440" w:bottom="1440" w:left="1440" w:header="720" w:footer="432" w:gutter="0"/>
          <w:cols w:space="720"/>
          <w:noEndnote/>
          <w:docGrid w:linePitch="360"/>
        </w:sectPr>
      </w:pPr>
    </w:p>
    <w:p w14:paraId="2CBDD5CB" w14:textId="77777777" w:rsidR="0011273D" w:rsidRPr="00B67533" w:rsidRDefault="0011273D" w:rsidP="00B67533">
      <w:pPr>
        <w:pStyle w:val="Body"/>
        <w:rPr>
          <w:rFonts w:asciiTheme="majorHAnsi" w:hAnsiTheme="majorHAnsi"/>
        </w:rPr>
      </w:pPr>
    </w:p>
    <w:sectPr w:rsidR="0011273D" w:rsidRPr="00B67533" w:rsidSect="00CC3D06">
      <w:headerReference w:type="default" r:id="rId32"/>
      <w:footerReference w:type="default" r:id="rId33"/>
      <w:headerReference w:type="first" r:id="rId34"/>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13925" w14:textId="77777777" w:rsidR="0049540C" w:rsidRDefault="0049540C" w:rsidP="00DF32E5">
      <w:r>
        <w:separator/>
      </w:r>
    </w:p>
    <w:p w14:paraId="18CA3C3A" w14:textId="77777777" w:rsidR="0049540C" w:rsidRDefault="0049540C" w:rsidP="00DF32E5"/>
  </w:endnote>
  <w:endnote w:type="continuationSeparator" w:id="0">
    <w:p w14:paraId="283BB7E1" w14:textId="77777777" w:rsidR="0049540C" w:rsidRDefault="0049540C" w:rsidP="00DF32E5">
      <w:r>
        <w:continuationSeparator/>
      </w:r>
    </w:p>
    <w:p w14:paraId="1609EADD" w14:textId="77777777" w:rsidR="0049540C" w:rsidRDefault="0049540C"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D171B" w14:textId="77777777" w:rsidR="004B04B3" w:rsidRDefault="004B04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4E36F" w14:textId="77777777" w:rsidR="004B04B3" w:rsidRDefault="004B04B3" w:rsidP="00B6471F">
    <w:pPr>
      <w:pStyle w:val="FooterCentered16"/>
      <w:tabs>
        <w:tab w:val="left" w:pos="5730"/>
      </w:tabs>
      <w:spacing w:after="0"/>
      <w:jc w:val="left"/>
    </w:pPr>
    <w:r>
      <w:tab/>
    </w:r>
  </w:p>
  <w:p w14:paraId="10D6060C" w14:textId="0BB7AB8C" w:rsidR="004B04B3" w:rsidRDefault="004B04B3" w:rsidP="00DF32E5">
    <w:pPr>
      <w:pStyle w:val="FooterCentered16"/>
      <w:spacing w:after="0"/>
    </w:pPr>
    <w:r>
      <w:rPr>
        <w:noProof/>
      </w:rPr>
      <mc:AlternateContent>
        <mc:Choice Requires="wps">
          <w:drawing>
            <wp:anchor distT="4294967293" distB="4294967293" distL="114300" distR="114300" simplePos="0" relativeHeight="251658752" behindDoc="0" locked="0" layoutInCell="1" allowOverlap="1" wp14:anchorId="6FE1086B" wp14:editId="270CE623">
              <wp:simplePos x="0" y="0"/>
              <wp:positionH relativeFrom="column">
                <wp:posOffset>9525</wp:posOffset>
              </wp:positionH>
              <wp:positionV relativeFrom="paragraph">
                <wp:posOffset>-72391</wp:posOffset>
              </wp:positionV>
              <wp:extent cx="5962650" cy="0"/>
              <wp:effectExtent l="0" t="0" r="19050" b="19050"/>
              <wp:wrapNone/>
              <wp:docPr id="16"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FA9F6" id="Line 1100" o:spid="_x0000_s1026" style="position:absolute;z-index:2516628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" strokecolor="#adafb2"/>
          </w:pict>
        </mc:Fallback>
      </mc:AlternateContent>
    </w:r>
    <w:r w:rsidRPr="004B28E9">
      <w:t>Copyright © 201</w:t>
    </w:r>
    <w:r w:rsidR="003C5D51">
      <w:t>8</w:t>
    </w:r>
    <w:r w:rsidRPr="004B28E9">
      <w:t xml:space="preserve"> Net</w:t>
    </w:r>
    <w:r>
      <w:t>S</w:t>
    </w:r>
    <w:r w:rsidRPr="004B28E9">
      <w:t>peed Systems</w:t>
    </w:r>
  </w:p>
  <w:p w14:paraId="7DB2C369" w14:textId="07D9CBD8" w:rsidR="004B04B3" w:rsidRDefault="004B04B3" w:rsidP="00DF32E5">
    <w:pPr>
      <w:pStyle w:val="FooterCentered16"/>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3C5D51">
      <w:rPr>
        <w:rStyle w:val="PageNumber"/>
        <w:noProof/>
      </w:rPr>
      <w:t>6</w:t>
    </w:r>
    <w:r>
      <w:rPr>
        <w:rStyle w:val="PageNumber"/>
      </w:rPr>
      <w:fldChar w:fldCharType="end"/>
    </w:r>
  </w:p>
  <w:p w14:paraId="4DFF972B" w14:textId="77777777" w:rsidR="004B04B3" w:rsidRPr="00DF32E5" w:rsidRDefault="004B04B3" w:rsidP="00B6471F">
    <w:pPr>
      <w:pStyle w:val="Exar16"/>
      <w:tabs>
        <w:tab w:val="clear" w:pos="8640"/>
        <w:tab w:val="right" w:pos="9360"/>
      </w:tabs>
      <w:spacing w:after="0"/>
      <w:jc w:val="center"/>
    </w:pPr>
    <w: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168AE" w14:textId="77777777" w:rsidR="004B04B3" w:rsidRDefault="004B04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5E37" w14:textId="3ECA1637" w:rsidR="00B2657D" w:rsidRDefault="00B2657D" w:rsidP="00B6471F">
    <w:pPr>
      <w:pStyle w:val="FooterCentered"/>
      <w:tabs>
        <w:tab w:val="left" w:pos="5730"/>
      </w:tabs>
      <w:spacing w:after="0"/>
      <w:jc w:val="left"/>
    </w:pPr>
    <w:r>
      <w:tab/>
    </w:r>
  </w:p>
  <w:p w14:paraId="64CA7A20" w14:textId="4E52347E" w:rsidR="00B2657D" w:rsidRDefault="00B2657D" w:rsidP="00DF32E5">
    <w:pPr>
      <w:pStyle w:val="FooterCentered"/>
      <w:spacing w:after="0"/>
    </w:pPr>
    <w:r>
      <w:rPr>
        <w:noProof/>
      </w:rPr>
      <mc:AlternateContent>
        <mc:Choice Requires="wps">
          <w:drawing>
            <wp:anchor distT="4294967293" distB="4294967293" distL="114300" distR="114300" simplePos="0" relativeHeight="251656704" behindDoc="0" locked="0" layoutInCell="1" allowOverlap="1" wp14:anchorId="3B33C240" wp14:editId="5095D510">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C4EC3" id="Line 1100"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rsidR="003C5D51">
      <w:t>8</w:t>
    </w:r>
    <w:r w:rsidRPr="004B28E9">
      <w:t xml:space="preserve"> Net</w:t>
    </w:r>
    <w:r>
      <w:t>S</w:t>
    </w:r>
    <w:r w:rsidRPr="004B28E9">
      <w:t>peed Systems</w:t>
    </w:r>
  </w:p>
  <w:p w14:paraId="46BBFE5B" w14:textId="412BBB05" w:rsidR="00B2657D" w:rsidRDefault="00B2657D"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3C5D51">
      <w:rPr>
        <w:rStyle w:val="PageNumber"/>
        <w:noProof/>
      </w:rPr>
      <w:t>7</w:t>
    </w:r>
    <w:r>
      <w:rPr>
        <w:rStyle w:val="PageNumber"/>
      </w:rPr>
      <w:fldChar w:fldCharType="end"/>
    </w:r>
  </w:p>
  <w:p w14:paraId="373B1D9E" w14:textId="5529693B" w:rsidR="00B2657D" w:rsidRPr="00DF32E5" w:rsidRDefault="00B2657D" w:rsidP="00B6471F">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AD5F0" w14:textId="77777777" w:rsidR="0049540C" w:rsidRDefault="0049540C" w:rsidP="00DF32E5">
      <w:r>
        <w:separator/>
      </w:r>
    </w:p>
    <w:p w14:paraId="7B4E0FEE" w14:textId="77777777" w:rsidR="0049540C" w:rsidRDefault="0049540C" w:rsidP="00DF32E5"/>
  </w:footnote>
  <w:footnote w:type="continuationSeparator" w:id="0">
    <w:p w14:paraId="583BCB31" w14:textId="77777777" w:rsidR="0049540C" w:rsidRDefault="0049540C" w:rsidP="00DF32E5">
      <w:r>
        <w:continuationSeparator/>
      </w:r>
    </w:p>
    <w:p w14:paraId="08EF016D" w14:textId="77777777" w:rsidR="0049540C" w:rsidRDefault="0049540C"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EA5E6" w14:textId="77777777" w:rsidR="004B04B3" w:rsidRDefault="004B04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CC720" w14:textId="77777777" w:rsidR="004B04B3" w:rsidRDefault="0049540C" w:rsidP="00DF32E5">
    <w:pPr>
      <w:pStyle w:val="Header"/>
    </w:pPr>
    <w:sdt>
      <w:sdtPr>
        <w:id w:val="-6216290"/>
        <w:docPartObj>
          <w:docPartGallery w:val="Watermarks"/>
          <w:docPartUnique/>
        </w:docPartObj>
      </w:sdtPr>
      <w:sdtEndPr/>
      <w:sdtContent>
        <w:r>
          <w:pict w14:anchorId="702FFD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214" type="#_x0000_t136" style="position:absolute;margin-left:0;margin-top:0;width:527.85pt;height:131.95pt;rotation:315;z-index:-251656704;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4B04B3">
      <mc:AlternateContent>
        <mc:Choice Requires="wps">
          <w:drawing>
            <wp:anchor distT="4294967294" distB="4294967294" distL="114300" distR="114300" simplePos="0" relativeHeight="251657728" behindDoc="0" locked="0" layoutInCell="1" allowOverlap="1" wp14:anchorId="2E71D618" wp14:editId="602F314E">
              <wp:simplePos x="0" y="0"/>
              <wp:positionH relativeFrom="column">
                <wp:posOffset>-8890</wp:posOffset>
              </wp:positionH>
              <wp:positionV relativeFrom="paragraph">
                <wp:posOffset>517846</wp:posOffset>
              </wp:positionV>
              <wp:extent cx="5962650" cy="0"/>
              <wp:effectExtent l="0" t="0" r="19050" b="19050"/>
              <wp:wrapNone/>
              <wp:docPr id="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3A1FD" id="Line 1101" o:spid="_x0000_s1026" style="position:absolute;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e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" strokecolor="#adafb2"/>
          </w:pict>
        </mc:Fallback>
      </mc:AlternateContent>
    </w:r>
    <w:r w:rsidR="004B04B3">
      <w:drawing>
        <wp:inline distT="0" distB="0" distL="0" distR="0" wp14:anchorId="0D836E55" wp14:editId="062C6310">
          <wp:extent cx="20987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BCAEA" w14:textId="77777777" w:rsidR="004B04B3" w:rsidRDefault="004B04B3" w:rsidP="00DF32E5">
    <w:pPr>
      <w:pStyle w:val="Header"/>
    </w:pPr>
  </w:p>
  <w:p w14:paraId="2A647276" w14:textId="77777777" w:rsidR="004B04B3" w:rsidRDefault="004B04B3" w:rsidP="00DF32E5">
    <w:pPr>
      <w:pStyle w:val="Header"/>
    </w:pPr>
  </w:p>
  <w:p w14:paraId="6A87F194" w14:textId="77777777" w:rsidR="004B04B3" w:rsidRDefault="004B04B3" w:rsidP="00DF32E5">
    <w:pPr>
      <w:pStyle w:val="Header"/>
    </w:pPr>
  </w:p>
  <w:p w14:paraId="7C4BBD5D" w14:textId="77777777" w:rsidR="004B04B3" w:rsidRDefault="004B04B3" w:rsidP="00DF32E5">
    <w:pPr>
      <w:pStyle w:val="Header"/>
    </w:pPr>
  </w:p>
  <w:p w14:paraId="00AC89A2" w14:textId="77777777" w:rsidR="004B04B3" w:rsidRDefault="004B04B3" w:rsidP="00DF32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7C74935" w:rsidR="00B2657D" w:rsidRDefault="00B2657D" w:rsidP="00DF32E5">
    <w:pPr>
      <w:pStyle w:val="Header"/>
    </w:pPr>
    <w:r>
      <mc:AlternateContent>
        <mc:Choice Requires="wps">
          <w:drawing>
            <wp:anchor distT="4294967294" distB="4294967294" distL="114300" distR="114300" simplePos="0" relativeHeight="251655680" behindDoc="0" locked="0" layoutInCell="1" allowOverlap="1" wp14:anchorId="610FBB8F" wp14:editId="36C66855">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48648" id="Line 1101"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drawing>
        <wp:inline distT="0" distB="0" distL="0" distR="0" wp14:anchorId="00485DE0" wp14:editId="749D4610">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5"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27"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2"/>
  </w:num>
  <w:num w:numId="4">
    <w:abstractNumId w:val="11"/>
  </w:num>
  <w:num w:numId="5">
    <w:abstractNumId w:val="28"/>
  </w:num>
  <w:num w:numId="6">
    <w:abstractNumId w:val="31"/>
  </w:num>
  <w:num w:numId="7">
    <w:abstractNumId w:val="33"/>
  </w:num>
  <w:num w:numId="8">
    <w:abstractNumId w:val="37"/>
  </w:num>
  <w:num w:numId="9">
    <w:abstractNumId w:val="40"/>
  </w:num>
  <w:num w:numId="10">
    <w:abstractNumId w:val="24"/>
  </w:num>
  <w:num w:numId="11">
    <w:abstractNumId w:val="13"/>
  </w:num>
  <w:num w:numId="12">
    <w:abstractNumId w:val="35"/>
  </w:num>
  <w:num w:numId="13">
    <w:abstractNumId w:val="38"/>
  </w:num>
  <w:num w:numId="14">
    <w:abstractNumId w:val="25"/>
  </w:num>
  <w:num w:numId="15">
    <w:abstractNumId w:val="16"/>
  </w:num>
  <w:num w:numId="16">
    <w:abstractNumId w:val="15"/>
  </w:num>
  <w:num w:numId="17">
    <w:abstractNumId w:val="39"/>
  </w:num>
  <w:num w:numId="18">
    <w:abstractNumId w:val="22"/>
  </w:num>
  <w:num w:numId="19">
    <w:abstractNumId w:val="17"/>
  </w:num>
  <w:num w:numId="20">
    <w:abstractNumId w:val="21"/>
  </w:num>
  <w:num w:numId="21">
    <w:abstractNumId w:val="27"/>
  </w:num>
  <w:num w:numId="22">
    <w:abstractNumId w:val="12"/>
  </w:num>
  <w:num w:numId="23">
    <w:abstractNumId w:val="18"/>
  </w:num>
  <w:num w:numId="24">
    <w:abstractNumId w:val="20"/>
  </w:num>
  <w:num w:numId="25">
    <w:abstractNumId w:val="29"/>
  </w:num>
  <w:num w:numId="26">
    <w:abstractNumId w:val="23"/>
  </w:num>
  <w:num w:numId="27">
    <w:abstractNumId w:val="9"/>
  </w:num>
  <w:num w:numId="28">
    <w:abstractNumId w:val="34"/>
  </w:num>
  <w:num w:numId="29">
    <w:abstractNumId w:val="19"/>
  </w:num>
  <w:num w:numId="30">
    <w:abstractNumId w:val="26"/>
  </w:num>
  <w:num w:numId="31">
    <w:abstractNumId w:val="36"/>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0"/>
  </w:num>
  <w:num w:numId="42">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activeWritingStyle w:appName="MSWord" w:lang="en-US" w:vendorID="64" w:dllVersion="5" w:nlCheck="1" w:checkStyle="1"/>
  <w:activeWritingStyle w:appName="MSWord" w:lang="en-US" w:vendorID="64" w:dllVersion="6" w:nlCheck="1" w:checkStyle="0"/>
  <w:activeWritingStyle w:appName="MSWord" w:lang="en-IN"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215">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743"/>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0DFE"/>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9F9"/>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3D7"/>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45C"/>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9DF"/>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1AD"/>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5D51"/>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2C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3652"/>
    <w:rsid w:val="00494164"/>
    <w:rsid w:val="00494AA2"/>
    <w:rsid w:val="00494CFB"/>
    <w:rsid w:val="00494FF0"/>
    <w:rsid w:val="0049540C"/>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4B3"/>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C67"/>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36C"/>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4FD0"/>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456"/>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AFA"/>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A3B"/>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104"/>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148"/>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DA4"/>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6CB2"/>
    <w:rsid w:val="008678BB"/>
    <w:rsid w:val="00867E7A"/>
    <w:rsid w:val="0087011E"/>
    <w:rsid w:val="00870298"/>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F6F"/>
    <w:rsid w:val="0087522B"/>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660"/>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3ED3"/>
    <w:rsid w:val="0092400F"/>
    <w:rsid w:val="00924AA8"/>
    <w:rsid w:val="00924AC4"/>
    <w:rsid w:val="00924B03"/>
    <w:rsid w:val="00924BA5"/>
    <w:rsid w:val="00925158"/>
    <w:rsid w:val="00925165"/>
    <w:rsid w:val="0092519C"/>
    <w:rsid w:val="009258CA"/>
    <w:rsid w:val="00925B21"/>
    <w:rsid w:val="00925E94"/>
    <w:rsid w:val="00926CFB"/>
    <w:rsid w:val="0092743E"/>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0BF"/>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415A"/>
    <w:rsid w:val="0096435D"/>
    <w:rsid w:val="00964494"/>
    <w:rsid w:val="00964632"/>
    <w:rsid w:val="00964D0C"/>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964"/>
    <w:rsid w:val="00987D2E"/>
    <w:rsid w:val="00987DF2"/>
    <w:rsid w:val="0099002B"/>
    <w:rsid w:val="00990110"/>
    <w:rsid w:val="00990829"/>
    <w:rsid w:val="009909B9"/>
    <w:rsid w:val="00990B53"/>
    <w:rsid w:val="00990CEC"/>
    <w:rsid w:val="009914D9"/>
    <w:rsid w:val="009916A9"/>
    <w:rsid w:val="00991B73"/>
    <w:rsid w:val="00992105"/>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4F10"/>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7DD"/>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6"/>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5A0"/>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197"/>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0A50"/>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A6F"/>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00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747"/>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96B"/>
    <w:rsid w:val="00C12B5B"/>
    <w:rsid w:val="00C12FBB"/>
    <w:rsid w:val="00C130A5"/>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08B8"/>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3FA6"/>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624"/>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A9B"/>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6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8D6"/>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2E82"/>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5E2"/>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C2E"/>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2A05"/>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CF8"/>
    <w:rsid w:val="00EE3D22"/>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EF7D4F"/>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3215">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
    <w:name w:val="Body13"/>
    <w:qFormat/>
    <w:rsid w:val="004032C6"/>
    <w:pPr>
      <w:tabs>
        <w:tab w:val="left" w:pos="2700"/>
      </w:tabs>
      <w:jc w:val="both"/>
    </w:pPr>
    <w:rPr>
      <w:szCs w:val="24"/>
    </w:rPr>
  </w:style>
  <w:style w:type="paragraph" w:customStyle="1" w:styleId="FooterCentered16">
    <w:name w:val="FooterCentered16"/>
    <w:basedOn w:val="Footer"/>
    <w:rsid w:val="004032C6"/>
    <w:pPr>
      <w:jc w:val="center"/>
    </w:pPr>
  </w:style>
  <w:style w:type="paragraph" w:customStyle="1" w:styleId="Exar16">
    <w:name w:val="Exar16"/>
    <w:basedOn w:val="Footer"/>
    <w:rsid w:val="004032C6"/>
    <w:pPr>
      <w:tabs>
        <w:tab w:val="clear" w:pos="9360"/>
        <w:tab w:val="left" w:pos="720"/>
        <w:tab w:val="right" w:pos="8640"/>
      </w:tabs>
    </w:pPr>
    <w:rPr>
      <w:b/>
      <w:color w:val="2F4D87"/>
    </w:rPr>
  </w:style>
  <w:style w:type="paragraph" w:customStyle="1" w:styleId="ImportantNote10">
    <w:name w:val="Important Note10"/>
    <w:basedOn w:val="Normal"/>
    <w:next w:val="Body"/>
    <w:qFormat/>
    <w:rsid w:val="004032C6"/>
    <w:pPr>
      <w:pBdr>
        <w:top w:val="single" w:sz="2" w:space="4" w:color="4F81BD" w:themeColor="accent1"/>
        <w:bottom w:val="single" w:sz="2" w:space="4" w:color="4F81BD" w:themeColor="accent1"/>
      </w:pBdr>
      <w:jc w:val="both"/>
    </w:pPr>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663333333.vsd"/><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Microsoft_Visio_2003-2010_Drawing10107777777.vsd"/><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Drawing885555555.vsd"/><Relationship Id="rId25" Type="http://schemas.openxmlformats.org/officeDocument/2006/relationships/oleObject" Target="embeddings/Microsoft_Visio_2003-2010_Drawing12129999999.vsd"/><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552222222.vsd"/><Relationship Id="rId24" Type="http://schemas.openxmlformats.org/officeDocument/2006/relationships/image" Target="media/image9.emf"/><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oleObject" Target="embeddings/Microsoft_Visio_2003-2010_Drawing774444444.vsd"/><Relationship Id="rId23" Type="http://schemas.openxmlformats.org/officeDocument/2006/relationships/oleObject" Target="embeddings/Microsoft_Visio_2003-2010_Drawing11118888888.vsd"/><Relationship Id="rId28" Type="http://schemas.openxmlformats.org/officeDocument/2006/relationships/footer" Target="footer1.xml"/><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Microsoft_Visio_2003-2010_Drawing996666666.vsd"/><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Microsoft_Visio_2003-2010_Drawing441111111.vsd"/><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A67AA-9F33-4D88-A681-78744DFCC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9</TotalTime>
  <Pages>7</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6019</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Sai Yashwanth Kasarabada</cp:lastModifiedBy>
  <cp:revision>12</cp:revision>
  <cp:lastPrinted>2015-09-28T03:56:00Z</cp:lastPrinted>
  <dcterms:created xsi:type="dcterms:W3CDTF">2016-04-20T05:09:00Z</dcterms:created>
  <dcterms:modified xsi:type="dcterms:W3CDTF">2018-08-09T17:05:00Z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