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spacing w:after="40" w:before="0"/>
        <w:jc w:val="center"/>
      </w:pPr>
      <w:r>
        <w:rPr>
          <w:b/>
          <w:sz w:val="32"/>
        </w:rPr>
        <w:t>Heather Leffew, PhD</w:t>
      </w:r>
    </w:p>
    <w:p>
      <w:pPr>
        <w:keepLines/>
        <w:spacing w:after="40" w:before="0"/>
        <w:jc w:val="center"/>
      </w:pPr>
      <w:r>
        <w:rPr>
          <w:b w:val="0"/>
        </w:rPr>
        <w:t>Behavioral Scientist | Psychological Text Analysis | Experimentation and Research Leadership</w:t>
      </w:r>
    </w:p>
    <w:p>
      <w:pPr>
        <w:keepLines/>
        <w:spacing w:after="40" w:before="0"/>
        <w:jc w:val="center"/>
      </w:pPr>
      <w:r>
        <w:rPr>
          <w:b w:val="0"/>
        </w:rPr>
        <w:t>Applying the science of human behavior to language, decisions, and measurable business results.</w:t>
      </w:r>
    </w:p>
    <w:p>
      <w:pPr>
        <w:keepLines/>
        <w:spacing w:after="80" w:before="0"/>
        <w:jc w:val="center"/>
      </w:pPr>
      <w:r>
        <w:rPr>
          <w:b w:val="0"/>
        </w:rPr>
        <w:t>htmleffew@gmail.com | DrHeatherLeffew.com | linkedin.com/in/heathertleffew</w:t>
      </w:r>
    </w:p>
    <w:p>
      <w:pPr>
        <w:keepNext/>
        <w:keepLines/>
        <w:spacing w:after="60" w:before="160"/>
        <w:pBdr>
          <w:bottom w:val="single" w:sz="6" w:space="1" w:color="000000"/>
        </w:pBdr>
      </w:pPr>
      <w:r>
        <w:rPr>
          <w:b/>
          <w:sz w:val="22"/>
        </w:rPr>
        <w:t>SUMMARY</w:t>
      </w:r>
    </w:p>
    <w:p>
      <w:pPr>
        <w:keepLines/>
        <w:spacing w:after="60" w:before="0"/>
      </w:pPr>
      <w:r>
        <w:rPr>
          <w:b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keepNext/>
        <w:keepLines/>
        <w:spacing w:after="60" w:before="160"/>
        <w:pBdr>
          <w:bottom w:val="single" w:sz="6" w:space="1" w:color="000000"/>
        </w:pBdr>
      </w:pPr>
      <w:r>
        <w:rPr>
          <w:b/>
          <w:sz w:val="22"/>
        </w:rPr>
        <w:t>EMPLOYMENT HISTORY</w:t>
      </w:r>
    </w:p>
    <w:p>
      <w:pPr>
        <w:keepNext/>
        <w:keepLines/>
        <w:spacing w:after="40" w:before="120"/>
      </w:pPr>
      <w:r>
        <w:rPr>
          <w:b/>
        </w:rPr>
        <w:t>Director of Data Science | Spokeo | Sep 2025 to Present</w:t>
      </w:r>
    </w:p>
    <w:p>
      <w:pPr>
        <w:keepLines/>
        <w:spacing w:after="60" w:before="0"/>
      </w:pPr>
      <w:r>
        <w:rPr>
          <w:b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keepLines/>
        <w:tabs>
          <w:tab w:pos="288" w:val="left"/>
        </w:tabs>
        <w:spacing w:after="60" w:before="0"/>
        <w:ind w:left="288" w:hanging="288"/>
      </w:pPr>
      <w:r>
        <w:t>•</w:t>
        <w:tab/>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keepLines/>
        <w:tabs>
          <w:tab w:pos="288" w:val="left"/>
        </w:tabs>
        <w:spacing w:after="60" w:before="0"/>
        <w:ind w:left="288" w:hanging="288"/>
      </w:pPr>
      <w:r>
        <w:t>•</w:t>
        <w:tab/>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keepLines/>
        <w:tabs>
          <w:tab w:pos="288" w:val="left"/>
        </w:tabs>
        <w:spacing w:after="60" w:before="0"/>
        <w:ind w:left="288" w:hanging="288"/>
      </w:pPr>
      <w:r>
        <w:t>•</w:t>
        <w:tab/>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keepLines/>
        <w:tabs>
          <w:tab w:pos="288" w:val="left"/>
        </w:tabs>
        <w:spacing w:after="60" w:before="0"/>
        <w:ind w:left="288" w:hanging="288"/>
      </w:pPr>
      <w:r>
        <w:t>•</w:t>
        <w:tab/>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keepLines/>
        <w:tabs>
          <w:tab w:pos="288" w:val="left"/>
        </w:tabs>
        <w:spacing w:after="60" w:before="0"/>
        <w:ind w:left="288" w:hanging="288"/>
      </w:pPr>
      <w:r>
        <w:t>•</w:t>
        <w:tab/>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keepLines/>
        <w:tabs>
          <w:tab w:pos="288" w:val="left"/>
        </w:tabs>
        <w:spacing w:after="60" w:before="0"/>
        <w:ind w:left="288" w:hanging="288"/>
      </w:pPr>
      <w:r>
        <w:t>•</w:t>
        <w:tab/>
        <w:t>Built a company-wide quality signal from the language of 45,983 customer care tickets, hand-coding 1,423 into a 14-class scheme (kappa 0.740), and used monthly alerting to catch a deceased-record wave and a repeat-billing incident within days.</w:t>
      </w:r>
    </w:p>
    <w:p>
      <w:pPr>
        <w:keepLines/>
        <w:tabs>
          <w:tab w:pos="288" w:val="left"/>
        </w:tabs>
        <w:spacing w:after="60" w:before="0"/>
        <w:ind w:left="288" w:hanging="288"/>
      </w:pPr>
      <w:r>
        <w:t>•</w:t>
        <w:tab/>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keepNext/>
        <w:keepLines/>
        <w:spacing w:after="40" w:before="120"/>
      </w:pPr>
      <w:r>
        <w:rPr>
          <w:b/>
        </w:rPr>
        <w:t>Principal Data Scientist &amp; Applied Researcher | TikTok USDS, ByteDance | Jul 2022 to Jul 2025</w:t>
      </w:r>
    </w:p>
    <w:p>
      <w:pPr>
        <w:keepLines/>
        <w:spacing w:after="60" w:before="0"/>
      </w:pPr>
      <w:r>
        <w:rPr>
          <w:b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keepLines/>
        <w:tabs>
          <w:tab w:pos="288" w:val="left"/>
        </w:tabs>
        <w:spacing w:after="60" w:before="0"/>
        <w:ind w:left="288" w:hanging="288"/>
      </w:pPr>
      <w:r>
        <w:t>•</w:t>
        <w:tab/>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keepLines/>
        <w:tabs>
          <w:tab w:pos="288" w:val="left"/>
        </w:tabs>
        <w:spacing w:after="60" w:before="0"/>
        <w:ind w:left="288" w:hanging="288"/>
      </w:pPr>
      <w:r>
        <w:t>•</w:t>
        <w:tab/>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keepLines/>
        <w:tabs>
          <w:tab w:pos="288" w:val="left"/>
        </w:tabs>
        <w:spacing w:after="60" w:before="0"/>
        <w:ind w:left="288" w:hanging="288"/>
      </w:pPr>
      <w:r>
        <w:t>•</w:t>
        <w:tab/>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keepLines/>
        <w:tabs>
          <w:tab w:pos="288" w:val="left"/>
        </w:tabs>
        <w:spacing w:after="60" w:before="0"/>
        <w:ind w:left="288" w:hanging="288"/>
      </w:pPr>
      <w:r>
        <w:t>•</w:t>
        <w:tab/>
        <w:t>Cleared ~23,000 accounts for immediate ban and identified 142,288 more as eligible in minor-safety enforcement, with appeal rates unchanged; built detection across 1B+ records at 95% accuracy and reduced manual moderation review by 40%.</w:t>
      </w:r>
    </w:p>
    <w:p>
      <w:pPr>
        <w:keepLines/>
        <w:tabs>
          <w:tab w:pos="288" w:val="left"/>
        </w:tabs>
        <w:spacing w:after="60" w:before="0"/>
        <w:ind w:left="288" w:hanging="288"/>
      </w:pPr>
      <w:r>
        <w:t>•</w:t>
        <w:tab/>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keepLines/>
        <w:tabs>
          <w:tab w:pos="288" w:val="left"/>
        </w:tabs>
        <w:spacing w:after="60" w:before="0"/>
        <w:ind w:left="288" w:hanging="288"/>
      </w:pPr>
      <w:r>
        <w:t>•</w:t>
        <w:tab/>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keepLines/>
        <w:tabs>
          <w:tab w:pos="288" w:val="left"/>
        </w:tabs>
        <w:spacing w:after="60" w:before="0"/>
        <w:ind w:left="288" w:hanging="288"/>
      </w:pPr>
      <w:r>
        <w:t>•</w:t>
        <w:tab/>
        <w:t>Built consensus across five teams on election-integrity measurement and contributed analysis to a 60% reduction in viral election misinformation compared with the 2020 cycle.</w:t>
      </w:r>
    </w:p>
    <w:p>
      <w:pPr>
        <w:keepLines/>
        <w:tabs>
          <w:tab w:pos="288" w:val="left"/>
        </w:tabs>
        <w:spacing w:after="60" w:before="0"/>
        <w:ind w:left="288" w:hanging="288"/>
      </w:pPr>
      <w:r>
        <w:t>•</w:t>
        <w:tab/>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keepLines/>
        <w:tabs>
          <w:tab w:pos="288" w:val="left"/>
        </w:tabs>
        <w:spacing w:after="60" w:before="0"/>
        <w:ind w:left="288" w:hanging="288"/>
      </w:pPr>
      <w:r>
        <w:t>•</w:t>
        <w:tab/>
        <w:t>Partnered with Global Research to build wellbeing measurement for staff exposed to traumatic content, unifying survey instruments into one factor structure tracked by person, region, and role.</w:t>
      </w:r>
    </w:p>
    <w:p>
      <w:pPr>
        <w:keepNext/>
        <w:keepLines/>
        <w:spacing w:after="40" w:before="120"/>
      </w:pPr>
      <w:r>
        <w:rPr>
          <w:b/>
        </w:rPr>
        <w:t>Head of Accreditation | National Emergency Responder and Public Safety Center | Nov 2020 to Jul 2022</w:t>
      </w:r>
    </w:p>
    <w:p>
      <w:pPr>
        <w:keepLines/>
        <w:spacing w:after="60" w:before="0"/>
      </w:pPr>
      <w:r>
        <w:rPr>
          <w:b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keepLines/>
        <w:tabs>
          <w:tab w:pos="288" w:val="left"/>
        </w:tabs>
        <w:spacing w:after="60" w:before="0"/>
        <w:ind w:left="288" w:hanging="288"/>
      </w:pPr>
      <w:r>
        <w:t>•</w:t>
        <w:tab/>
        <w:t>Built standards-aligned assessment and review frameworks for emergency responder training, certification, renewal, and site-visit processes, scaling from regional to national accreditation coverage.</w:t>
      </w:r>
    </w:p>
    <w:p>
      <w:pPr>
        <w:keepLines/>
        <w:tabs>
          <w:tab w:pos="288" w:val="left"/>
        </w:tabs>
        <w:spacing w:after="60" w:before="0"/>
        <w:ind w:left="288" w:hanging="288"/>
      </w:pPr>
      <w:r>
        <w:t>•</w:t>
        <w:tab/>
        <w:t>Authored winning RFPs translating agency requirements into practical product and evaluation scope; presented risk analyses and accreditation findings to government officials and oversight bodies.</w:t>
      </w:r>
    </w:p>
    <w:p>
      <w:pPr>
        <w:keepLines/>
        <w:tabs>
          <w:tab w:pos="288" w:val="left"/>
        </w:tabs>
        <w:spacing w:after="60" w:before="0"/>
        <w:ind w:left="288" w:hanging="288"/>
      </w:pPr>
      <w:r>
        <w:t>•</w:t>
        <w:tab/>
        <w:t>Authored and scaled critical-incident and threat-assessment curricula across the national certification program.</w:t>
      </w:r>
    </w:p>
    <w:p>
      <w:pPr>
        <w:keepNext/>
        <w:keepLines/>
        <w:spacing w:after="40" w:before="120"/>
      </w:pPr>
      <w:r>
        <w:rPr>
          <w:b/>
        </w:rPr>
        <w:t>Director of Evaluations and Analytics | Brower Psychological Police and Public Safety | Jun 2019 to Jul 2022</w:t>
      </w:r>
    </w:p>
    <w:p>
      <w:pPr>
        <w:keepLines/>
        <w:spacing w:after="60" w:before="0"/>
      </w:pPr>
      <w:r>
        <w:rPr>
          <w:b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keepLines/>
        <w:tabs>
          <w:tab w:pos="288" w:val="left"/>
        </w:tabs>
        <w:spacing w:after="60" w:before="0"/>
        <w:ind w:left="288" w:hanging="288"/>
      </w:pPr>
      <w:r>
        <w:t>•</w:t>
        <w:tab/>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keepLines/>
        <w:tabs>
          <w:tab w:pos="288" w:val="left"/>
        </w:tabs>
        <w:spacing w:after="60" w:before="0"/>
        <w:ind w:left="288" w:hanging="288"/>
      </w:pPr>
      <w:r>
        <w:t>•</w:t>
        <w:tab/>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keepLines/>
        <w:tabs>
          <w:tab w:pos="288" w:val="left"/>
        </w:tabs>
        <w:spacing w:after="60" w:before="0"/>
        <w:ind w:left="288" w:hanging="288"/>
      </w:pPr>
      <w:r>
        <w:t>•</w:t>
        <w:tab/>
        <w:t>Launched an analytics product adopted by 100% of agencies processing 100+ candidates a year, and delivered threat assessment, critical-incident response, and training to public-safety agencies.</w:t>
      </w:r>
    </w:p>
    <w:p>
      <w:pPr>
        <w:keepNext/>
        <w:keepLines/>
        <w:spacing w:after="40" w:before="120"/>
      </w:pPr>
      <w:r>
        <w:rPr>
          <w:b/>
        </w:rPr>
        <w:t>Consulting Staff Data Scientist | QMS Infotech, Inc. | Mar 2008 to Oct 2019</w:t>
      </w:r>
    </w:p>
    <w:p>
      <w:pPr>
        <w:keepLines/>
        <w:spacing w:after="60" w:before="0"/>
      </w:pPr>
      <w:r>
        <w:rPr>
          <w:b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keepLines/>
        <w:tabs>
          <w:tab w:pos="288" w:val="left"/>
        </w:tabs>
        <w:spacing w:after="60" w:before="0"/>
        <w:ind w:left="288" w:hanging="288"/>
      </w:pPr>
      <w:r>
        <w:t>•</w:t>
        <w:tab/>
        <w:t>Set the psychometric and statistical standards clients adopted for talent-assessment audits (construct validity, fairness measurement, defensible decision criteria), and led bias-mitigation policy changes for enterprise HR partners, achieving full FCRA compliance.</w:t>
      </w:r>
    </w:p>
    <w:p>
      <w:pPr>
        <w:keepLines/>
        <w:tabs>
          <w:tab w:pos="288" w:val="left"/>
        </w:tabs>
        <w:spacing w:after="60" w:before="0"/>
        <w:ind w:left="288" w:hanging="288"/>
      </w:pPr>
      <w:r>
        <w:t>•</w:t>
        <w:tab/>
        <w:t>Led a multi-agency adverse-impact audit of 1,001 pre-employment psychological evaluations for a police department's consent-decree review; certified three years as bias-free and traced a 2021 deviation to a likely recruiting change.</w:t>
      </w:r>
    </w:p>
    <w:p>
      <w:pPr>
        <w:keepLines/>
        <w:tabs>
          <w:tab w:pos="288" w:val="left"/>
        </w:tabs>
        <w:spacing w:after="60" w:before="0"/>
        <w:ind w:left="288" w:hanging="288"/>
      </w:pPr>
      <w:r>
        <w:t>•</w:t>
        <w:tab/>
        <w:t>Turned audit findings into repeatable governance and remediation workflows that client leadership used to change selection practices across their organizations.</w:t>
      </w:r>
    </w:p>
    <w:p>
      <w:pPr>
        <w:keepNext/>
        <w:keepLines/>
        <w:spacing w:after="40" w:before="120"/>
      </w:pPr>
      <w:r>
        <w:rPr>
          <w:b/>
        </w:rPr>
        <w:t>Practicum, Doctoral &amp; Post-Doctoral Positions | Fielding Graduate University | May 2015 to Jul 2019</w:t>
      </w:r>
    </w:p>
    <w:p>
      <w:pPr>
        <w:keepLines/>
        <w:spacing w:after="60" w:before="0"/>
      </w:pPr>
      <w:r>
        <w:rPr>
          <w:b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keepLines/>
        <w:tabs>
          <w:tab w:pos="288" w:val="left"/>
        </w:tabs>
        <w:spacing w:after="60" w:before="0"/>
        <w:ind w:left="288" w:hanging="288"/>
      </w:pPr>
      <w:r>
        <w:t>•</w:t>
        <w:tab/>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keepLines/>
        <w:tabs>
          <w:tab w:pos="288" w:val="left"/>
        </w:tabs>
        <w:spacing w:after="60" w:before="0"/>
        <w:ind w:left="288" w:hanging="288"/>
      </w:pPr>
      <w:r>
        <w:t>•</w:t>
        <w:tab/>
        <w:t>Supported crisis intervention and fitness-for-duty evaluation for public-safety agencies in high-consequence operational settings.</w:t>
      </w:r>
    </w:p>
    <w:p>
      <w:pPr>
        <w:keepLines/>
        <w:tabs>
          <w:tab w:pos="288" w:val="left"/>
        </w:tabs>
        <w:spacing w:after="60" w:before="0"/>
        <w:ind w:left="288" w:hanging="288"/>
      </w:pPr>
      <w:r>
        <w:t>•</w:t>
        <w:tab/>
        <w:t>Led data preparation and analysis for the Hawkins TAT Project, scoring 69 participants' narratives on about 60 LIWC variables at card, person, and corpus level, and used MANOVA to show distinct emotional and social themes across TAT cards (largest effect ηp² = .53).</w:t>
      </w:r>
    </w:p>
    <w:p>
      <w:pPr>
        <w:keepNext/>
        <w:keepLines/>
        <w:spacing w:after="40" w:before="120"/>
      </w:pPr>
      <w:r>
        <w:rPr>
          <w:b/>
        </w:rPr>
        <w:t>Additional Professional Experience | Mar 2002 to Aug 2015</w:t>
      </w:r>
    </w:p>
    <w:p>
      <w:pPr>
        <w:keepLines/>
        <w:tabs>
          <w:tab w:pos="288" w:val="left"/>
        </w:tabs>
        <w:spacing w:after="60" w:before="0"/>
        <w:ind w:left="288" w:hanging="288"/>
      </w:pPr>
      <w:r>
        <w:t>•</w:t>
        <w:tab/>
        <w:t>Benefits Analyst, Florida Department of Children and Families. Conducted eligibility determinations for state and federal assistance through applicant interviews, policy interpretation, and fraud identification.</w:t>
      </w:r>
    </w:p>
    <w:p>
      <w:pPr>
        <w:keepLines/>
        <w:tabs>
          <w:tab w:pos="288" w:val="left"/>
        </w:tabs>
        <w:spacing w:after="60" w:before="0"/>
        <w:ind w:left="288" w:hanging="288"/>
      </w:pPr>
      <w:r>
        <w:t>•</w:t>
        <w:tab/>
        <w:t>Professional Compliance, Broward Sheriff's Office. Combined emergency communications with audit, compliance, and risk management; led digital transformation of audit systems.</w:t>
      </w:r>
    </w:p>
    <w:p>
      <w:pPr>
        <w:keepLines/>
        <w:tabs>
          <w:tab w:pos="288" w:val="left"/>
        </w:tabs>
        <w:spacing w:after="60" w:before="0"/>
        <w:ind w:left="288" w:hanging="288"/>
      </w:pPr>
      <w:r>
        <w:t>•</w:t>
        <w:tab/>
        <w:t>Neurotherapist, Unity Recovery Services. Managed neurotherapy delivery for a substance-use recovery program and built intake-to-discharge symptom tracking.</w:t>
      </w:r>
    </w:p>
    <w:p>
      <w:pPr>
        <w:keepLines/>
        <w:tabs>
          <w:tab w:pos="288" w:val="left"/>
        </w:tabs>
        <w:spacing w:after="60" w:before="0"/>
        <w:ind w:left="288" w:hanging="288"/>
      </w:pPr>
      <w:r>
        <w:t>•</w:t>
        <w:tab/>
        <w:t>Consultant, Hope for Families. Strengthened certification, accreditation, audit readiness, and regulatory compliance for private-adoption operations.</w:t>
      </w:r>
    </w:p>
    <w:p>
      <w:pPr>
        <w:keepNext/>
        <w:keepLines/>
        <w:spacing w:after="60" w:before="160"/>
        <w:pBdr>
          <w:bottom w:val="single" w:sz="6" w:space="1" w:color="000000"/>
        </w:pBdr>
      </w:pPr>
      <w:r>
        <w:rPr>
          <w:b/>
          <w:sz w:val="22"/>
        </w:rPr>
        <w:t>EDUCATION</w:t>
      </w:r>
    </w:p>
    <w:p>
      <w:pPr>
        <w:keepLines/>
        <w:spacing w:after="40" w:before="0"/>
      </w:pPr>
      <w:r>
        <w:rPr>
          <w:b w:val="0"/>
        </w:rPr>
        <w:t>Doctor of Philosophy (PhD), Psychology, Quantitative Predictive Linguistics | Fielding Graduate University (APA Accredited)</w:t>
      </w:r>
    </w:p>
    <w:p>
      <w:pPr>
        <w:keepLines/>
        <w:spacing w:after="40" w:before="0"/>
      </w:pPr>
      <w:r>
        <w:rPr>
          <w:b w:val="0"/>
        </w:rPr>
        <w:t>Master of Arts (MA), Psychology, Advanced Psychometrics | Fielding Graduate University (WSCUC Accredited), GPA 4.14</w:t>
      </w:r>
    </w:p>
    <w:p>
      <w:pPr>
        <w:keepLines/>
        <w:spacing w:after="40" w:before="0"/>
      </w:pPr>
      <w:r>
        <w:rPr>
          <w:b w:val="0"/>
        </w:rPr>
        <w:t>Bachelor of Science (BS), Psychology, Emergency Management &amp; Public Safety | Liberty University (SACSCOC Accredited), Summa Cum Laude, GPA 4.00</w:t>
      </w:r>
    </w:p>
    <w:p>
      <w:pPr>
        <w:keepNext/>
        <w:keepLines/>
        <w:spacing w:after="60" w:before="160"/>
        <w:pBdr>
          <w:bottom w:val="single" w:sz="6" w:space="1" w:color="000000"/>
        </w:pBdr>
      </w:pPr>
      <w:r>
        <w:rPr>
          <w:b/>
          <w:sz w:val="22"/>
        </w:rPr>
        <w:t>SELECTED RESEARCH</w:t>
      </w:r>
    </w:p>
    <w:p>
      <w:pPr>
        <w:keepLines/>
        <w:tabs>
          <w:tab w:pos="288" w:val="left"/>
        </w:tabs>
        <w:spacing w:after="60" w:before="0"/>
        <w:ind w:left="288" w:hanging="288"/>
      </w:pPr>
      <w:r>
        <w:t>•</w:t>
        <w:tab/>
        <w:t>Instrumental and Affective Mass Murder: Establishing a Predictive Typology (dissertation).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keepLines/>
        <w:tabs>
          <w:tab w:pos="288" w:val="left"/>
        </w:tabs>
        <w:spacing w:after="60" w:before="0"/>
        <w:ind w:left="288" w:hanging="288"/>
      </w:pPr>
      <w:r>
        <w:t>•</w:t>
        <w:tab/>
        <w:t>LIWC and the TAT. Led the LIWC analysis of 677 Thematic Apperception Test narratives from 69 participants and showed that each card elicits its expected themes; Card 8BM stories carried 3.18 times the corpus rate of death language.</w:t>
      </w:r>
    </w:p>
    <w:p>
      <w:pPr>
        <w:keepLines/>
        <w:tabs>
          <w:tab w:pos="288" w:val="left"/>
        </w:tabs>
        <w:spacing w:after="60" w:before="0"/>
        <w:ind w:left="288" w:hanging="288"/>
      </w:pPr>
      <w:r>
        <w:t>•</w:t>
        <w:tab/>
        <w:t>Implicit Power Drives in the Manifestos Preceding Autogenic Massacres. Found LIWC power scores in 23 manifestos above published norms for blogs, expressive writing, and a multi-source composite (t(22) = 3.47, 3.66, and 2.43), and used the results to select the dissertation's variables.</w:t>
      </w:r>
    </w:p>
    <w:p>
      <w:pPr>
        <w:keepLines/>
        <w:tabs>
          <w:tab w:pos="288" w:val="left"/>
        </w:tabs>
        <w:spacing w:after="60" w:before="0"/>
        <w:ind w:left="288" w:hanging="288"/>
      </w:pPr>
      <w:r>
        <w:t>•</w:t>
        <w:tab/>
        <w:t>Complaint Text as an Early-Warning Instrument. Built a reproducible tutorial on turning complaint language into a monitored early-warning signal, with a written codebook, two-coder reliability, a classifier, a blind validation draw, and an alert backtest, and extended it to attorney representation in claims.</w:t>
      </w:r>
    </w:p>
    <w:p>
      <w:pPr>
        <w:keepLines/>
        <w:tabs>
          <w:tab w:pos="288" w:val="left"/>
        </w:tabs>
        <w:spacing w:after="60" w:before="0"/>
        <w:ind w:left="288" w:hanging="288"/>
      </w:pPr>
      <w:r>
        <w:t>•</w:t>
        <w:tab/>
        <w:t>The Helper's Language as an Early Indicator. Built a two-speaker, LIWC-style measure of service conversations that predicts attorney representation from the first contact, corrects for conversation length, and sizes a team-randomized coaching experiment.</w:t>
      </w:r>
    </w:p>
    <w:p>
      <w:pPr>
        <w:keepLines/>
        <w:tabs>
          <w:tab w:pos="288" w:val="left"/>
        </w:tabs>
        <w:spacing w:after="60" w:before="0"/>
        <w:ind w:left="288" w:hanging="288"/>
      </w:pPr>
      <w:r>
        <w:t>•</w:t>
        <w:tab/>
        <w:t>UX Principles and Livestreamed Violence. Analyzed eight livestreamed attacks and platform reporting design against Hick's Law, Jakob's Law, and the von Restorff effect, and designed an A/B test of a simpler claim-reporting menu.</w:t>
      </w:r>
    </w:p>
    <w:p>
      <w:pPr>
        <w:keepLines/>
        <w:tabs>
          <w:tab w:pos="288" w:val="left"/>
        </w:tabs>
        <w:spacing w:after="60" w:before="0"/>
        <w:ind w:left="288" w:hanging="288"/>
      </w:pPr>
      <w:r>
        <w:t>•</w:t>
        <w:tab/>
        <w:t>The AI Productivity J-Curve on the Front Line. Built an illustrative simulator of the productivity dip when claim teams adopt an AI tool, and designed a stepped-wedge office rollout that measures cycle time and rework.</w:t>
      </w:r>
    </w:p>
    <w:p>
      <w:pPr>
        <w:keepLines/>
        <w:tabs>
          <w:tab w:pos="288" w:val="left"/>
        </w:tabs>
        <w:spacing w:after="60" w:before="0"/>
        <w:ind w:left="288" w:hanging="288"/>
      </w:pPr>
      <w:r>
        <w:t>•</w:t>
        <w:tab/>
        <w:t>Pathologizing Without Warrant (preprint).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keepLines/>
        <w:tabs>
          <w:tab w:pos="288" w:val="left"/>
        </w:tabs>
        <w:spacing w:after="60" w:before="0"/>
        <w:ind w:left="288" w:hanging="288"/>
      </w:pPr>
      <w:r>
        <w:t>•</w:t>
        <w:tab/>
        <w:t>The Somatic Deficit: Moral Language Without Moral Ontology. Proposed a theory applying psychopathy and moral-development research (Kohlberg, Lykken) to model alignment, and designed three falsifiable studies to test it.</w:t>
      </w:r>
    </w:p>
    <w:p>
      <w:pPr>
        <w:keepNext/>
        <w:keepLines/>
        <w:spacing w:after="60" w:before="160"/>
        <w:pBdr>
          <w:bottom w:val="single" w:sz="6" w:space="1" w:color="000000"/>
        </w:pBdr>
      </w:pPr>
      <w:r>
        <w:rPr>
          <w:b/>
          <w:sz w:val="22"/>
        </w:rPr>
        <w:t>SKILLS</w:t>
      </w:r>
    </w:p>
    <w:p>
      <w:pPr>
        <w:spacing w:after="60"/>
      </w:pPr>
      <w:r>
        <w:rPr>
          <w:b/>
        </w:rPr>
        <w:t xml:space="preserve">AI Evaluation &amp; Safety: </w:t>
      </w:r>
      <w:r>
        <w:t>AI Evals, LLM-as-Judge, Red-Teaming, Automated Red-Teaming Pipelines, Golden Datasets, Agentic Evals, Long-Horizon Reasoning Evaluation, Tool-Use Evaluation, RAG Evals, Simulation Testing, Hallucination Detection, Jailbreak Resistance Scoring, Prompt Injection Detection, Out-of-Character Behavior Detection, Context-Blindness Measurement, In-Character Consistency Evaluation, Hard-Fail Safety Gating, Evaluation Infrastructure &amp; Frameworks, Scalable Oversight, Replay-Based Evaluation, Behavioral Taxonomies, Semantic Auditing, Epistemic Provenance, CUSUM Control Charts, Fixed Harness / Mutation Budget Architecture, Evaluation Gating, Adversarial Robustness, AI Alignment, Frontier AI Safety, Mechanistic Interpretability, Latent Evaluation Awareness, Activation Verbalization, Constitutional AI, 4×4 Refusal Matrix</w:t>
      </w:r>
    </w:p>
    <w:p>
      <w:pPr>
        <w:spacing w:after="60"/>
      </w:pPr>
      <w:r>
        <w:rPr>
          <w:b/>
        </w:rPr>
        <w:t xml:space="preserve">Measurement &amp; Research Methods: </w:t>
      </w:r>
      <w:r>
        <w:t>Psychometrics, Construct Validity, Criterion Validity, Convergent &amp; Discriminant Validity, Test-Retest Reliability, Inter-Rater Reliability, Uncertainty Quantification, Experimental Design, A/B Testing, Causal Inference, Incrementality Testing, Lift Studies, Power Analysis, Source Independence Analysis, Ablation Studies, Behavioral Typologies, Item Response Theory, Classical Test Theory, Bayesian Uncertainty, Late Fusion Architecture, LIWC Methodology, Computational Linguistics, Psycholinguistics, HDBSCAN Clustering, BERTopic, Prophet Time-Series, NetworkX Co-occurrence, Minimum Detectable Effect (MDE), Difference-in-Differences, Within-Subjects Designs, Preregistration, Offline Replay Experiments, FDR-Controlled Subgroup Analysis, Break-Even and ROI Modeling, Factor Analysis, Cohen's Kappa, PABAK, Adverse-Impact Analysis, LIWC, Hand-Coded Content Analysis, Text Classification, LDA Topic Modeling, Collocation Analysis (logDice, nMPI), Discourse Analysis</w:t>
      </w:r>
    </w:p>
    <w:p>
      <w:pPr>
        <w:spacing w:after="60"/>
      </w:pPr>
      <w:r>
        <w:rPr>
          <w:b/>
        </w:rPr>
        <w:t xml:space="preserve">Behavioral Science &amp; Qualitative Methods: </w:t>
      </w:r>
      <w:r>
        <w:t>Pathway to Violence, Warning-Behavior Typologies, Habit Formation, Choice Friction, Hick's Law, Jakob's Law, von Restorff Effect, Ironic Process Theory, Kohlberg Moral Development, Semi-Structured Interviews, User Research, Behavioral Observation, Clinical Assessment, Forensic Assessment, Structured Threat Assessment</w:t>
      </w:r>
    </w:p>
    <w:p>
      <w:pPr>
        <w:spacing w:after="60"/>
      </w:pPr>
      <w:r>
        <w:rPr>
          <w:b/>
        </w:rPr>
        <w:t xml:space="preserve">Machine Learning &amp; Modeling: </w:t>
      </w:r>
      <w:r>
        <w:t>LLMs, Generative AI, Prompt Engineering, RLHF, Reward Modeling, Reinforcement Learning, CMDPs, Weak Supervision, Positive-Unlabeled Learning, Learning to Rank, Knowledge Graphs, Graph ML, Entity Resolution, Neuro-Symbolic AI, XGBoost, Logistic Regression, Survival Analysis, Semantic Clustering, NLP, Topic Modeling, Sentiment Analysis, Synthetic Data Generation, SHAP Explainability, Isotonic Calibration, MediaPipe, Whisper</w:t>
      </w:r>
    </w:p>
    <w:p>
      <w:pPr>
        <w:spacing w:after="60"/>
      </w:pPr>
      <w:r>
        <w:rPr>
          <w:b/>
        </w:rPr>
        <w:t xml:space="preserve">MLOps, Platform &amp; Infrastructure: </w:t>
      </w:r>
      <w:r>
        <w:t>Model Context Protocol (MCP), End-to-End ML Pipeline Architecture, Model Lifecycle Management, Distributed Computing, Apache Spark, PySpark, Databricks, Delta Lake, AWS SageMaker, AWS Glue, AWS EMR, Airflow, Docker, Kubernetes, CI/CD, DuckDB, PyArrow</w:t>
      </w:r>
    </w:p>
    <w:p>
      <w:pPr>
        <w:spacing w:after="60"/>
      </w:pPr>
      <w:r>
        <w:rPr>
          <w:b/>
        </w:rPr>
        <w:t xml:space="preserve">Governance, Safety &amp; Compliance: </w:t>
      </w:r>
      <w:r>
        <w:t>Responsible AI, AI Governance, ISO/IEC 42001, NIST AI RMF, EU AI Act, FCRA Compliance, Bias Mitigation, Algorithmic Auditing, Privacy-Preserving ML, RBAC, Trust and Safety, Content Moderation, Platform Integrity, Over-Enforcement Measurement</w:t>
      </w:r>
    </w:p>
    <w:p>
      <w:pPr>
        <w:spacing w:after="60"/>
      </w:pPr>
      <w:r>
        <w:rPr>
          <w:b/>
        </w:rPr>
        <w:t xml:space="preserve">Technical Stack: </w:t>
      </w:r>
      <w:r>
        <w:t>Python, PySpark, SQL, R, SAS, SPSS, Excel, Pandas, NumPy, Scikit-learn, PyTorch, TensorFlow, Hugging Face Transformers, Scala, Kafka, Hive, Tableau, Power BI, Databricks MLflow, AWS ML Services, HTML, CSS, JavaScript, Astro SSG, Firebase</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