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Baseline characteristics by neoadjuvant anti-HER2 regimen [PRELIMINARY: 5 data-validation errors pending]. Synthetic data for teaching.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12"/>
        <w:gridCol w:w="1800"/>
        <w:gridCol w:w="1800"/>
        <w:gridCol w:w="1800"/>
        <w:gridCol w:w="864"/>
      </w:tblGrid>
      <w:tr>
        <w:trPr>
          <w:trHeight w:val="77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613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Trastuzumab + pertuzumab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416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Trastuzumab alone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SMD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252" w:hRule="exact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 at diagnosis,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50.9 (43.6–58.4)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50.7 (43.8–59.1)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51.5 (42.6–57.6)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</w:p>
        </w:tc>
      </w:tr>
      <w:tr>
        <w:trPr>
          <w:trHeight w:val="252" w:hRule="exact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Menopausal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</w:p>
        </w:tc>
      </w:tr>
      <w:tr>
        <w:trPr>
          <w:trHeight w:val="252" w:hRule="exact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Premenopausal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266 (43.4%)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 (41.6%)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Postmenopausal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347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232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ECOG performance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</w:t>
            </w:r>
          </w:p>
        </w:tc>
      </w:tr>
      <w:tr>
        <w:trPr>
          <w:trHeight w:val="252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448 (73.1%)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309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 (70.6%)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BMI, kg/m²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24.0 (21.3–26.7)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24.1 (21.5–26.9)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24.0 (21.2–26.3)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</w:t>
            </w:r>
          </w:p>
        </w:tc>
      </w:tr>
      <w:tr>
        <w:trPr>
          <w:trHeight w:val="252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Baseline LVEF,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65.0 (61.0–68.0)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65.0 (61.0–68.0)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65.0 (62.0–68.0)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</w:t>
            </w:r>
          </w:p>
        </w:tc>
      </w:tr>
      <w:tr>
        <w:trPr>
          <w:trHeight w:val="252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Clinical T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</w:tr>
      <w:tr>
        <w:trPr>
          <w:trHeight w:val="252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347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237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Clinical N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</w:t>
            </w:r>
          </w:p>
        </w:tc>
      </w:tr>
      <w:tr>
        <w:trPr>
          <w:trHeight w:val="252" w:hRule="exact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 (47.1%)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Clinical stage (AJCC 8th, anatomic)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</w:p>
        </w:tc>
      </w:tr>
      <w:tr>
        <w:trPr>
          <w:trHeight w:val="252" w:hRule="exact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IIIA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IIIB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IIIC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Hormone receptor (ER or PR ≥1%)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</w:t>
            </w:r>
          </w:p>
        </w:tc>
      </w:tr>
      <w:tr>
        <w:trPr>
          <w:trHeight w:val="252" w:hRule="exact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355 (57.9%)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240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258 (42.1%)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 (41.6%)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HER2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</w:p>
        </w:tc>
      </w:tr>
      <w:tr>
        <w:trPr>
          <w:trHeight w:val="252" w:hRule="exact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IHC 3+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473 (77.2%)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320 (76.9%)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 (77.7%)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IHC 2+, ISH amplified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Histologic 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</w:tr>
      <w:tr>
        <w:trPr>
          <w:trHeight w:val="252" w:hRule="exact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257 (45.4%)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287 (50.7%)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Ki-67,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44.0 (31.0–56.0)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43.5 (31.0–56.0)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44.0 (30.0–57.5)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</w:t>
            </w:r>
          </w:p>
        </w:tc>
      </w:tr>
      <w:tr>
        <w:trPr>
          <w:trHeight w:val="252" w:hRule="exact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Neoadjuvant chemotherapy backbone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</w:t>
            </w:r>
          </w:p>
        </w:tc>
      </w:tr>
      <w:tr>
        <w:trPr>
          <w:trHeight w:val="252" w:hRule="exact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Anthracycline-based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 (36.1%)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Carboplatin-based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392 (63.9%)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 (72.1%)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 of neoadjuvant therapy start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2.79</w:t>
            </w:r>
          </w:p>
        </w:tc>
      </w:tr>
      <w:tr>
        <w:trPr>
          <w:trHeight w:val="252" w:hRule="exact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2012–2015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160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 (78.2%)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2016–2019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209 (34.1%)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2" w:hRule="exact"/>
        </w:trPr>
        body47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2020–2023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244 (39.8%)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239 (57.5%)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(2.5%)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(IQR) or n (%).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Standardized mean difference; |SMD| &lt; 0.1 indicates balance.</w:t>
            </w:r>
          </w:p>
        </w:tc>
      </w:tr>
      <w:tr>
        <w:trPr>
          <w:trHeight w:val="360" w:hRule="auto"/>
        </w:trPr>
        footer 3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Carboplatin-based: carboplatin without an anthracycline.</w:t>
            </w:r>
          </w:p>
        </w:tc>
      </w:tr>
    </w:tbl>
    <w:sectPr>
      <w:pgMar w:header="708" w:bottom="864" w:top="864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htlin</cp:lastModifiedBy>
  <cp:revision>9</cp:revision>
  <dcterms:created xsi:type="dcterms:W3CDTF">2017-02-28T11:18:00Z</dcterms:created>
  <dcterms:modified xsi:type="dcterms:W3CDTF">2026-10-09T07:49:30Z</dcterms:modified>
  <cp:category/>
</cp:coreProperties>
</file>