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STROBE Statement — checklist of items for cohort studies</w:t>
      </w:r>
    </w:p>
    <w:p>
      <w:pPr>
        <w:pStyle w:val="BodyText"/>
      </w:pPr>
      <w:r>
        <w:rPr>
          <w:b/>
          <w:bCs/>
        </w:rPr>
        <w:t xml:space="preserve">Neoadjuvant Chemotherapy with Trastuzumab plus Pertuzumab versus Trastuzumab Alone in Early HER2-Positive Breast Cancer: A Single-Center Retrospective Cohort Study</w:t>
      </w:r>
    </w:p>
    <w:p>
      <w:pPr>
        <w:pStyle w:val="BodyText"/>
      </w:pPr>
      <w:r>
        <w:rPr>
          <w:i/>
          <w:iCs/>
        </w:rPr>
        <w:t xml:space="preserve">SYNTHETIC DATA FOR TEACHING — NOT A REAL STUDY. Patients, investigators and institution are fictional.</w:t>
      </w:r>
    </w:p>
    <w:p>
      <w:pPr>
        <w:pStyle w:val="BodyText"/>
      </w:pPr>
      <w:r>
        <w:rPr>
          <w:b/>
          <w:bCs/>
        </w:rPr>
        <w:t xml:space="preserve">This demonstration manuscript was written by AI (Claude Opus 5.5). In a real submission, the text must be written by the authors.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3"/>
        <w:gridCol w:w="4704"/>
        <w:gridCol w:w="2153"/>
        <w:gridCol w:w="782"/>
      </w:tblGrid>
      <w:tr>
        <w:trPr>
          <w:trHeight w:val="37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Recommendation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Reported 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Page</w:t>
            </w:r>
          </w:p>
        </w:tc>
      </w:tr>
      <w:tr>
        <w:trPr>
          <w:trHeight w:val="37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and abstract: design indicated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7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and abstract: informative 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7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Background/rationale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Objectives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 and 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Setting (locations, dates of recruitment and follow-up)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Participants: eligibility criteria, sources and methods of selection,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Variables: outcomes, exposures, confounders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 Groups and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sources/measurement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 and 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Quantitative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12a-e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methods, subgroups, missing data, loss to follow-up,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Participants: numbers at each stage, reasons for non-participation, flow diagram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data, missing data, follow-up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Pathologic 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Main results: adjusted estimates with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Pathologic 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analyses: subgroups, interactions,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Sensitivity and Subgroup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7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Key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3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Limitations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Funding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page (Source(s) of support)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page</w:t>
            </w:r>
          </w:p>
        </w:tc>
      </w:tr>
    </w:tbl>
    <w:p>
      <w:pPr>
        <w:pStyle w:val="BodyText"/>
      </w:pPr>
      <w:r>
        <w:t xml:space="preserve">Page numbers refer to the blinded article file. Item wording is abbreviated; see https://www.strobe-statement.org/checklists/ for the full checklist (von Elm E, et al. Lancet 2007;370:1453-7).</w:t>
      </w:r>
    </w:p>
    <w:sectPr>
      <w:footerReference r:id="rId9" w:type="default"/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480" w:lineRule="auto"/>
      <w:contextualSpacing/>
      <w:jc w:val="center"/>
    </w:pPr>
    <w:rPr>
      <w:rFonts w:ascii="Times New Roman" w:cs="Times New Roman" w:eastAsia="Times New Roman" w:hAnsi="Times New Roman"/>
      <w:caps w:val="0"/>
      <w:color w:val="000000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240" w:line="480" w:lineRule="auto"/>
      <w:jc w:val="center"/>
    </w:pPr>
    <w:rPr>
      <w:rFonts w:ascii="Times New Roman" w:cs="Times New Roman" w:eastAsia="Times New Roman" w:hAnsi="Times New Roman"/>
      <w:b/>
      <w:caps w:val="0"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 w:line="480" w:lineRule="auto"/>
      <w:outlineLvl w:val="0"/>
    </w:pPr>
    <w:rPr>
      <w:rFonts w:ascii="Times New Roman" w:cs="Times New Roman" w:eastAsia="Times New Roman" w:hAnsi="Times New Roman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1"/>
    </w:pPr>
    <w:rPr>
      <w:rFonts w:ascii="Times New Roman" w:cs="Times New Roman" w:eastAsia="Times New Roman" w:hAnsi="Times New Roman"/>
      <w:b/>
      <w:caps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2"/>
    </w:pPr>
    <w:rPr>
      <w:rFonts w:ascii="Times New Roman" w:cs="Times New Roman" w:eastAsia="Times New Roman" w:hAnsi="Times New Roman"/>
      <w:b/>
      <w:caps w:val="0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cs="Times New Roman" w:eastAsia="Times New Roman" w:hAnsi="Times New Roman"/>
      <w:i/>
      <w:caps w:val="0"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ImageCaption" w:type="paragraph">
    <w:name w:val="Image Caption"/>
    <w:basedOn w:val="Caption"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2026-10-09T01:15:44Z</dcterms:created>
  <dcterms:modified xsi:type="dcterms:W3CDTF">2026-10-09T01:15:44Z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