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 [PRELIMINARY: 5 data-validation errors pending].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(43.6–58.4)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347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448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347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(29.2%)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355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44.0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44.0 (30.0–57.5)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(36.1%)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2.79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(39.8%)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2026-10-09T07:48:59Z</dcterms:modified>
  <cp:category/>
</cp:coreProperties>
</file>