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Supplementary Material</w:t>
      </w:r>
    </w:p>
    <w:p>
      <w:pPr>
        <w:pStyle w:val="BodyText"/>
      </w:pPr>
      <w:r>
        <w:rPr>
          <w:b/>
          <w:bCs/>
        </w:rPr>
        <w:t xml:space="preserve">Neoadjuvant Chemotherapy with Trastuzumab plus Pertuzumab versus Trastuzumab Alone in Early HER2-Positive Breast Cancer: A Single-Center Retrospective Cohort Study</w:t>
      </w:r>
    </w:p>
    <w:p>
      <w:pPr>
        <w:pStyle w:val="BodyText"/>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p>
      <w:r>
        <w:br w:type="page"/>
      </w:r>
    </w:p>
    <w:p>
      <w:pPr>
        <w:pStyle w:val="BodyText"/>
      </w:pPr>
      <w:r>
        <w:rPr>
          <w:b/>
          <w:bCs/>
        </w:rPr>
        <w:t xml:space="preserve">Table S1a. Baseline characteristics, all categories (part 1 of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50"/>
        <w:gridCol w:w="1773"/>
        <w:gridCol w:w="1773"/>
        <w:gridCol w:w="1773"/>
        <w:gridCol w:w="1037"/>
      </w:tblGrid>
      <w:tr>
        <w:trPr>
          <w:trHeight w:val="37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Overall N = 615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 at diagnosis,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50.9 (43.5–58.4)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50.7 (43.8–59.1)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 (42.6–57.7)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Menopausal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Premenopausal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267 (43.4%)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184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Postmenopausal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348 (56.6%)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232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ECOG performance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w:t>
            </w:r>
          </w:p>
        </w:tc>
      </w:tr>
      <w:tr>
        <w:trPr>
          <w:trHeight w:val="3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450 (73.2%)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309 (74.3%)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141 (70.9%)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154 (25.0%)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101 (24.3%)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53 (26.6%)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BMI, kg/m²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(21.3–26.7)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(21.5–26.9)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(21.2–26.4)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Baseline LVEF,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(61.0–68.0)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(61.0–68.0)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(62.0–68.0)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T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w:t>
            </w:r>
          </w:p>
        </w:tc>
      </w:tr>
      <w:tr>
        <w:trPr>
          <w:trHeight w:val="37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49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348 (56.6%)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237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139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79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N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290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196 (47.1%)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 (10.1%)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or median (IQR); missing values are shown and excluded from percentages. SMD, standardized mean difference before weighting.</w:t>
      </w:r>
    </w:p>
    <w:p>
      <w:r>
        <w:br w:type="page"/>
      </w:r>
    </w:p>
    <w:p>
      <w:pPr>
        <w:pStyle w:val="BodyText"/>
      </w:pPr>
      <w:r>
        <w:rPr>
          <w:b/>
          <w:bCs/>
        </w:rPr>
        <w:t xml:space="preserve">Table S1b. Baseline characteristics, all categories (part 2 of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18"/>
        <w:gridCol w:w="1689"/>
        <w:gridCol w:w="1689"/>
        <w:gridCol w:w="1689"/>
        <w:gridCol w:w="988"/>
      </w:tblGrid>
      <w:tr>
        <w:trPr>
          <w:trHeight w:val="37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Overall N = 615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stage (AJCC 8th, anatomic)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w:t>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139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208 (33.8%)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141 (33.9%)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67 (33.7%)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134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IIIB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72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(ER or PR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w:t>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356 (57.9%)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259 (42.1%)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176 (42.3%)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35"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HER2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w:t>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IHC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475 (77.2%)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320 (76.9%)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155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IHC 2+, ISH amplified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140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96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Histologic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w:t>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257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 (47.5%)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289 (50.9%)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 (51.9%)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Ki-67,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(31.0–56.0)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(31.0–56.0)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(30.0–57.0)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Neoadjuvant chemotherapy backbone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w:t>
            </w:r>
          </w:p>
        </w:tc>
      </w:tr>
      <w:tr>
        <w:trPr>
          <w:trHeight w:val="37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Anthracycline-based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223 (36.3%)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Carboplatin-based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392 (63.7%)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300 (72.1%)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92 (46.2%)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or median (IQR); missing values are shown and excluded from percentages. SMD, standardized mean difference before weighting.</w:t>
      </w:r>
    </w:p>
    <w:p>
      <w:r>
        <w:br w:type="page"/>
      </w:r>
    </w:p>
    <w:p>
      <w:pPr>
        <w:pStyle w:val="BodyText"/>
      </w:pPr>
      <w:r>
        <w:rPr>
          <w:b/>
          <w:bCs/>
        </w:rPr>
        <w:t xml:space="preserve">Table S1c. Baseline characteristics, all categories (part 3 of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16"/>
        <w:gridCol w:w="1439"/>
        <w:gridCol w:w="1439"/>
        <w:gridCol w:w="1439"/>
        <w:gridCol w:w="1037"/>
      </w:tblGrid>
      <w:tr>
        <w:trPr>
          <w:trHeight w:val="37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Overall N = 615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Year of neoadjuvant therapy start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2.80</w:t>
            </w:r>
          </w:p>
        </w:tc>
      </w:tr>
      <w:tr>
        <w:trPr>
          <w:trHeight w:val="3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2012–2015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162 (26.3%)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2016–2019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209 (34.0%)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2020–2023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244 (39.7%)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239 (57.5%)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or median (IQR); missing values are shown and excluded from percentages. SMD, standardized mean difference before weighting.</w:t>
      </w:r>
    </w:p>
    <w:p>
      <w:r>
        <w:br w:type="page"/>
      </w:r>
    </w:p>
    <w:p>
      <w:pPr>
        <w:pStyle w:val="BodyText"/>
      </w:pPr>
      <w:r>
        <w:rPr>
          <w:b/>
          <w:bCs/>
        </w:rPr>
        <w:t xml:space="preserve">Table S2. Pathologic complete response by hormone receptor status (exploratory)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27"/>
        <w:gridCol w:w="1095"/>
        <w:gridCol w:w="1037"/>
        <w:gridCol w:w="1037"/>
        <w:gridCol w:w="1773"/>
      </w:tblGrid>
      <w:tr>
        <w:trPr>
          <w:trHeight w:val="37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Subgroup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Patients,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pCR,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pCR, 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Odds ratio (95% CI)</w:t>
            </w:r>
          </w:p>
        </w:tc>
      </w:tr>
      <w:tr>
        <w:trPr>
          <w:trHeight w:val="37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negative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176/83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2.63 (0.79–8.71)</w:t>
            </w:r>
          </w:p>
        </w:tc>
      </w:tr>
      <w:tr>
        <w:trPr>
          <w:trHeight w:val="379"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positive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240/116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2.03 (0.94–4.37)</w:t>
            </w:r>
          </w:p>
        </w:tc>
      </w:tr>
    </w:tbl>
    <w:p>
      <w:pPr>
        <w:pStyle w:val="BodyText"/>
      </w:pPr>
      <w:r>
        <w:rPr>
          <w:i/>
          <w:iCs/>
        </w:rPr>
        <w:t xml:space="preserve">Overlap-weighted proportions with propensity scores re-estimated within each subgroup, averaged over 20 imputations.</w:t>
      </w:r>
      <w:r>
        <w:rPr>
          <w:i/>
          <w:iCs/>
        </w:rPr>
        <w:t xml:space="preserve"> </w:t>
      </w:r>
      <w:r>
        <w:t xml:space="preserve">P* = 0.552 for interaction (overall weights). pCR, pathologic complete response; T, trastuzumab; T+P, trastuzumab plus pertuzumab.</w:t>
      </w:r>
    </w:p>
    <w:p>
      <w:r>
        <w:br w:type="page"/>
      </w:r>
    </w:p>
    <w:p>
      <w:pPr>
        <w:pStyle w:val="BodyText"/>
      </w:pPr>
      <w:r>
        <w:rPr>
          <w:b/>
          <w:bCs/>
        </w:rPr>
        <w:t xml:space="preserve">Table S3. E-values for unmeasured confounding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037"/>
        <w:gridCol w:w="1037"/>
      </w:tblGrid>
      <w:tr>
        <w:trPr>
          <w:trHeight w:val="37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Endpoint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E-value,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E-value, confidence limit</w:t>
            </w:r>
          </w:p>
        </w:tc>
      </w:tr>
      <w:tr>
        <w:trPr>
          <w:trHeight w:val="37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pCR (OR)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1.31</w:t>
            </w:r>
          </w:p>
        </w:tc>
      </w:tr>
      <w:tr>
        <w:trPr>
          <w:trHeight w:val="379"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EFS (HR)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w:t>
            </w:r>
          </w:p>
        </w:tc>
      </w:tr>
    </w:tbl>
    <w:p>
      <w:pPr>
        <w:pStyle w:val="BodyText"/>
      </w:pPr>
      <w:r>
        <w:t xml:space="preserve">The E-value is the minimum strength of association, on the risk-ratio scale, that an unmeasured confounder would need to have with both treatment and outcome to explain away the observed estimate. †The confidence interval includes the null value.</w:t>
      </w:r>
    </w:p>
    <w:p>
      <w:r>
        <w:br w:type="page"/>
      </w:r>
    </w:p>
    <w:p>
      <w:pPr>
        <w:pStyle w:val="BodyText"/>
      </w:pPr>
      <w:r>
        <w:rPr>
          <w:b/>
          <w:bCs/>
        </w:rPr>
        <w:t xml:space="preserve">Figure S1. Covariate balance before and after overlap weighting</w:t>
      </w:r>
    </w:p>
    <w:p>
      <w:pPr>
        <w:pStyle w:val="BodyText"/>
      </w:pPr>
      <w:r>
        <w:drawing>
          <wp:inline>
            <wp:extent cx="5334000" cy="4889500"/>
            <wp:effectExtent b="0" l="0" r="0" t="0"/>
            <wp:docPr descr="" title="" id="21" name="Picture"/>
            <a:graphic>
              <a:graphicData uri="http://schemas.openxmlformats.org/drawingml/2006/picture">
                <pic:pic>
                  <pic:nvPicPr>
                    <pic:cNvPr descr="../results/figures/love_plot.png" id="22" name="Picture"/>
                    <pic:cNvPicPr>
                      <a:picLocks noChangeArrowheads="1" noChangeAspect="1"/>
                    </pic:cNvPicPr>
                  </pic:nvPicPr>
                  <pic:blipFill>
                    <a:blip r:embed="rId20"/>
                    <a:stretch>
                      <a:fillRect/>
                    </a:stretch>
                  </pic:blipFill>
                  <pic:spPr bwMode="auto">
                    <a:xfrm>
                      <a:off x="0" y="0"/>
                      <a:ext cx="5334000" cy="4889500"/>
                    </a:xfrm>
                    <a:prstGeom prst="rect">
                      <a:avLst/>
                    </a:prstGeom>
                    <a:noFill/>
                    <a:ln w="9525">
                      <a:noFill/>
                      <a:headEnd/>
                      <a:tailEnd/>
                    </a:ln>
                  </pic:spPr>
                </pic:pic>
              </a:graphicData>
            </a:graphic>
          </wp:inline>
        </w:drawing>
      </w:r>
    </w:p>
    <w:p>
      <w:pPr>
        <w:pStyle w:val="BodyText"/>
      </w:pPr>
      <w:r>
        <w:t xml:space="preserve">Absolute standardized mean differences of the propensity-score covariates; dashed line, 0.1. Year of treatment start is shown as a continuous variable.</w:t>
      </w:r>
    </w:p>
    <w:p>
      <w:pPr>
        <w:pStyle w:val="BodyText"/>
      </w:pPr>
      <w:r>
        <w:rPr>
          <w:b/>
          <w:bCs/>
        </w:rPr>
        <w:t xml:space="preserve">Supplementary File S1. Analysis code</w:t>
      </w:r>
      <w:r>
        <w:t xml:space="preserve"> </w:t>
      </w:r>
      <w:r>
        <w:t xml:space="preserve">(</w:t>
      </w:r>
      <w:r>
        <w:rPr>
          <w:rStyle w:val="VerbatimChar"/>
        </w:rPr>
        <w:t xml:space="preserve">JCRP_supplementary_code.zip</w:t>
      </w:r>
      <w:r>
        <w:t xml:space="preserve">): the statistical analysis plan, analysis code, shared definitions with automated tests, analysis parameters, drug-name map, and records of data queries and decisions. No patient data are included. The code was written with the assistance of Claude Opus 5.5 (see the Use of Generative AI statement).</w:t>
      </w:r>
    </w:p>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aps w:val="0"/>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aps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aps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aps w:val="0"/>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caps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aps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customStyle="1" w:styleId="AbstractTitle" w:type="paragraph">
    <w:name w:val="Abstract Title"/>
    <w:basedOn w:val="Normal"/>
    <w:next w:val="Abstract"/>
    <w:qFormat/>
    <w:pPr>
      <w:keepNext/>
      <w:keepLines/>
      <w:spacing w:after="0" w:before="240" w:line="480" w:lineRule="auto"/>
      <w:jc w:val="center"/>
    </w:pPr>
    <w:rPr>
      <w:rFonts w:ascii="Times New Roman" w:cs="Times New Roman" w:eastAsia="Times New Roman" w:hAnsi="Times New Roman"/>
      <w:b/>
      <w:caps w:val="0"/>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aps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aps w:val="0"/>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aps w:val="0"/>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aps w:val="0"/>
      <w:color w:val="000000"/>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caps w:val="0"/>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aps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aps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2026-10-09T01:15:43Z</dcterms:created>
  <dcterms:modified xsi:type="dcterms:W3CDTF">2026-10-09T01:15:43Z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