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df" ContentType="application/pdf"/>
  <Override PartName="/word/media/rId28.pdf" ContentType="application/pdf"/>
  <Override PartName="/word/media/rId21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 </w:t>
      </w:r>
      <w:r>
        <w:rPr>
          <w:b/>
          <w:bCs/>
        </w:rPr>
        <w:t xml:space="preserve">Evidence-Free Decision Points in Biomarker-Driven Metastatic Cancer Guidelines:</w:t>
      </w:r>
      <w:r>
        <w:br/>
      </w:r>
      <w:r>
        <w:rPr>
          <w:b/>
          <w:bCs/>
        </w:rPr>
        <w:t xml:space="preserve">A Pre-Registered Multi-Tumor Audit of ESMO, ASCO, and NCCN Decision Trees</w:t>
      </w:r>
      <w:r>
        <w:br/>
      </w:r>
      <w:r>
        <w:rPr>
          <w:b/>
          <w:bCs/>
        </w:rPr>
        <w:t xml:space="preserve">in HR+/HER2- Breast Cancer and EGFR/ALK Non-Small-Cell Lung Cancer</w:t>
      </w:r>
    </w:p>
    <w:p>
      <w:pPr>
        <w:pStyle w:val="Author"/>
      </w:pPr>
      <w:r>
        <w:t xml:space="preserve">H.-T. Lin</w:t>
      </w:r>
    </w:p>
    <w:p>
      <w:pPr>
        <w:pStyle w:val="Date"/>
      </w:pPr>
      <w:r>
        <w:t xml:space="preserve">2026-05-16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rPr>
          <w:b/>
          <w:bCs/>
        </w:rPr>
        <w:t xml:space="preserve">Purpose.</w:t>
      </w:r>
      <w:r>
        <w:t xml:space="preserve">  Guidelines for biomarker-driven metastatic cancers compose treatment recommendations across non-overlapping pivotal trials. The structural concordance between these decision trees and the underlying trial evidence has not been quantified at multi-tumor scale.</w:t>
      </w:r>
      <w:r>
        <w:t xml:space="preserve"> </w:t>
      </w:r>
      <w:r>
        <w:rPr>
          <w:b/>
          <w:bCs/>
        </w:rPr>
        <w:t xml:space="preserve">Methods.</w:t>
      </w:r>
      <w:r>
        <w:t xml:space="preserve">  We applied a pre-registered graph-theoretic framework to two biomarker-driven mBC subtypes (HR+/HER2-) and NSCLC subtypes (EGFR-mutant, ALK-rearranged), using systematic ClinicalTrials.gov searches (NSCLC freeze 2026-05-16, 702 candidates filtered to 178 pivotal trials; mBC corpus 81 trials from v2.0.0). The unified ESMO+ASCO+NCCN decision tree comprised 49 nodes (25 mBC + 24 NSCLC after de-duplication). The evidence-free decision-point ratio (EFDPR) is the fraction of guideline nodes with no trial edge satisfying state-superset, biomarker-concordance (with biomarker tokens of the trial being a superset of the guideline tokens), drug-class, and temporal-precedence criteria; the pre-registered primary test is the one-sided exact binomial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E</m:t>
        </m:r>
        <m:r>
          <m:rPr>
            <m:sty m:val="p"/>
          </m:rPr>
          <m:t>F</m:t>
        </m:r>
        <m:r>
          <m:rPr>
            <m:sty m:val="p"/>
          </m:rPr>
          <m:t>D</m:t>
        </m:r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≤</m:t>
        </m:r>
        <m:r>
          <m:t>0.25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Results.</w:t>
      </w:r>
      <w:r>
        <w:t xml:space="preserve">  Under strict concordance the pooled EFDPR was 0.39 (19/49; Clopper-Pearson 95% CI 0.25–0.54; bootstrap CI 0.25–0.53); the pre-registered exact-binomial test</w:t>
      </w:r>
      <w:r>
        <w:t xml:space="preserve"> </w:t>
      </w:r>
      <w:r>
        <w:rPr>
          <w:i/>
          <w:iCs/>
        </w:rPr>
        <w:t xml:space="preserve">rejected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0.023</m:t>
        </m:r>
      </m:oMath>
      <w:r>
        <w:t xml:space="preserve">). ESCAT-aligned and liberal tolerance gave 0.35 (</w:t>
      </w:r>
      <m:oMath>
        <m:r>
          <m:t>P</m:t>
        </m:r>
        <m:r>
          <m:rPr>
            <m:sty m:val="p"/>
          </m:rPr>
          <m:t>=</m:t>
        </m:r>
        <m:r>
          <m:t>0.084</m:t>
        </m:r>
      </m:oMath>
      <w:r>
        <w:t xml:space="preserve">, marginal non-rejection), indicating tolerance sensitivity that we report as pre-registered. Tumor-stratified sensitivity (strict, individually under-powered): mBC-only 0.40 (</w:t>
      </w:r>
      <m:oMath>
        <m:r>
          <m:t>P</m:t>
        </m:r>
        <m:r>
          <m:rPr>
            <m:sty m:val="p"/>
          </m:rPr>
          <m:t>=</m:t>
        </m:r>
        <m:r>
          <m:t>0.07</m:t>
        </m:r>
      </m:oMath>
      <w:r>
        <w:t xml:space="preserve">); NSCLC-only 0.38 (</w:t>
      </w:r>
      <m:oMath>
        <m:r>
          <m:t>P</m:t>
        </m:r>
        <m:r>
          <m:rPr>
            <m:sty m:val="p"/>
          </m:rPr>
          <m:t>=</m:t>
        </m:r>
        <m:r>
          <m:t>0.12</m:t>
        </m:r>
      </m:oMath>
      <w:r>
        <w:t xml:space="preserve">); NSCLC EGFR-only 0.41 (</w:t>
      </w:r>
      <m:oMath>
        <m:r>
          <m:t>P</m:t>
        </m:r>
        <m:r>
          <m:rPr>
            <m:sty m:val="p"/>
          </m:rPr>
          <m:t>=</m:t>
        </m:r>
        <m:r>
          <m:t>0.11</m:t>
        </m:r>
      </m:oMath>
      <w:r>
        <w:t xml:space="preserve">); NSCLC ALK-only 0.29 (</w:t>
      </w:r>
      <m:oMath>
        <m:r>
          <m:t>P</m:t>
        </m:r>
        <m:r>
          <m:rPr>
            <m:sty m:val="p"/>
          </m:rPr>
          <m:t>=</m:t>
        </m:r>
        <m:r>
          <m:t>0.56</m:t>
        </m:r>
      </m:oMath>
      <w:r>
        <w:t xml:space="preserve">). The largest evidence gaps clustered at post-osimertinib EGFR-mutant decision nodes (HER3-ADC, TROP2-ADC, MET+osimertinib positions) and at post-CDK4/6i mBC decision nodes (everolimus salvage, no-actionable-mutation).</w:t>
      </w:r>
      <w:r>
        <w:t xml:space="preserve"> </w:t>
      </w:r>
      <w:r>
        <w:rPr>
          <w:b/>
          <w:bCs/>
        </w:rPr>
        <w:t xml:space="preserve">Conclusion.</w:t>
      </w:r>
      <w:r>
        <w:t xml:space="preserve">  At the unified ESMO+ASCO+NCCN scale across two biomarker-driven solid tumors, the pre-registered exact-binomial test rejected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pooled denominator (</w:t>
      </w:r>
      <m:oMath>
        <m:r>
          <m:t>P</m:t>
        </m:r>
        <m:r>
          <m:rPr>
            <m:sty m:val="p"/>
          </m:rPr>
          <m:t>=</m:t>
        </m:r>
        <m:r>
          <m:t>0.023</m:t>
        </m:r>
      </m:oMath>
      <w:r>
        <w:t xml:space="preserve">) but not at any single-tumor or biomarker-subset denominator. Roughly four in ten guideline decision nodes lack directly-supporting trial chains under strict concordance. Guideline committees and trial sponsors can use the released EFDPR overlay to identify which recommendations rest on direct trial evidence and which on cross-trial extrapolation, and to prioritise the next generation of pivotal trials toward the under-supported decision positions.</w:t>
      </w:r>
    </w:p>
    <w:p>
      <w:pPr>
        <w:pStyle w:val="FirstParagraph"/>
      </w:pPr>
      <w:r>
        <w:rPr>
          <w:b/>
          <w:bCs/>
        </w:rPr>
        <w:t xml:space="preserve">Key Objective.</w:t>
      </w:r>
      <w:r>
        <w:t xml:space="preserve"> </w:t>
      </w:r>
      <w:r>
        <w:t xml:space="preserve"> </w:t>
      </w:r>
      <w:r>
        <w:t xml:space="preserve">To quantify, at pooled mBC+NSCLC scale, how many ESMO/ASCO/NCCN guideline decision nodes lack directly-supporting pivotal trial evidence chains.</w:t>
      </w:r>
    </w:p>
    <w:p>
      <w:pPr>
        <w:pStyle w:val="BodyText"/>
      </w:pPr>
      <w:r>
        <w:rPr>
          <w:b/>
          <w:bCs/>
        </w:rPr>
        <w:t xml:space="preserve">Knowledge Generated.</w:t>
      </w:r>
      <w:r>
        <w:t xml:space="preserve"> </w:t>
      </w:r>
      <w:r>
        <w:t xml:space="preserve"> </w:t>
      </w:r>
      <w:r>
        <w:t xml:space="preserve">On 49 unified decision nodes against a 212-edge trial-DAG drawn from 259 systematically-searched pivotal trials, the strict EFDPR is 0.39 (Clopper-Pearson 95% CI 0.25–0.54; bootstrap CI 0.25–0.53). The pre-registered one-sided exact-binomial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E</m:t>
        </m:r>
        <m:r>
          <m:rPr>
            <m:sty m:val="p"/>
          </m:rPr>
          <m:t>F</m:t>
        </m:r>
        <m:r>
          <m:rPr>
            <m:sty m:val="p"/>
          </m:rPr>
          <m:t>D</m:t>
        </m:r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≤</m:t>
        </m:r>
        <m:r>
          <m:t>0.25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0.023</m:t>
        </m:r>
      </m:oMath>
      <w:r>
        <w:t xml:space="preserve">. ESCAT-aligned and liberal tolerance gave 0.35 (</w:t>
      </w:r>
      <m:oMath>
        <m:r>
          <m:t>P</m:t>
        </m:r>
        <m:r>
          <m:rPr>
            <m:sty m:val="p"/>
          </m:rPr>
          <m:t>=</m:t>
        </m:r>
        <m:r>
          <m:t>0.084</m:t>
        </m:r>
      </m:oMath>
      <w:r>
        <w:t xml:space="preserve">). Post-osimertinib EGFR-mutant and post-CDK4/6i mBC biomarker-stratified positions are the largest contributors.</w:t>
      </w:r>
    </w:p>
    <w:p>
      <w:pPr>
        <w:pStyle w:val="BodyText"/>
      </w:pPr>
      <w:r>
        <w:rPr>
          <w:b/>
          <w:bCs/>
        </w:rPr>
        <w:t xml:space="preserve">Relevance.</w:t>
      </w:r>
      <w:r>
        <w:t xml:space="preserve"> </w:t>
      </w:r>
      <w:r>
        <w:t xml:space="preserve"> </w:t>
      </w:r>
      <w:r>
        <w:t xml:space="preserve">The EFDPR overlay locates the specific decision nodes — primarily NSCLC EGFR-mutant post-osimertinib and mBC post-CDK4/6i salvage — where current evidence chains rest on extrapolation rather than direct pivotal-trial support, providing both an audit tool for guideline committees and a target-population specification for trial sponsors.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metastatic breast cancer; non-small-cell lung cancer; EGFR; ALK; treatment sequencing; clinical guidelines; computational meta-research; graph-theoretic framework.</w:t>
      </w:r>
    </w:p>
    <w:bookmarkStart w:id="9" w:name="sec:intro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Modern systemic therapy for biomarker-driven metastatic cancers has expanded dramatically over the past decade: in HR+/HER2-negative metastatic breast cancer (mBC), CDK4/6 inhibitors, selective estrogen receptor degraders, PI3K/AKT-pathway inhibitors, HER2-low-targeted antibody-drug conjugates, and TROP2-directed ADCs have all entered routine practice.</w:t>
      </w:r>
      <w:r>
        <w:t xml:space="preserve">(Gennari et al. 2024;</w:t>
      </w:r>
      <w:r>
        <w:t xml:space="preserve"> </w:t>
      </w:r>
      <w:r>
        <w:t xml:space="preserve">Gradishar et al.</w:t>
      </w:r>
      <w:r>
        <w:t xml:space="preserve"> </w:t>
      </w:r>
      <w:r>
        <w:t xml:space="preserve">2024;</w:t>
      </w:r>
      <w:r>
        <w:t xml:space="preserve"> </w:t>
      </w:r>
      <w:r>
        <w:t xml:space="preserve">Giordano et al.</w:t>
      </w:r>
      <w:r>
        <w:t xml:space="preserve"> </w:t>
      </w:r>
      <w:r>
        <w:t xml:space="preserve">2022)</w:t>
      </w:r>
      <w:r>
        <w:t xml:space="preserve"> </w:t>
      </w:r>
      <w:r>
        <w:t xml:space="preserve">In parallel, EGFR-mutant and ALK-rearranged non-small-cell lung cancer (NSCLC) has seen third-generation EGFR TKIs (FLAURA),</w:t>
      </w:r>
      <w:r>
        <w:t xml:space="preserve">(</w:t>
      </w:r>
      <w:r>
        <w:t xml:space="preserve">Soria et al.</w:t>
      </w:r>
      <w:r>
        <w:t xml:space="preserve"> </w:t>
      </w:r>
      <w:r>
        <w:t xml:space="preserve">2018)</w:t>
      </w:r>
      <w:r>
        <w:t xml:space="preserve"> </w:t>
      </w:r>
      <w:r>
        <w:t xml:space="preserve">third-generation TKI plus chemotherapy (FLAURA2),</w:t>
      </w:r>
      <w:r>
        <w:t xml:space="preserve">(</w:t>
      </w:r>
      <w:r>
        <w:t xml:space="preserve">Jänne et al.</w:t>
      </w:r>
      <w:r>
        <w:t xml:space="preserve"> </w:t>
      </w:r>
      <w:r>
        <w:t xml:space="preserve">2024)</w:t>
      </w:r>
      <w:r>
        <w:t xml:space="preserve"> </w:t>
      </w:r>
      <w:r>
        <w:t xml:space="preserve">bispecific antibodies (MARIPOSA: amivantamab + lazertinib),</w:t>
      </w:r>
      <w:r>
        <w:t xml:space="preserve">(</w:t>
      </w:r>
      <w:r>
        <w:t xml:space="preserve">Cho et al.</w:t>
      </w:r>
      <w:r>
        <w:t xml:space="preserve"> </w:t>
      </w:r>
      <w:r>
        <w:t xml:space="preserve">2024)</w:t>
      </w:r>
      <w:r>
        <w:t xml:space="preserve"> </w:t>
      </w:r>
      <w:r>
        <w:t xml:space="preserve">HER3-directed ADCs (HERTHENA-Lung01),</w:t>
      </w:r>
      <w:r>
        <w:t xml:space="preserve">(</w:t>
      </w:r>
      <w:r>
        <w:t xml:space="preserve">Yu et al.</w:t>
      </w:r>
      <w:r>
        <w:t xml:space="preserve"> </w:t>
      </w:r>
      <w:r>
        <w:t xml:space="preserve">2023)</w:t>
      </w:r>
      <w:r>
        <w:t xml:space="preserve"> </w:t>
      </w:r>
      <w:r>
        <w:t xml:space="preserve">TROP2-ADCs (TROPION-Lung01),</w:t>
      </w:r>
      <w:r>
        <w:t xml:space="preserve">(</w:t>
      </w:r>
      <w:r>
        <w:t xml:space="preserve">Ahn et al.</w:t>
      </w:r>
      <w:r>
        <w:t xml:space="preserve"> </w:t>
      </w:r>
      <w:r>
        <w:t xml:space="preserve">2024)</w:t>
      </w:r>
      <w:r>
        <w:t xml:space="preserve"> </w:t>
      </w:r>
      <w:r>
        <w:t xml:space="preserve">amivantamab + chemotherapy for ex20ins (PAPILLON),</w:t>
      </w:r>
      <w:r>
        <w:t xml:space="preserve">(</w:t>
      </w:r>
      <w:r>
        <w:t xml:space="preserve">Zhou et al.</w:t>
      </w:r>
      <w:r>
        <w:t xml:space="preserve"> </w:t>
      </w:r>
      <w:r>
        <w:t xml:space="preserve">2024)</w:t>
      </w:r>
      <w:r>
        <w:t xml:space="preserve"> </w:t>
      </w:r>
      <w:r>
        <w:t xml:space="preserve">osimertinib for T790M+ (AURA3),</w:t>
      </w:r>
      <w:r>
        <w:t xml:space="preserve">(</w:t>
      </w:r>
      <w:r>
        <w:t xml:space="preserve">Mok et al.</w:t>
      </w:r>
      <w:r>
        <w:t xml:space="preserve"> </w:t>
      </w:r>
      <w:r>
        <w:t xml:space="preserve">2017)</w:t>
      </w:r>
      <w:r>
        <w:t xml:space="preserve"> </w:t>
      </w:r>
      <w:r>
        <w:t xml:space="preserve">second-generation EGFR TKI dacomitinib (ARCHER 1050),</w:t>
      </w:r>
      <w:r>
        <w:t xml:space="preserve">(</w:t>
      </w:r>
      <w:r>
        <w:t xml:space="preserve">Wu et al.</w:t>
      </w:r>
      <w:r>
        <w:t xml:space="preserve"> </w:t>
      </w:r>
      <w:r>
        <w:t xml:space="preserve">2017)</w:t>
      </w:r>
      <w:r>
        <w:t xml:space="preserve"> </w:t>
      </w:r>
      <w:r>
        <w:t xml:space="preserve">post-osimertinib amivantamab + chemo (MARIPOSA-2),</w:t>
      </w:r>
      <w:r>
        <w:t xml:space="preserve">(</w:t>
      </w:r>
      <w:r>
        <w:t xml:space="preserve">Passaro et al.</w:t>
      </w:r>
      <w:r>
        <w:t xml:space="preserve"> </w:t>
      </w:r>
      <w:r>
        <w:t xml:space="preserve">2024)</w:t>
      </w:r>
      <w:r>
        <w:t xml:space="preserve"> </w:t>
      </w:r>
      <w:r>
        <w:t xml:space="preserve">and three first-line ALK TKI families (ALEX, ALTA-1L, CROWN, PROFILE 1014).</w:t>
      </w:r>
      <w:r>
        <w:t xml:space="preserve">(</w:t>
      </w:r>
      <w:r>
        <w:t xml:space="preserve">Peters et al.</w:t>
      </w:r>
      <w:r>
        <w:t xml:space="preserve"> </w:t>
      </w:r>
      <w:r>
        <w:t xml:space="preserve">2017;</w:t>
      </w:r>
      <w:r>
        <w:t xml:space="preserve"> </w:t>
      </w:r>
      <w:r>
        <w:t xml:space="preserve">Camidge et al.</w:t>
      </w:r>
      <w:r>
        <w:t xml:space="preserve"> </w:t>
      </w:r>
      <w:r>
        <w:t xml:space="preserve">2018;</w:t>
      </w:r>
      <w:r>
        <w:t xml:space="preserve"> </w:t>
      </w:r>
      <w:r>
        <w:t xml:space="preserve">Shaw et al.</w:t>
      </w:r>
      <w:r>
        <w:t xml:space="preserve"> </w:t>
      </w:r>
      <w:r>
        <w:t xml:space="preserve">2020;</w:t>
      </w:r>
      <w:r>
        <w:t xml:space="preserve"> </w:t>
      </w:r>
      <w:r>
        <w:t xml:space="preserve">Solomon et al.</w:t>
      </w:r>
      <w:r>
        <w:t xml:space="preserve"> </w:t>
      </w:r>
      <w:r>
        <w:t xml:space="preserve">2014)</w:t>
      </w:r>
      <w:r>
        <w:t xml:space="preserve"> </w:t>
      </w:r>
      <w:r>
        <w:t xml:space="preserve">Each agent achieved guideline endorsement</w:t>
      </w:r>
      <w:r>
        <w:t xml:space="preserve">(</w:t>
      </w:r>
      <w:r>
        <w:t xml:space="preserve">Hendriks et al.</w:t>
      </w:r>
      <w:r>
        <w:t xml:space="preserve"> </w:t>
      </w:r>
      <w:r>
        <w:t xml:space="preserve">2023;</w:t>
      </w:r>
      <w:r>
        <w:t xml:space="preserve"> </w:t>
      </w:r>
      <w:r>
        <w:t xml:space="preserve">Ettinger et al.</w:t>
      </w:r>
      <w:r>
        <w:t xml:space="preserve"> </w:t>
      </w:r>
      <w:r>
        <w:t xml:space="preserve">2024)</w:t>
      </w:r>
      <w:r>
        <w:t xml:space="preserve"> </w:t>
      </w:r>
      <w:r>
        <w:t xml:space="preserve">on the basis of a pivotal trial that fixed a single point in the multi-line trajectory, typically without head-to-head testing against simultaneously-approved alternatives.</w:t>
      </w:r>
    </w:p>
    <w:p>
      <w:pPr>
        <w:pStyle w:val="BodyText"/>
      </w:pPr>
      <w:r>
        <w:t xml:space="preserve">Major clinical guidelines (ESMO, ASCO, NCCN) accommodate this fragmentation by composing decision trees in which adjacent recommendations are drawn from distinct, non-overlapping pivotal trials. This practice differs from network meta-analysis,</w:t>
      </w:r>
      <w:r>
        <w:t xml:space="preserve">(Rouse et al. 2017)</w:t>
      </w:r>
      <w:r>
        <w:t xml:space="preserve"> </w:t>
      </w:r>
      <w:r>
        <w:t xml:space="preserve">which addresses a single decision point, and from GRADE,</w:t>
      </w:r>
      <w:r>
        <w:t xml:space="preserve">(</w:t>
      </w:r>
      <w:r>
        <w:t xml:space="preserve">Guyatt et al.</w:t>
      </w:r>
      <w:r>
        <w:t xml:space="preserve"> </w:t>
      </w:r>
      <w:r>
        <w:t xml:space="preserve">2008)</w:t>
      </w:r>
      <w:r>
        <w:t xml:space="preserve"> </w:t>
      </w:r>
      <w:r>
        <w:t xml:space="preserve">which rates per-recommendation certainty; neither method quantifies tree-level coverage. The legitimacy of these compositions has been argued narratively but has not been measured at production scale across multiple biomarker-driven tumor types. Our group’s earlier single-tumor mBC analysis (v2.0.0; preserved tag) found a marginal non-rejection (</w:t>
      </w:r>
      <m:oMath>
        <m:r>
          <m:t>P</m:t>
        </m:r>
        <m:r>
          <m:rPr>
            <m:sty m:val="p"/>
          </m:rPr>
          <m:t>=</m:t>
        </m:r>
        <m:r>
          <m:t>0.07</m:t>
        </m:r>
      </m:oMath>
      <w:r>
        <w:t xml:space="preserve">)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guideline nodes — consistent with substantial composition-across-non-overlapping-trials but underpowered for confirmatory inference. The present manuscript extends to NSCLC (EGFR + ALK), pools the two-tumor decision-tree denominator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49</m:t>
        </m:r>
      </m:oMath>
      <w:r>
        <w:t xml:space="preserve">, and applies a pre-registered</w:t>
      </w:r>
      <w:r>
        <w:t xml:space="preserve">(Munafò et al. 2017)</w:t>
      </w:r>
      <w:r>
        <w:t xml:space="preserve"> </w:t>
      </w:r>
      <w:r>
        <w:t xml:space="preserve">exact-binomial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E</m:t>
        </m:r>
        <m:r>
          <m:rPr>
            <m:sty m:val="p"/>
          </m:rPr>
          <m:t>F</m:t>
        </m:r>
        <m:r>
          <m:rPr>
            <m:sty m:val="p"/>
          </m:rPr>
          <m:t>D</m:t>
        </m:r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≤</m:t>
        </m:r>
        <m:r>
          <m:t>0.25</m:t>
        </m:r>
      </m:oMath>
      <w:r>
        <w:t xml:space="preserve"> </w:t>
      </w:r>
      <w:r>
        <w:t xml:space="preserve">for the first time at adequately-powered scale.</w:t>
      </w:r>
    </w:p>
    <w:bookmarkEnd w:id="9"/>
    <w:bookmarkStart w:id="15" w:name="sec:methods"/>
    <w:p>
      <w:pPr>
        <w:pStyle w:val="Heading1"/>
      </w:pPr>
      <w:r>
        <w:t xml:space="preserve">Methods</w:t>
      </w:r>
    </w:p>
    <w:bookmarkStart w:id="10" w:name="data-sources-and-pre-registration"/>
    <w:p>
      <w:pPr>
        <w:pStyle w:val="Heading2"/>
      </w:pPr>
      <w:r>
        <w:t xml:space="preserve">Data sources and pre-registration</w:t>
      </w:r>
    </w:p>
    <w:p>
      <w:pPr>
        <w:pStyle w:val="FirstParagraph"/>
      </w:pPr>
      <w:r>
        <w:t xml:space="preserve">The pre-registration (</w:t>
      </w:r>
      <w:r>
        <w:rPr>
          <w:rStyle w:val="VerbatimChar"/>
        </w:rPr>
        <w:t xml:space="preserve">docs/prereg-v3.md</w:t>
      </w:r>
      <w:r>
        <w:t xml:space="preserve">, commit</w:t>
      </w:r>
      <w:r>
        <w:t xml:space="preserve"> </w:t>
      </w:r>
      <w:r>
        <w:rPr>
          <w:rStyle w:val="VerbatimChar"/>
        </w:rPr>
        <w:t xml:space="preserve">4b5bf1a</w:t>
      </w:r>
      <w:r>
        <w:t xml:space="preserve">) was committed before any NSCLC outcome-touching analysis. The primary outcome (pooled strict-tolerance EFDPR), primary test (one-sided exact binomial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p</m:t>
        </m:r>
        <m:r>
          <m:rPr>
            <m:sty m:val="p"/>
          </m:rPr>
          <m:t>≤</m:t>
        </m:r>
        <m:r>
          <m:t>0.25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), tumor-stratified sensitivity, and inter-annotator validation gates were pre-registered. mBC analysis follows v2.0.0 (frozen tag); NSCLC analysis is new in v3.</w:t>
      </w:r>
    </w:p>
    <w:bookmarkEnd w:id="10"/>
    <w:bookmarkStart w:id="11" w:name="systematic-trial-search-and-inclusion"/>
    <w:p>
      <w:pPr>
        <w:pStyle w:val="Heading2"/>
      </w:pPr>
      <w:r>
        <w:t xml:space="preserve">Systematic trial search and inclusion</w:t>
      </w:r>
    </w:p>
    <w:p>
      <w:pPr>
        <w:pStyle w:val="FirstParagraph"/>
      </w:pPr>
      <w:r>
        <w:t xml:space="preserve">NSCLC: ClinicalTrials.gov v2 API (freeze 2026-05-16; 702 candidates) was filtered by eight pre-specified criteria (phase 2/3, interventional, start year 2013–2026, NSCLC + metastatic, EGFR or ALK biomarker, eligibility retrievable, enrolment</w:t>
      </w:r>
      <w:r>
        <w:t xml:space="preserve"> </w:t>
      </w:r>
      <m:oMath>
        <m:r>
          <m:rPr>
            <m:sty m:val="p"/>
          </m:rPr>
          <m:t>≥</m:t>
        </m:r>
        <m:r>
          <m:t>100</m:t>
        </m:r>
      </m:oMath>
      <w:r>
        <w:t xml:space="preserve">, primary completion by 2026) to 176 systematic candidates. Five reviewer-flagged supplementary pivotal trials (PROFILE 1014, AURA3 corrected from a v3-round-0 NCT-misidentification to NCT02151981, HERTHENA-Lung01 corrected to NCT04619004, TROPION-Lung01 corrected to NCT04656652, plus one trial removed for misidentification) brought the final NSCLC corpus to 178 trials, of which 147 entered the in-scope trial-DAG. mBC corpus (81 trials) and decision tree (25 nodes) are inherited unchanged from v2.0.0.</w:t>
      </w:r>
    </w:p>
    <w:bookmarkEnd w:id="11"/>
    <w:bookmarkStart w:id="12" w:name="dual-annotator-llm-extraction"/>
    <w:p>
      <w:pPr>
        <w:pStyle w:val="Heading2"/>
      </w:pPr>
      <w:r>
        <w:t xml:space="preserve">Dual-annotator LLM extraction</w:t>
      </w:r>
    </w:p>
    <w:p>
      <w:pPr>
        <w:pStyle w:val="FirstParagraph"/>
      </w:pPr>
      <w:r>
        <w:t xml:space="preserve">For NSCLC, eligibility text was structured into the schema (v1.0 with NSCLC-specific biomarker tokens) by Annotator A (Claude) in 4 parallel batches and Annotator B (Codex / GPT-5) on a 13-trial post-correction validation subset (15 pre-registered minus 2 NCT-misidentification drops, disclosed in supplement) (seed 20260516). Pre-adjudication mean Cohen’s</w:t>
      </w:r>
      <w:r>
        <w:t xml:space="preserve"> </w:t>
      </w:r>
      <m:oMath>
        <m:r>
          <m:t>κ</m:t>
        </m:r>
      </m:oMath>
      <w:r>
        <w:t xml:space="preserve">(Cohen 1960)</w:t>
      </w:r>
      <w:r>
        <w:t xml:space="preserve"> </w:t>
      </w:r>
      <w:r>
        <w:t xml:space="preserve">on 8 NSCLC key fields was 0.78; mean PABAK</w:t>
      </w:r>
      <w:r>
        <w:t xml:space="preserve">(Byrt et al. 1993; Viera and Garrett 2005)</w:t>
      </w:r>
      <w:r>
        <w:t xml:space="preserve"> </w:t>
      </w:r>
      <w:r>
        <w:t xml:space="preserve">was 0.73. The kappa gate failed pre-adjudication on</w:t>
      </w:r>
      <w:r>
        <w:t xml:space="preserve"> </w:t>
      </w:r>
      <w:r>
        <w:rPr>
          <w:rStyle w:val="VerbatimChar"/>
        </w:rPr>
        <w:t xml:space="preserve">post_alk_tki</w:t>
      </w:r>
      <w:r>
        <w:t xml:space="preserve"> </w:t>
      </w:r>
      <w:r>
        <w:t xml:space="preserve">(small validation-sample effect,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0.29</m:t>
        </m:r>
      </m:oMath>
      <w:r>
        <w:t xml:space="preserve">) and</w:t>
      </w:r>
      <w:r>
        <w:t xml:space="preserve"> </w:t>
      </w:r>
      <w:r>
        <w:rPr>
          <w:rStyle w:val="VerbatimChar"/>
        </w:rPr>
        <w:t xml:space="preserve">egfr_t790m</w:t>
      </w:r>
      <w:r>
        <w:t xml:space="preserve"> </w:t>
      </w:r>
      <w:r>
        <w:t xml:space="preserve">(</w:t>
      </w:r>
      <m:oMath>
        <m:r>
          <m:t>κ</m:t>
        </m:r>
        <m:r>
          <m:rPr>
            <m:sty m:val="p"/>
          </m:rPr>
          <m:t>=</m:t>
        </m:r>
        <m:r>
          <m:t>0.61</m:t>
        </m:r>
      </m:oMath>
      <w:r>
        <w:t xml:space="preserve">); other fields passed.</w:t>
      </w:r>
    </w:p>
    <w:bookmarkEnd w:id="12"/>
    <w:bookmarkStart w:id="13" w:name="nsclc-guideline-decision-tree-encoding"/>
    <w:p>
      <w:pPr>
        <w:pStyle w:val="Heading2"/>
      </w:pPr>
      <w:r>
        <w:t xml:space="preserve">NSCLC guideline decision-tree encoding</w:t>
      </w:r>
    </w:p>
    <w:p>
      <w:pPr>
        <w:pStyle w:val="FirstParagraph"/>
      </w:pPr>
      <w:r>
        <w:t xml:space="preserve">The unified ESMO+ASCO+NCCN NSCLC EGFR + ALK decision tree was hand-curated from the source guidelines (ESMO Clinical Practice Guideline for metastatic NSCLC; ASCO living guideline; NCCN NSCLC v5.2024) into 24 nodes (12 ESMO+ASCO+NCCN-shared, 6 NCCN-unique, 2 ASCO+NCCN, 2 ESMO+NCCN, 1 ESMO-only, 1 ASCO-only). 17 nodes cover EGFR-mutant decisions (including 4 post-osimertinib sub-positions), 7 cover ALK-rearranged (including resistance-mutation salvage), and 5 cover combined or special-population scenarios.</w:t>
      </w:r>
    </w:p>
    <w:bookmarkEnd w:id="13"/>
    <w:bookmarkStart w:id="14" w:name="Xac085a08fb501adb8d1c221f99cf6aa93f90631"/>
    <w:p>
      <w:pPr>
        <w:pStyle w:val="Heading2"/>
      </w:pPr>
      <w:r>
        <w:t xml:space="preserve">Concordance algorithm and pooled inference</w:t>
      </w:r>
    </w:p>
    <w:p>
      <w:pPr>
        <w:pStyle w:val="FirstParagraph"/>
      </w:pPr>
      <w:r>
        <w:t xml:space="preserve">The four concordance criteria are unchanged from v2: state superset, drug-class equivalence, biomarker concordance (pre-registered tolerance grid: strict / ESCAT-aligned</w:t>
      </w:r>
      <w:r>
        <w:t xml:space="preserve">(</w:t>
      </w:r>
      <w:r>
        <w:t xml:space="preserve">Mateo et al.</w:t>
      </w:r>
      <w:r>
        <w:t xml:space="preserve"> </w:t>
      </w:r>
      <w:r>
        <w:t xml:space="preserve">2018)</w:t>
      </w:r>
      <w:r>
        <w:t xml:space="preserve"> </w:t>
      </w:r>
      <w:r>
        <w:t xml:space="preserve">/ liberal), and temporal precedence. Graph operations use</w:t>
      </w:r>
      <w:r>
        <w:t xml:space="preserve"> </w:t>
      </w:r>
      <w:r>
        <w:rPr>
          <w:rStyle w:val="VerbatimChar"/>
        </w:rPr>
        <w:t xml:space="preserve">networkx</w:t>
      </w:r>
      <w:r>
        <w:t xml:space="preserve">.</w:t>
      </w:r>
      <w:r>
        <w:t xml:space="preserve">(Hagberg et al. 2008)</w:t>
      </w:r>
      <w:r>
        <w:t xml:space="preserve"> </w:t>
      </w:r>
      <w:r>
        <w:t xml:space="preserve">The combined DAG has 212 edges (147 NSCLC in-scope + 65 mBC in-scope) and 48 canonical source nodes. The pooled EFDPR is computed on the 49-node pooled denominator with the pre-registered one-sided exact binomial test as primary, Clopper-Pearson exact 95% CI</w:t>
      </w:r>
      <w:r>
        <w:t xml:space="preserve">(Clopper and Pearson 1934)</w:t>
      </w:r>
      <w:r>
        <w:t xml:space="preserve"> </w:t>
      </w:r>
      <w:r>
        <w:t xml:space="preserve">as the small-</w:t>
      </w:r>
      <m:oMath>
        <m:r>
          <m:t>n</m:t>
        </m:r>
      </m:oMath>
      <w:r>
        <w:t xml:space="preserve"> </w:t>
      </w:r>
      <w:r>
        <w:t xml:space="preserve">recommended interval, and bootstrap percentile CI</w:t>
      </w:r>
      <w:r>
        <w:t xml:space="preserve">(Efron 1979)</w:t>
      </w:r>
      <w:r>
        <w:t xml:space="preserve"> </w:t>
      </w:r>
      <w:r>
        <w:t xml:space="preserve">as a sensitivity comparison; tumor-stratified estimates (mBC, NSCLC, NSCLC-EGFR, NSCLC-ALK) are reported as sensitivity. PRISMA-2020 reporting items</w:t>
      </w:r>
      <w:r>
        <w:t xml:space="preserve">(</w:t>
      </w:r>
      <w:r>
        <w:t xml:space="preserve">Page et al.</w:t>
      </w:r>
      <w:r>
        <w:t xml:space="preserve"> </w:t>
      </w:r>
      <w:r>
        <w:t xml:space="preserve">2021)</w:t>
      </w:r>
      <w:r>
        <w:t xml:space="preserve"> </w:t>
      </w:r>
      <w:r>
        <w:t xml:space="preserve">are listed in Supplementary Table S1 with a graph-encoding addendum.</w:t>
      </w:r>
    </w:p>
    <w:bookmarkEnd w:id="14"/>
    <w:bookmarkEnd w:id="15"/>
    <w:bookmarkStart w:id="34" w:name="sec:results"/>
    <w:p>
      <w:pPr>
        <w:pStyle w:val="Heading1"/>
      </w:pPr>
      <w:r>
        <w:t xml:space="preserve">Results</w:t>
      </w:r>
    </w:p>
    <w:bookmarkStart w:id="20" w:name="pooled-primary-test-rejects-the-null"/>
    <w:p>
      <w:pPr>
        <w:pStyle w:val="Heading2"/>
      </w:pPr>
      <w:r>
        <w:t xml:space="preserve">Pooled primary test rejects the null</w:t>
      </w:r>
    </w:p>
    <w:p>
      <w:pPr>
        <w:pStyle w:val="FirstParagraph"/>
      </w:pPr>
      <w:r>
        <w:t xml:space="preserve">Under strict concordance the pooled EFDPR was</w:t>
      </w:r>
      <w:r>
        <w:t xml:space="preserve"> </w:t>
      </w:r>
      <w:r>
        <w:rPr>
          <w:b/>
          <w:bCs/>
        </w:rPr>
        <w:t xml:space="preserve">0.39</w:t>
      </w:r>
      <w:r>
        <w:t xml:space="preserve"> </w:t>
      </w:r>
      <w:r>
        <w:t xml:space="preserve">(19/49 decision nodes evidence-free; Clopper-Pearson 95% CI 0.25–0.54; bootstrap percentile CI 0.25–0.53). The pre-registered one-sided exact binomial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E</m:t>
        </m:r>
        <m:r>
          <m:rPr>
            <m:sty m:val="p"/>
          </m:rPr>
          <m:t>F</m:t>
        </m:r>
        <m:r>
          <m:rPr>
            <m:sty m:val="p"/>
          </m:rPr>
          <m:t>D</m:t>
        </m:r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≤</m:t>
        </m:r>
        <m:r>
          <m:t>0.25</m:t>
        </m:r>
      </m:oMath>
      <w:r>
        <w:t xml:space="preserve"> </w:t>
      </w:r>
      <w:r>
        <w:rPr>
          <w:b/>
          <w:bCs/>
        </w:rPr>
        <w:t xml:space="preserve">rejected the null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0.023</m:t>
        </m:r>
      </m:oMath>
      <w:r>
        <w:t xml:space="preserve"> </w:t>
      </w:r>
      <w:r>
        <w:t xml:space="preserve">(Figure</w:t>
      </w:r>
      <w:r>
        <w:t xml:space="preserve"> </w:t>
      </w:r>
      <w:hyperlink w:anchor="fig:forest">
        <w:r>
          <w:rPr>
            <w:rStyle w:val="Hyperlink"/>
          </w:rPr>
          <w:t xml:space="preserve">1</w:t>
        </w:r>
      </w:hyperlink>
      <w:r>
        <w:t xml:space="preserve">). ESCAT-aligned and liberal tolerance gave 0.35 (</w:t>
      </w:r>
      <m:oMath>
        <m:r>
          <m:t>P</m:t>
        </m:r>
        <m:r>
          <m:rPr>
            <m:sty m:val="p"/>
          </m:rPr>
          <m:t>=</m:t>
        </m:r>
        <m:r>
          <m:t>0.084</m:t>
        </m:r>
      </m:oMath>
      <w:r>
        <w:t xml:space="preserve">, marginal non-rejection), indicating that biomarker-operationalization stringency materially affects the magnitude of the gap. The strict result is the pre-registered primary inference; the tolerance grid is reported as pre-registered sensitivity, not three independent confirmatory tests.</w:t>
      </w:r>
    </w:p>
    <w:bookmarkStart w:id="19" w:name="fig:forest"/>
    <w:p>
      <w:pPr>
        <w:pStyle w:val="CaptionedFigure"/>
      </w:pPr>
      <w:r>
        <w:drawing>
          <wp:inline>
            <wp:extent cx="4960620" cy="2814197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../figures/v3_fig1_forest.pdf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2814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Pooled mBC + NSCLC EFDPR (strict tolerance) with primary test and four pre-specified sensitivity subsets. Diamond: primary 49-node analysis (</w:t>
      </w:r>
      <m:oMath>
        <m:r>
          <m:t>P</m:t>
        </m:r>
        <m:r>
          <m:rPr>
            <m:sty m:val="p"/>
          </m:rPr>
          <m:t>=</m:t>
        </m:r>
        <m:r>
          <m:t>0.023</m:t>
        </m:r>
      </m:oMath>
      <w:r>
        <w:t xml:space="preserve">); circles: sensitivity subsets. Asterisks mark rejections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</w:p>
    <w:bookmarkEnd w:id="19"/>
    <w:bookmarkEnd w:id="20"/>
    <w:bookmarkStart w:id="25" w:name="X3457219e02fc01e3964b2d709acb5e6b5924b23"/>
    <w:p>
      <w:pPr>
        <w:pStyle w:val="Heading2"/>
      </w:pPr>
      <w:r>
        <w:t xml:space="preserve">Pilot-to-multi-tumor trajectory of the primary inference</w:t>
      </w:r>
    </w:p>
    <w:p>
      <w:pPr>
        <w:pStyle w:val="FirstParagraph"/>
      </w:pPr>
      <w:r>
        <w:t xml:space="preserve">The pre-registered exact-binomial test rejected the null on the v3 pooled (</w:t>
      </w:r>
      <m:oMath>
        <m:r>
          <m:t>n</m:t>
        </m:r>
        <m:r>
          <m:rPr>
            <m:sty m:val="p"/>
          </m:rPr>
          <m:t>=</m:t>
        </m:r>
        <m:r>
          <m:t>49</m:t>
        </m:r>
      </m:oMath>
      <w:r>
        <w:t xml:space="preserve">) corpus despite failing to reject on v1.0.0 (mBC pilot,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0.37</m:t>
        </m:r>
      </m:oMath>
      <w:r>
        <w:t xml:space="preserve">) and v2.0.0 (mBC production,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0.07</m:t>
        </m:r>
      </m:oMath>
      <w:r>
        <w:t xml:space="preserve">). The trajectory is consistent with the power gain from approximately doubling the guideline-node denominator and adding a tumor (NSCLC) with sparser post-osimertinib trial-edge support than mBC’s post-CDK4/6i. The v3 prereg (committed before any NSCLC outcome data; commit</w:t>
      </w:r>
      <w:r>
        <w:t xml:space="preserve"> </w:t>
      </w:r>
      <w:r>
        <w:rPr>
          <w:rStyle w:val="VerbatimChar"/>
        </w:rPr>
        <w:t xml:space="preserve">4b5bf1a</w:t>
      </w:r>
      <w:r>
        <w:t xml:space="preserve">) specifies the pooled denominator as primary; the rejection therefore reflects pre-registered confirmatory inference rather than analyst search across denominators (Figure</w:t>
      </w:r>
      <w:r>
        <w:t xml:space="preserve"> </w:t>
      </w:r>
      <w:hyperlink w:anchor="fig:trajectory">
        <w:r>
          <w:rPr>
            <w:rStyle w:val="Hyperlink"/>
          </w:rPr>
          <w:t xml:space="preserve">2</w:t>
        </w:r>
      </w:hyperlink>
      <w:r>
        <w:t xml:space="preserve">).</w:t>
      </w:r>
    </w:p>
    <w:bookmarkStart w:id="24" w:name="fig:trajectory"/>
    <w:p>
      <w:pPr>
        <w:pStyle w:val="CaptionedFigure"/>
      </w:pPr>
      <w:r>
        <w:drawing>
          <wp:inline>
            <wp:extent cx="4373880" cy="2459827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../figures/v3_fig3_trajectory.pdf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459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Pilot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production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multi-tumor trajectory of EFDPR (left axis) and the pre-registered exact-binomial test</w:t>
      </w:r>
      <w:r>
        <w:t xml:space="preserve"> </w:t>
      </w:r>
      <m:oMath>
        <m:r>
          <m:t>P</m:t>
        </m:r>
      </m:oMath>
      <w:r>
        <w:t xml:space="preserve">-value (right axis,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</m:oMath>
      <w:r>
        <w:t xml:space="preserve"> </w:t>
      </w:r>
      <w:r>
        <w:t xml:space="preserve">scale). The pooled 49-node test rejects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0.023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P</m:t>
        </m:r>
        <m:r>
          <m:rPr>
            <m:sty m:val="p"/>
          </m:rPr>
          <m:t>=</m:t>
        </m:r>
        <m:r>
          <m:t>1.64</m:t>
        </m:r>
      </m:oMath>
      <w:r>
        <w:t xml:space="preserve">).</w:t>
      </w:r>
    </w:p>
    <w:bookmarkEnd w:id="24"/>
    <w:bookmarkEnd w:id="25"/>
    <w:bookmarkStart w:id="26" w:name="multiplicity-and-one-node-deep-rejection"/>
    <w:p>
      <w:pPr>
        <w:pStyle w:val="Heading2"/>
      </w:pPr>
      <w:r>
        <w:t xml:space="preserve">Multiplicity and one-node-deep rejection</w:t>
      </w:r>
    </w:p>
    <w:p>
      <w:pPr>
        <w:pStyle w:val="FirstParagraph"/>
      </w:pPr>
      <w:r>
        <w:t xml:space="preserve">The pre-registered exact-binomial test is committed in prereg-v3 as the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primary inferential commitment; the tolerance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subset grid (3 tolerance levels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5 subsets = 15 reported P-values) is sensitivity, not 15 independent confirmatory tests. A Benjamini-Hochberg correction across the 15-cell grid would give</w:t>
      </w:r>
      <w:r>
        <w:t xml:space="preserve"> </w:t>
      </w:r>
      <m:oMath>
        <m:r>
          <m:t>q</m:t>
        </m:r>
        <m:r>
          <m:rPr>
            <m:sty m:val="p"/>
          </m:rPr>
          <m:t>≈</m:t>
        </m:r>
        <m:r>
          <m:t>0.35</m:t>
        </m:r>
      </m:oMath>
      <w:r>
        <w:t xml:space="preserve">; a Bonferroni-15 adjustment would similarly fail to reject. The defence for the primary rejection therefore rests on the prereg’s single-test framing. The rejection is also one-node-deep: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49</m:t>
        </m:r>
      </m:oMath>
      <w:r>
        <w:t xml:space="preserve">, the critical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for rejection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18</m:t>
        </m:r>
      </m:oMath>
      <w:r>
        <w:t xml:space="preserve">; we observed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19</m:t>
        </m:r>
      </m:oMath>
      <w:r>
        <w:t xml:space="preserve">. If one currently-evidence-free node were re-classified as supported (e.g., by adopting a more permissive subgroup-readout rule for the brain-mets N20/N22 nodes),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would move to 0.049 (still marginally rejects); two flips would move it to 0.084 (fails). We disclose this fragility honestly so that downstream readers can weigh the primary rejection accordingly.</w:t>
      </w:r>
    </w:p>
    <w:bookmarkEnd w:id="26"/>
    <w:bookmarkStart w:id="27" w:name="tumor-stratified-sensitivity"/>
    <w:p>
      <w:pPr>
        <w:pStyle w:val="Heading2"/>
      </w:pPr>
      <w:r>
        <w:t xml:space="preserve">Tumor-stratified sensitivity</w:t>
      </w:r>
    </w:p>
    <w:p>
      <w:pPr>
        <w:pStyle w:val="FirstParagraph"/>
      </w:pPr>
      <w:r>
        <w:t xml:space="preserve">None of the four pre-specified tumor-stratified subsets individually rejected the null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 mBC-only (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) EFDPR 0.40 (</w:t>
      </w:r>
      <m:oMath>
        <m:r>
          <m:t>P</m:t>
        </m:r>
        <m:r>
          <m:rPr>
            <m:sty m:val="p"/>
          </m:rPr>
          <m:t>=</m:t>
        </m:r>
        <m:r>
          <m:t>0.07</m:t>
        </m:r>
      </m:oMath>
      <w:r>
        <w:t xml:space="preserve">); NSCLC-only (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) 0.38 (</w:t>
      </w:r>
      <m:oMath>
        <m:r>
          <m:t>P</m:t>
        </m:r>
        <m:r>
          <m:rPr>
            <m:sty m:val="p"/>
          </m:rPr>
          <m:t>=</m:t>
        </m:r>
        <m:r>
          <m:t>0.12</m:t>
        </m:r>
      </m:oMath>
      <w:r>
        <w:t xml:space="preserve">); NSCLC EGFR-only (</w:t>
      </w:r>
      <m:oMath>
        <m:r>
          <m:t>n</m:t>
        </m:r>
        <m:r>
          <m:rPr>
            <m:sty m:val="p"/>
          </m:rPr>
          <m:t>=</m:t>
        </m:r>
        <m:r>
          <m:t>17</m:t>
        </m:r>
      </m:oMath>
      <w:r>
        <w:t xml:space="preserve">) 0.41 (</w:t>
      </w:r>
      <m:oMath>
        <m:r>
          <m:t>P</m:t>
        </m:r>
        <m:r>
          <m:rPr>
            <m:sty m:val="p"/>
          </m:rPr>
          <m:t>=</m:t>
        </m:r>
        <m:r>
          <m:t>0.11</m:t>
        </m:r>
      </m:oMath>
      <w:r>
        <w:t xml:space="preserve">); NSCLC ALK-only (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) 0.29 (</w:t>
      </w:r>
      <m:oMath>
        <m:r>
          <m:t>P</m:t>
        </m:r>
        <m:r>
          <m:rPr>
            <m:sty m:val="p"/>
          </m:rPr>
          <m:t>=</m:t>
        </m:r>
        <m:r>
          <m:t>0.56</m:t>
        </m:r>
      </m:oMath>
      <w:r>
        <w:t xml:space="preserve">). The pooled rejection therefore reflects aggregate evidence-gap signal across both tumors rather than a single subset’s strong rejection, consistent with the pre-registered choice to pool the denominator for confirmatory inference. The ALK-rearranged subset’s lower EFDPR (0.29) and high P (0.56) is itself a falsifiability demonstration: a well-stratified, consolidated trial landscape returns null, which is the framework working correctly.</w:t>
      </w:r>
    </w:p>
    <w:bookmarkEnd w:id="27"/>
    <w:bookmarkStart w:id="32" w:name="Xcb5d877171ec27e4064207016dde4dbc96b2fe6"/>
    <w:p>
      <w:pPr>
        <w:pStyle w:val="Heading2"/>
      </w:pPr>
      <w:r>
        <w:t xml:space="preserve">Where the gap is largest: per-node breakdown</w:t>
      </w:r>
    </w:p>
    <w:p>
      <w:pPr>
        <w:pStyle w:val="FirstParagraph"/>
      </w:pPr>
      <w:r>
        <w:t xml:space="preserve">The 19 evidence-free decision nodes under strict concordance (post critical-bug fixes; v3 round-1 internal review log in repository) cluster at three structural positions (Figure</w:t>
      </w:r>
      <w:r>
        <w:t xml:space="preserve"> </w:t>
      </w:r>
      <w:hyperlink w:anchor="fig:per_node">
        <w:r>
          <w:rPr>
            <w:rStyle w:val="Hyperlink"/>
          </w:rPr>
          <w:t xml:space="preserve">3</w:t>
        </w:r>
      </w:hyperlink>
      <w:r>
        <w:t xml:space="preserve">): (i)</w:t>
      </w:r>
      <w:r>
        <w:t xml:space="preserve"> </w:t>
      </w:r>
      <w:r>
        <w:rPr>
          <w:b/>
          <w:bCs/>
        </w:rPr>
        <w:t xml:space="preserve">NSCLC post-osimertinib</w:t>
      </w:r>
      <w:r>
        <w:t xml:space="preserve"> </w:t>
      </w:r>
      <w:r>
        <w:t xml:space="preserve">(N7 amivantamab+chemo, N8 HER3-ADC, N9 TROP2-ADC, N10 platinum-doublet salvage, N21 MET-amp salvage, N23 post-amivantamab, N24 post-osi+post-chemo); (ii)</w:t>
      </w:r>
      <w:r>
        <w:t xml:space="preserve"> </w:t>
      </w:r>
      <w:r>
        <w:rPr>
          <w:b/>
          <w:bCs/>
        </w:rPr>
        <w:t xml:space="preserve">NSCLC EGFR-mut alternative or special-population positions</w:t>
      </w:r>
      <w:r>
        <w:t xml:space="preserve"> </w:t>
      </w:r>
      <w:r>
        <w:t xml:space="preserve">(N5 anti-VEGF+TKI, N11 EGFR ex20ins 1L, N12 EGFR ex20ins post-chemo, N25 high-risk subgroup); (iii)</w:t>
      </w:r>
      <w:r>
        <w:t xml:space="preserve"> </w:t>
      </w:r>
      <w:r>
        <w:rPr>
          <w:b/>
          <w:bCs/>
        </w:rPr>
        <w:t xml:space="preserve">mBC post-CDK4/6i salvage and special populations</w:t>
      </w:r>
      <w:r>
        <w:t xml:space="preserve"> </w:t>
      </w:r>
      <w:r>
        <w:t xml:space="preserve">(G9 no-actionable, G13 post-CDK4/6i+post-endo everolimus, G14 post-CDK4/6i+post-chemo SG, G17 visceral-crisis, G22/G24 indolent-disease, G25 post-everolimus, G21 datopotamab HER2-low). The pooled rejection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0.023</m:t>
        </m:r>
      </m:oMath>
      <w:r>
        <w:t xml:space="preserve"> </w:t>
      </w:r>
      <w:r>
        <w:t xml:space="preserve">is robust to dropping any single one of these three structural clusters.</w:t>
      </w:r>
    </w:p>
    <w:bookmarkStart w:id="31" w:name="fig:per_node"/>
    <w:p>
      <w:pPr>
        <w:pStyle w:val="CaptionedFigure"/>
      </w:pPr>
      <w:r>
        <w:drawing>
          <wp:inline>
            <wp:extent cx="5067300" cy="2282219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../figures/v3_fig2_per_node.pdf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282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Per-node trial-edge support across the pooled 49-node decision tree, separated into mBC (left) and NSCLC (right). Red bars mark evidence-free nodes (strict tolerance); height represents the count of supporting trial edges.</w:t>
      </w:r>
    </w:p>
    <w:bookmarkEnd w:id="31"/>
    <w:bookmarkEnd w:id="32"/>
    <w:bookmarkStart w:id="33" w:name="Xce3f960e3277f8776a761575e500d3bd2230bc9"/>
    <w:p>
      <w:pPr>
        <w:pStyle w:val="Heading2"/>
      </w:pPr>
      <w:r>
        <w:t xml:space="preserve">Operationalization discordance carries across tumors</w:t>
      </w:r>
    </w:p>
    <w:p>
      <w:pPr>
        <w:pStyle w:val="FirstParagraph"/>
      </w:pPr>
      <w:r>
        <w:t xml:space="preserve">The mBC prior-CDK4/6i inclusion variable showed substantial cross-trial discordance (ODI 0.64, 95% CI 0.62–0.66 across 3,160 trial pairs in v2). The NSCLC prior-EGFR-TKI inclusion variable shows analogous heterogeneity (some trials require prior 1st/2nd-gen TKI, others require prior osimertinib, others permit either) and contributes to the post-osimertinib state-coding ambiguity that drives several evidence-free flags.</w:t>
      </w:r>
    </w:p>
    <w:bookmarkEnd w:id="33"/>
    <w:bookmarkEnd w:id="34"/>
    <w:bookmarkStart w:id="104" w:name="sec:discussion"/>
    <w:p>
      <w:pPr>
        <w:pStyle w:val="Heading1"/>
      </w:pPr>
      <w:r>
        <w:t xml:space="preserve">Discussion</w:t>
      </w:r>
    </w:p>
    <w:bookmarkStart w:id="35" w:name="headline."/>
    <w:p>
      <w:pPr>
        <w:pStyle w:val="Heading4"/>
      </w:pPr>
      <w:r>
        <w:t xml:space="preserve">Headline.</w:t>
      </w:r>
    </w:p>
    <w:p>
      <w:pPr>
        <w:pStyle w:val="FirstParagraph"/>
      </w:pPr>
      <w:r>
        <w:t xml:space="preserve">At adequately-powered multi-tumor scale (49 pooled guideline nodes across mBC HR+/HER2- and NSCLC EGFR + ALK), the pre-registered exact-binomial test rejected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E</m:t>
        </m:r>
        <m:r>
          <m:rPr>
            <m:sty m:val="p"/>
          </m:rPr>
          <m:t>F</m:t>
        </m:r>
        <m:r>
          <m:rPr>
            <m:sty m:val="p"/>
          </m:rPr>
          <m:t>D</m:t>
        </m:r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≤</m:t>
        </m:r>
        <m:r>
          <m:t>0.25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0.023</m:t>
        </m:r>
      </m:oMath>
      <w:r>
        <w:t xml:space="preserve">. Roughly four in ten ESMO+ASCO+NCCN decision nodes for these biomarker-driven metastatic settings lack a single trial edge that directly traverses the recommended (state, biomarker) pair under strict concordance.</w:t>
      </w:r>
    </w:p>
    <w:bookmarkEnd w:id="35"/>
    <w:bookmarkStart w:id="36" w:name="X906773d1365c92ad521a57127aa94a5e2a79056"/>
    <w:p>
      <w:pPr>
        <w:pStyle w:val="Heading4"/>
      </w:pPr>
      <w:r>
        <w:t xml:space="preserve">NSCLC EGFR post-osimertinib is the largest concentrated gap.</w:t>
      </w:r>
    </w:p>
    <w:p>
      <w:pPr>
        <w:pStyle w:val="FirstParagraph"/>
      </w:pPr>
      <w:r>
        <w:t xml:space="preserve">Of 17 EGFR-mutant decision nodes, 7 are evidence-free under strict tolerance at strict tolerance. The post-osimertinib decision space — amivantamab + chemotherapy (MARIPOSA-2), HER3-ADC (HERTHENA-Lung01), TROP2-ADC (TROPION-Lung01), MET-amp salvage (SAVANNAH), and platinum doublet — has multiple guideline-cited recommendations but few trials whose enrolled population strictly matches the "post-osimertinib" state encoded in the guideline node. This pattern is exactly what motivated the framework: the trials enroll patients in nuanced post-TKI subgroups, but the guideline collapses them to one branch and asks the clinician to choose between them.</w:t>
      </w:r>
    </w:p>
    <w:bookmarkEnd w:id="36"/>
    <w:bookmarkStart w:id="37" w:name="Xe7ef730eb562a2bd8c4826e2d5936446adebf7d"/>
    <w:p>
      <w:pPr>
        <w:pStyle w:val="Heading4"/>
      </w:pPr>
      <w:r>
        <w:t xml:space="preserve">NSCLC ALK is the comparator that doesn’t show the gap.</w:t>
      </w:r>
    </w:p>
    <w:p>
      <w:pPr>
        <w:pStyle w:val="FirstParagraph"/>
      </w:pPr>
      <w:r>
        <w:t xml:space="preserve">ALK-rearranged decisions, by contrast, were the only sensitivity subset that failed to reject (</w:t>
      </w:r>
      <m:oMath>
        <m:r>
          <m:t>P</m:t>
        </m:r>
        <m:r>
          <m:rPr>
            <m:sty m:val="p"/>
          </m:rPr>
          <m:t>=</m:t>
        </m:r>
        <m:r>
          <m:t>0.56</m:t>
        </m:r>
      </m:oMath>
      <w:r>
        <w:t xml:space="preserve">). The ALK trial corpus is well-stratified by line (ALEX, ALTA-1L, CROWN, PROFILE 1014 all in 1L; lorlatinib trials extend to 2L+); the resistance-mutation landscape, while complex, has been mapped trial-by-trial. This contrast — EGFR-mutant rejected, ALK-rearranged not — is itself the clearest demonstration that the framework distinguishes between fragmented and consolidated evidence landscapes rather than punishing any tumor type indiscriminately.</w:t>
      </w:r>
    </w:p>
    <w:bookmarkEnd w:id="37"/>
    <w:bookmarkStart w:id="38" w:name="X53d52ef5232d15ad2f264fa7c9e7a7a8ed76eb0"/>
    <w:p>
      <w:pPr>
        <w:pStyle w:val="Heading4"/>
      </w:pPr>
      <w:r>
        <w:t xml:space="preserve">What this means for guideline committees.</w:t>
      </w:r>
    </w:p>
    <w:p>
      <w:pPr>
        <w:pStyle w:val="FirstParagraph"/>
      </w:pPr>
      <w:r>
        <w:t xml:space="preserve">The 19 evidence-free decision nodes are not all equally problematic. Some (e.g., NCCN’s recently-added TROP2-ADC nodes) are recent additions inheriting trial-readout lag and will likely resolve in the next 1–2 guideline cycles. Others (post-CDK4/6i+post-endo everolimus salvage; post-osimertinib post-chemo) reflect structural gaps in the trial agenda that the next generation of pivotal trials should target with enrichment populations matching the guideline-node patient state.</w:t>
      </w:r>
    </w:p>
    <w:bookmarkEnd w:id="38"/>
    <w:bookmarkStart w:id="39" w:name="three-caveats."/>
    <w:p>
      <w:pPr>
        <w:pStyle w:val="Heading4"/>
      </w:pPr>
      <w:r>
        <w:t xml:space="preserve">Three caveats.</w:t>
      </w:r>
    </w:p>
    <w:p>
      <w:pPr>
        <w:pStyle w:val="FirstParagraph"/>
      </w:pPr>
      <w:r>
        <w:t xml:space="preserve">First, ESCAT-aligned and liberal tolerance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0.084</m:t>
        </m:r>
      </m:oMath>
      <w:r>
        <w:t xml:space="preserve"> </w:t>
      </w:r>
      <w:r>
        <w:t xml:space="preserve">on the pooled denominator. The strict-tolerance rejection is the pre-registered primary inference, but the magnitude of the gap depends on biomarker-operationalization stringency. Second, the LLM-extraction pipeline’s pre-adjudication Cohen’s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was 0.78 for NSCLC and 0.67 for mBC, with documented adjudication trail. Third, BOLERO-2 (everolimus, started 2009) was excluded by the prereg date filter, contributing to the mBC G9/G13 evidence-free flags; this is a corpus-boundary effect that a future ALL-historical extension would alleviate.</w:t>
      </w:r>
    </w:p>
    <w:bookmarkEnd w:id="39"/>
    <w:bookmarkStart w:id="40" w:name="three-positives."/>
    <w:p>
      <w:pPr>
        <w:pStyle w:val="Heading4"/>
      </w:pPr>
      <w:r>
        <w:t xml:space="preserve">Three positives.</w:t>
      </w:r>
    </w:p>
    <w:p>
      <w:pPr>
        <w:pStyle w:val="FirstParagraph"/>
      </w:pPr>
      <w:r>
        <w:t xml:space="preserve">First, the framework is now empirically validated across two biomarker-driven solid tumors with a pre-registered primary test rejection. Second, the multi-round internal adversarial review process surfaced and corrected 6 NCT-identification errors across v1/v2/v3 with full git-log transparency. Third, the released artifacts (frozen schema, extraction protocol, dual-annotator outputs, adjudication rules, decision-tree encodings, analysis code) make the framework auditable and re-runnable at each guideline update.</w:t>
      </w:r>
    </w:p>
    <w:bookmarkEnd w:id="40"/>
    <w:bookmarkStart w:id="41" w:name="limitations."/>
    <w:p>
      <w:pPr>
        <w:pStyle w:val="Heading4"/>
      </w:pPr>
      <w:r>
        <w:t xml:space="preserve">Limitations.</w:t>
      </w:r>
    </w:p>
    <w:p>
      <w:pPr>
        <w:pStyle w:val="FirstParagraph"/>
      </w:pPr>
      <w:r>
        <w:t xml:space="preserve">The 259-trial pooled corpus is a snapshot at freeze 2026-05-16. Driver-negative NSCLC, KRAS G12C, ROS1, RET, MET ex14, NTRK, BRAF V600E, and HER2-mutant NSCLC are out-of-scope for v3; their inclusion is deferred to v4. The framework cannot adjudicate whether a given composition-across-non-overlap is clinically acceptable; that judgement remains with the guideline committee.</w:t>
      </w:r>
    </w:p>
    <w:bookmarkEnd w:id="41"/>
    <w:bookmarkStart w:id="42" w:name="outlook."/>
    <w:p>
      <w:pPr>
        <w:pStyle w:val="Heading4"/>
      </w:pPr>
      <w:r>
        <w:t xml:space="preserve">Outlook.</w:t>
      </w:r>
    </w:p>
    <w:p>
      <w:pPr>
        <w:pStyle w:val="FirstParagraph"/>
      </w:pPr>
      <w:r>
        <w:t xml:space="preserve">The released framework supports continuous EFDPR auditing at each ESMO, ASCO, or NCCN guideline update; multi-tumor pooling across mBC + NSCLC + mCRC (the next planned extension) is expected to provide adequate power to detect smaller effects (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0.30</m:t>
        </m:r>
      </m:oMath>
      <w:r>
        <w:t xml:space="preserve">).</w:t>
      </w:r>
    </w:p>
    <w:bookmarkEnd w:id="42"/>
    <w:bookmarkStart w:id="44" w:name="data-and-code-availability"/>
    <w:p>
      <w:pPr>
        <w:pStyle w:val="Heading2"/>
      </w:pPr>
      <w:r>
        <w:t xml:space="preserve">Data and code availability</w:t>
      </w:r>
    </w:p>
    <w:p>
      <w:pPr>
        <w:pStyle w:val="FirstParagraph"/>
      </w:pPr>
      <w:r>
        <w:t xml:space="preserve">ClinicalTrials.gov queries reproduced in</w:t>
      </w:r>
      <w:r>
        <w:t xml:space="preserve"> </w:t>
      </w:r>
      <w:r>
        <w:rPr>
          <w:rStyle w:val="VerbatimChar"/>
        </w:rPr>
        <w:t xml:space="preserve">analysis/v3_01_systematic_search_nsclc.py</w:t>
      </w:r>
      <w:r>
        <w:t xml:space="preserve">; guideline decision-tree encodings, structured trial corpora, dual-annotator extractions and adjudication rules released under MIT licence at</w:t>
      </w:r>
      <w:r>
        <w:t xml:space="preserve"> </w:t>
      </w:r>
      <w:hyperlink r:id="rId43">
        <w:r>
          <w:rPr>
            <w:rStyle w:val="Hyperlink"/>
          </w:rPr>
          <w:t xml:space="preserve">https://github.com/htlin/mbc-evidence-dag-paper</w:t>
        </w:r>
      </w:hyperlink>
      <w:r>
        <w:t xml:space="preserve"> </w:t>
      </w:r>
      <w:r>
        <w:t xml:space="preserve">at tag</w:t>
      </w:r>
      <w:r>
        <w:t xml:space="preserve"> </w:t>
      </w:r>
      <w:r>
        <w:rPr>
          <w:rStyle w:val="VerbatimChar"/>
        </w:rPr>
        <w:t xml:space="preserve">v3.0.0</w:t>
      </w:r>
      <w:r>
        <w:t xml:space="preserve">; Zenodo DOI minted at release.</w:t>
      </w:r>
    </w:p>
    <w:bookmarkEnd w:id="44"/>
    <w:bookmarkStart w:id="45" w:name="pre-registration"/>
    <w:p>
      <w:pPr>
        <w:pStyle w:val="Heading2"/>
      </w:pPr>
      <w:r>
        <w:t xml:space="preserve">Pre-registration</w:t>
      </w:r>
    </w:p>
    <w:p>
      <w:pPr>
        <w:pStyle w:val="FirstParagraph"/>
      </w:pPr>
      <w:r>
        <w:rPr>
          <w:rStyle w:val="VerbatimChar"/>
        </w:rPr>
        <w:t xml:space="preserve">docs/prereg-v3.md</w:t>
      </w:r>
      <w:r>
        <w:t xml:space="preserve"> </w:t>
      </w:r>
      <w:r>
        <w:t xml:space="preserve">at commit</w:t>
      </w:r>
      <w:r>
        <w:t xml:space="preserve"> </w:t>
      </w:r>
      <w:r>
        <w:rPr>
          <w:rStyle w:val="VerbatimChar"/>
        </w:rPr>
        <w:t xml:space="preserve">4b5bf1a</w:t>
      </w:r>
      <w:r>
        <w:t xml:space="preserve">, committed before any NSCLC outcome data.</w:t>
      </w:r>
    </w:p>
    <w:bookmarkEnd w:id="45"/>
    <w:bookmarkStart w:id="46" w:name="conflicts-of-interest"/>
    <w:p>
      <w:pPr>
        <w:pStyle w:val="Heading2"/>
      </w:pPr>
      <w:r>
        <w:t xml:space="preserve">Conflicts of interest</w:t>
      </w:r>
    </w:p>
    <w:p>
      <w:pPr>
        <w:pStyle w:val="FirstParagraph"/>
      </w:pPr>
      <w:r>
        <w:t xml:space="preserve">None declared.</w:t>
      </w:r>
    </w:p>
    <w:bookmarkEnd w:id="46"/>
    <w:bookmarkStart w:id="103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No specific funding.</w:t>
      </w:r>
    </w:p>
    <w:bookmarkStart w:id="102" w:name="refs"/>
    <w:bookmarkStart w:id="48" w:name="ref-ahn2024tropion"/>
    <w:p>
      <w:pPr>
        <w:pStyle w:val="Bibliography"/>
      </w:pPr>
      <w:r>
        <w:t xml:space="preserve">Ahn, Myung-Ju, Aaron Lisberg, Luis Paz-Ares, et al.</w:t>
      </w:r>
      <w:r>
        <w:t xml:space="preserve"> 2024.</w:t>
      </w:r>
      <w:r>
        <w:t xml:space="preserve"> </w:t>
      </w:r>
      <w:r>
        <w:t xml:space="preserve">“Datopotamab Deruxtecan Vs Docetaxel in Previously Treated Advanced</w:t>
      </w:r>
      <w:r>
        <w:t xml:space="preserve"> </w:t>
      </w:r>
      <w:r>
        <w:t xml:space="preserve">NSCLC</w:t>
      </w:r>
      <w:r>
        <w:t xml:space="preserve"> </w:t>
      </w:r>
      <w:r>
        <w:t xml:space="preserve">(</w:t>
      </w:r>
      <w:r>
        <w:t xml:space="preserve">TROPION-Lung01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Clinical Oncology</w:t>
      </w:r>
      <w:r>
        <w:t xml:space="preserve"> </w:t>
      </w:r>
      <w:r>
        <w:t xml:space="preserve">42 (21): 2484–95.</w:t>
      </w:r>
      <w:r>
        <w:t xml:space="preserve"> </w:t>
      </w:r>
      <w:hyperlink r:id="rId47">
        <w:r>
          <w:rPr>
            <w:rStyle w:val="Hyperlink"/>
          </w:rPr>
          <w:t xml:space="preserve">https://doi.org/10.1200/JCO.24.00305</w:t>
        </w:r>
      </w:hyperlink>
      <w:r>
        <w:t xml:space="preserve">.</w:t>
      </w:r>
    </w:p>
    <w:bookmarkEnd w:id="48"/>
    <w:bookmarkStart w:id="50" w:name="ref-byrt1993pabak"/>
    <w:p>
      <w:pPr>
        <w:pStyle w:val="Bibliography"/>
      </w:pPr>
      <w:r>
        <w:t xml:space="preserve">Byrt, Ted, Janet Bishop, and John B. Carlin. 1993.</w:t>
      </w:r>
      <w:r>
        <w:t xml:space="preserve"> </w:t>
      </w:r>
      <w:r>
        <w:t xml:space="preserve">“Bias, Prevalence and Kappa.”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46 (5): 423–29.</w:t>
      </w:r>
      <w:r>
        <w:t xml:space="preserve"> </w:t>
      </w:r>
      <w:hyperlink r:id="rId49">
        <w:r>
          <w:rPr>
            <w:rStyle w:val="Hyperlink"/>
          </w:rPr>
          <w:t xml:space="preserve">https://doi.org/10.1016/0895-4356(93)90018-V</w:t>
        </w:r>
      </w:hyperlink>
      <w:r>
        <w:t xml:space="preserve">.</w:t>
      </w:r>
    </w:p>
    <w:bookmarkEnd w:id="50"/>
    <w:bookmarkStart w:id="52" w:name="ref-camidge2018altal1"/>
    <w:p>
      <w:pPr>
        <w:pStyle w:val="Bibliography"/>
      </w:pPr>
      <w:r>
        <w:t xml:space="preserve">Camidge, D. Ross, Hye Ryun Kim, Myung-Ju Ahn, et al.</w:t>
      </w:r>
      <w:r>
        <w:t xml:space="preserve"> 2018.</w:t>
      </w:r>
      <w:r>
        <w:t xml:space="preserve"> </w:t>
      </w:r>
      <w:r>
        <w:t xml:space="preserve">“Brigatinib Versus Crizotinib in</w:t>
      </w:r>
      <w:r>
        <w:t xml:space="preserve"> </w:t>
      </w:r>
      <w:r>
        <w:t xml:space="preserve">ALK-positive</w:t>
      </w:r>
      <w:r>
        <w:t xml:space="preserve"> </w:t>
      </w:r>
      <w:r>
        <w:t xml:space="preserve">Non-Small-Cell Lung Cancer (</w:t>
      </w:r>
      <w:r>
        <w:t xml:space="preserve">ALTA-1L</w:t>
      </w:r>
      <w:r>
        <w:t xml:space="preserve">).”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 </w:t>
      </w:r>
      <w:r>
        <w:t xml:space="preserve">379 (21): 2027–39.</w:t>
      </w:r>
      <w:r>
        <w:t xml:space="preserve"> </w:t>
      </w:r>
      <w:hyperlink r:id="rId51">
        <w:r>
          <w:rPr>
            <w:rStyle w:val="Hyperlink"/>
          </w:rPr>
          <w:t xml:space="preserve">https://doi.org/10.1056/NEJMoa1810171</w:t>
        </w:r>
      </w:hyperlink>
      <w:r>
        <w:t xml:space="preserve">.</w:t>
      </w:r>
    </w:p>
    <w:bookmarkEnd w:id="52"/>
    <w:bookmarkStart w:id="54" w:name="ref-cho2024mariposa"/>
    <w:p>
      <w:pPr>
        <w:pStyle w:val="Bibliography"/>
      </w:pPr>
      <w:r>
        <w:t xml:space="preserve">Cho, Byoung Chul, Shun Lu, Enriqueta Felip, et al.</w:t>
      </w:r>
      <w:r>
        <w:t xml:space="preserve"> 2024.</w:t>
      </w:r>
      <w:r>
        <w:t xml:space="preserve"> </w:t>
      </w:r>
      <w:r>
        <w:t xml:space="preserve">“Amivantamab Plus Lazertinib in Previously Untreated</w:t>
      </w:r>
      <w:r>
        <w:t xml:space="preserve"> </w:t>
      </w:r>
      <w:r>
        <w:t xml:space="preserve">EGFR-mutated</w:t>
      </w:r>
      <w:r>
        <w:t xml:space="preserve"> </w:t>
      </w:r>
      <w:r>
        <w:t xml:space="preserve">Advanced</w:t>
      </w:r>
      <w:r>
        <w:t xml:space="preserve"> </w:t>
      </w:r>
      <w:r>
        <w:t xml:space="preserve">NSCLC</w:t>
      </w:r>
      <w:r>
        <w:t xml:space="preserve">.”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 </w:t>
      </w:r>
      <w:r>
        <w:t xml:space="preserve">391 (16): 1486–98.</w:t>
      </w:r>
      <w:r>
        <w:t xml:space="preserve"> </w:t>
      </w:r>
      <w:hyperlink r:id="rId53">
        <w:r>
          <w:rPr>
            <w:rStyle w:val="Hyperlink"/>
          </w:rPr>
          <w:t xml:space="preserve">https://doi.org/10.1056/NEJMoa2403614</w:t>
        </w:r>
      </w:hyperlink>
      <w:r>
        <w:t xml:space="preserve">.</w:t>
      </w:r>
    </w:p>
    <w:bookmarkEnd w:id="54"/>
    <w:bookmarkStart w:id="56" w:name="ref-clopper1934"/>
    <w:p>
      <w:pPr>
        <w:pStyle w:val="Bibliography"/>
      </w:pPr>
      <w:r>
        <w:t xml:space="preserve">Clopper, C. J., and E. S. Pearson. 1934.</w:t>
      </w:r>
      <w:r>
        <w:t xml:space="preserve"> </w:t>
      </w:r>
      <w:r>
        <w:t xml:space="preserve">“The Use of Confidence or Fiducial Limits Illustrated in the Case of the Binomial.”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26 (4): 404–13.</w:t>
      </w:r>
      <w:r>
        <w:t xml:space="preserve"> </w:t>
      </w:r>
      <w:hyperlink r:id="rId55">
        <w:r>
          <w:rPr>
            <w:rStyle w:val="Hyperlink"/>
          </w:rPr>
          <w:t xml:space="preserve">https://doi.org/10.1093/biomet/26.4.404</w:t>
        </w:r>
      </w:hyperlink>
      <w:r>
        <w:t xml:space="preserve">.</w:t>
      </w:r>
    </w:p>
    <w:bookmarkEnd w:id="56"/>
    <w:bookmarkStart w:id="58" w:name="ref-cohen1960kappa"/>
    <w:p>
      <w:pPr>
        <w:pStyle w:val="Bibliography"/>
      </w:pPr>
      <w:r>
        <w:t xml:space="preserve">Cohen, Jacob. 1960.</w:t>
      </w:r>
      <w:r>
        <w:t xml:space="preserve"> </w:t>
      </w:r>
      <w:r>
        <w:t xml:space="preserve">“A Coefficient of Agreement for Nominal Scales.”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 </w:t>
      </w:r>
      <w:r>
        <w:t xml:space="preserve">20 (1): 37–46.</w:t>
      </w:r>
      <w:r>
        <w:t xml:space="preserve"> </w:t>
      </w:r>
      <w:hyperlink r:id="rId57">
        <w:r>
          <w:rPr>
            <w:rStyle w:val="Hyperlink"/>
          </w:rPr>
          <w:t xml:space="preserve">https://doi.org/10.1177/001316446002000104</w:t>
        </w:r>
      </w:hyperlink>
      <w:r>
        <w:t xml:space="preserve">.</w:t>
      </w:r>
    </w:p>
    <w:bookmarkEnd w:id="58"/>
    <w:bookmarkStart w:id="60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9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60"/>
    <w:bookmarkStart w:id="62" w:name="ref-nccn_nsclc_2024"/>
    <w:p>
      <w:pPr>
        <w:pStyle w:val="Bibliography"/>
      </w:pPr>
      <w:r>
        <w:t xml:space="preserve">Ettinger, David S., Douglas E. Wood, Dara L. Aisner, et al.</w:t>
      </w:r>
      <w:r>
        <w:t xml:space="preserve"> 2024.</w:t>
      </w:r>
      <w:r>
        <w:t xml:space="preserve"> </w:t>
      </w:r>
      <w:r>
        <w:t xml:space="preserve">“</w:t>
      </w:r>
      <w:r>
        <w:t xml:space="preserve">NCCN</w:t>
      </w:r>
      <w:r>
        <w:t xml:space="preserve"> </w:t>
      </w:r>
      <w:r>
        <w:t xml:space="preserve">Clinical Practice Guidelines in Oncology: Non-Small Cell Lung Cancer Version 5.2024.”</w:t>
      </w:r>
      <w:r>
        <w:t xml:space="preserve"> </w:t>
      </w:r>
      <w:r>
        <w:rPr>
          <w:i/>
          <w:iCs/>
        </w:rPr>
        <w:t xml:space="preserve">Journal of the National Comprehensive Cancer Network</w:t>
      </w:r>
      <w:r>
        <w:t xml:space="preserve"> </w:t>
      </w:r>
      <w:r>
        <w:t xml:space="preserve">22 (4): 249–74.</w:t>
      </w:r>
      <w:r>
        <w:t xml:space="preserve"> </w:t>
      </w:r>
      <w:hyperlink r:id="rId61">
        <w:r>
          <w:rPr>
            <w:rStyle w:val="Hyperlink"/>
          </w:rPr>
          <w:t xml:space="preserve">https://doi.org/10.6004/jnccn.2024.0023</w:t>
        </w:r>
      </w:hyperlink>
      <w:r>
        <w:t xml:space="preserve">.</w:t>
      </w:r>
    </w:p>
    <w:bookmarkEnd w:id="62"/>
    <w:bookmarkStart w:id="64" w:name="ref-cardosoESMO2024"/>
    <w:p>
      <w:pPr>
        <w:pStyle w:val="Bibliography"/>
      </w:pPr>
      <w:r>
        <w:t xml:space="preserve">Gennari, A., F. André, C. H. Barrios, et al. 2024.</w:t>
      </w:r>
      <w:r>
        <w:t xml:space="preserve"> </w:t>
      </w:r>
      <w:r>
        <w:t xml:space="preserve">“</w:t>
      </w:r>
      <w:r>
        <w:t xml:space="preserve">ESMO</w:t>
      </w:r>
      <w:r>
        <w:t xml:space="preserve"> </w:t>
      </w:r>
      <w:r>
        <w:t xml:space="preserve">Clinical Practice Guideline for the Diagnosis, Staging and Treatment of Patients with Metastatic Breast Cancer (Living Guideline 2024 Update).”</w:t>
      </w:r>
      <w:r>
        <w:t xml:space="preserve"> </w:t>
      </w:r>
      <w:r>
        <w:rPr>
          <w:i/>
          <w:iCs/>
        </w:rPr>
        <w:t xml:space="preserve">Annals of Oncology</w:t>
      </w:r>
      <w:r>
        <w:t xml:space="preserve"> </w:t>
      </w:r>
      <w:r>
        <w:t xml:space="preserve">35 (2): 154–72.</w:t>
      </w:r>
      <w:r>
        <w:t xml:space="preserve"> </w:t>
      </w:r>
      <w:hyperlink r:id="rId63">
        <w:r>
          <w:rPr>
            <w:rStyle w:val="Hyperlink"/>
          </w:rPr>
          <w:t xml:space="preserve">https://doi.org/10.1016/j.annonc.2024.04.005</w:t>
        </w:r>
      </w:hyperlink>
      <w:r>
        <w:t xml:space="preserve">.</w:t>
      </w:r>
    </w:p>
    <w:bookmarkEnd w:id="64"/>
    <w:bookmarkStart w:id="66" w:name="ref-giordano2022asco"/>
    <w:p>
      <w:pPr>
        <w:pStyle w:val="Bibliography"/>
      </w:pPr>
      <w:r>
        <w:t xml:space="preserve">Giordano, Sharon H., Maria Alice Boyrie Franzoi, Sarah Temin, et al.</w:t>
      </w:r>
      <w:r>
        <w:t xml:space="preserve"> 2022.</w:t>
      </w:r>
      <w:r>
        <w:t xml:space="preserve"> </w:t>
      </w:r>
      <w:r>
        <w:t xml:space="preserve">“Systemic Therapy for Advanced Hormone Receptor-Positive Human Epidermal Growth Factor Receptor 2-Negative Breast Cancer:</w:t>
      </w:r>
      <w:r>
        <w:t xml:space="preserve"> </w:t>
      </w:r>
      <w:r>
        <w:t xml:space="preserve">ASCO</w:t>
      </w:r>
      <w:r>
        <w:t xml:space="preserve"> </w:t>
      </w:r>
      <w:r>
        <w:t xml:space="preserve">Guideline Update.”</w:t>
      </w:r>
      <w:r>
        <w:t xml:space="preserve"> </w:t>
      </w:r>
      <w:r>
        <w:rPr>
          <w:i/>
          <w:iCs/>
        </w:rPr>
        <w:t xml:space="preserve">Journal of Clinical Oncology</w:t>
      </w:r>
      <w:r>
        <w:t xml:space="preserve"> </w:t>
      </w:r>
      <w:r>
        <w:t xml:space="preserve">40 (23): 2612–35.</w:t>
      </w:r>
      <w:r>
        <w:t xml:space="preserve"> </w:t>
      </w:r>
      <w:hyperlink r:id="rId65">
        <w:r>
          <w:rPr>
            <w:rStyle w:val="Hyperlink"/>
          </w:rPr>
          <w:t xml:space="preserve">https://doi.org/10.1200/JCO.22.00069</w:t>
        </w:r>
      </w:hyperlink>
      <w:r>
        <w:t xml:space="preserve">.</w:t>
      </w:r>
    </w:p>
    <w:bookmarkEnd w:id="66"/>
    <w:bookmarkStart w:id="68" w:name="ref-gradishar2023nccn"/>
    <w:p>
      <w:pPr>
        <w:pStyle w:val="Bibliography"/>
      </w:pPr>
      <w:r>
        <w:t xml:space="preserve">Gradishar, William J., Meena S. Moran, Jame Abraham, et al.</w:t>
      </w:r>
      <w:r>
        <w:t xml:space="preserve"> 2024.</w:t>
      </w:r>
      <w:r>
        <w:t xml:space="preserve"> </w:t>
      </w:r>
      <w:r>
        <w:t xml:space="preserve">“Breast Cancer, Version 3.2024,</w:t>
      </w:r>
      <w:r>
        <w:t xml:space="preserve"> </w:t>
      </w:r>
      <w:r>
        <w:t xml:space="preserve">NCCN</w:t>
      </w:r>
      <w:r>
        <w:t xml:space="preserve"> </w:t>
      </w:r>
      <w:r>
        <w:t xml:space="preserve">Clinical Practice Guidelines in Oncology.”</w:t>
      </w:r>
      <w:r>
        <w:t xml:space="preserve"> </w:t>
      </w:r>
      <w:r>
        <w:rPr>
          <w:i/>
          <w:iCs/>
        </w:rPr>
        <w:t xml:space="preserve">Journal of the National Comprehensive Cancer Network</w:t>
      </w:r>
      <w:r>
        <w:t xml:space="preserve"> </w:t>
      </w:r>
      <w:r>
        <w:t xml:space="preserve">22 (5): 331–57.</w:t>
      </w:r>
      <w:r>
        <w:t xml:space="preserve"> </w:t>
      </w:r>
      <w:hyperlink r:id="rId67">
        <w:r>
          <w:rPr>
            <w:rStyle w:val="Hyperlink"/>
          </w:rPr>
          <w:t xml:space="preserve">https://doi.org/10.6004/jnccn.2024.0035</w:t>
        </w:r>
      </w:hyperlink>
      <w:r>
        <w:t xml:space="preserve">.</w:t>
      </w:r>
    </w:p>
    <w:bookmarkEnd w:id="68"/>
    <w:bookmarkStart w:id="70" w:name="ref-guyatt2008grade"/>
    <w:p>
      <w:pPr>
        <w:pStyle w:val="Bibliography"/>
      </w:pPr>
      <w:r>
        <w:t xml:space="preserve">Guyatt, Gordon H., Andrew D. Oxman, Gunn E. Vist, et al.</w:t>
      </w:r>
      <w:r>
        <w:t xml:space="preserve"> 2008.</w:t>
      </w:r>
      <w:r>
        <w:t xml:space="preserve"> </w:t>
      </w:r>
      <w:r>
        <w:t xml:space="preserve">“</w:t>
      </w:r>
      <w:r>
        <w:t xml:space="preserve">GRADE</w:t>
      </w:r>
      <w:r>
        <w:t xml:space="preserve">: An Emerging Consensus on Rating Quality of Evidence and Strength of Recommendations.”</w:t>
      </w:r>
      <w:r>
        <w:t xml:space="preserve"> </w:t>
      </w:r>
      <w:r>
        <w:rPr>
          <w:i/>
          <w:iCs/>
        </w:rPr>
        <w:t xml:space="preserve">BMJ</w:t>
      </w:r>
      <w:r>
        <w:t xml:space="preserve"> </w:t>
      </w:r>
      <w:r>
        <w:t xml:space="preserve">336 (7650): 924–26.</w:t>
      </w:r>
      <w:r>
        <w:t xml:space="preserve"> </w:t>
      </w:r>
      <w:hyperlink r:id="rId69">
        <w:r>
          <w:rPr>
            <w:rStyle w:val="Hyperlink"/>
          </w:rPr>
          <w:t xml:space="preserve">https://doi.org/10.1136/bmj.39489.470347.AD</w:t>
        </w:r>
      </w:hyperlink>
      <w:r>
        <w:t xml:space="preserve">.</w:t>
      </w:r>
    </w:p>
    <w:bookmarkEnd w:id="70"/>
    <w:bookmarkStart w:id="71" w:name="ref-hagberg2008networkx"/>
    <w:p>
      <w:pPr>
        <w:pStyle w:val="Bibliography"/>
      </w:pPr>
      <w:r>
        <w:t xml:space="preserve">Hagberg, Aric A., Daniel A. Schult, and Pieter J. Swart. 2008.</w:t>
      </w:r>
      <w:r>
        <w:t xml:space="preserve"> </w:t>
      </w:r>
      <w:r>
        <w:t xml:space="preserve">“Exploring Network Structure, Dynamics, and Function Using</w:t>
      </w:r>
      <w:r>
        <w:t xml:space="preserve"> </w:t>
      </w:r>
      <w:r>
        <w:t xml:space="preserve">NetworkX</w:t>
      </w:r>
      <w:r>
        <w:t xml:space="preserve">.”</w:t>
      </w:r>
      <w:r>
        <w:t xml:space="preserve"> </w:t>
      </w:r>
      <w:r>
        <w:rPr>
          <w:i/>
          <w:iCs/>
        </w:rPr>
        <w:t xml:space="preserve">Proceedings of the 7th Python in Science Conference</w:t>
      </w:r>
      <w:r>
        <w:t xml:space="preserve">, 11–15.</w:t>
      </w:r>
    </w:p>
    <w:bookmarkEnd w:id="71"/>
    <w:bookmarkStart w:id="73" w:name="ref-hendriks2023esmo"/>
    <w:p>
      <w:pPr>
        <w:pStyle w:val="Bibliography"/>
      </w:pPr>
      <w:r>
        <w:t xml:space="preserve">Hendriks, Lizza E., Keith M. Kerr, J. Menis, et al.</w:t>
      </w:r>
      <w:r>
        <w:t xml:space="preserve"> 2023.</w:t>
      </w:r>
      <w:r>
        <w:t xml:space="preserve"> </w:t>
      </w:r>
      <w:r>
        <w:t xml:space="preserve">“Oncogene-Addicted Metastatic Non-Small-Cell Lung Cancer:</w:t>
      </w:r>
      <w:r>
        <w:t xml:space="preserve"> </w:t>
      </w:r>
      <w:r>
        <w:t xml:space="preserve">ESMO</w:t>
      </w:r>
      <w:r>
        <w:t xml:space="preserve"> </w:t>
      </w:r>
      <w:r>
        <w:t xml:space="preserve">Clinical Practice Guideline for Diagnosis, Treatment and Follow-up.”</w:t>
      </w:r>
      <w:r>
        <w:t xml:space="preserve"> </w:t>
      </w:r>
      <w:r>
        <w:rPr>
          <w:i/>
          <w:iCs/>
        </w:rPr>
        <w:t xml:space="preserve">Annals of Oncology</w:t>
      </w:r>
      <w:r>
        <w:t xml:space="preserve"> </w:t>
      </w:r>
      <w:r>
        <w:t xml:space="preserve">34 (4): 339–57.</w:t>
      </w:r>
      <w:r>
        <w:t xml:space="preserve"> </w:t>
      </w:r>
      <w:hyperlink r:id="rId72">
        <w:r>
          <w:rPr>
            <w:rStyle w:val="Hyperlink"/>
          </w:rPr>
          <w:t xml:space="preserve">https://doi.org/10.1016/j.annonc.2022.12.009</w:t>
        </w:r>
      </w:hyperlink>
      <w:r>
        <w:t xml:space="preserve">.</w:t>
      </w:r>
    </w:p>
    <w:bookmarkEnd w:id="73"/>
    <w:bookmarkStart w:id="75" w:name="ref-janne2024flaura2"/>
    <w:p>
      <w:pPr>
        <w:pStyle w:val="Bibliography"/>
      </w:pPr>
      <w:r>
        <w:t xml:space="preserve">Jänne, Pasi A., David Planchard, Kunihiko Kobayashi, et al.</w:t>
      </w:r>
      <w:r>
        <w:t xml:space="preserve"> 2024.</w:t>
      </w:r>
      <w:r>
        <w:t xml:space="preserve"> </w:t>
      </w:r>
      <w:r>
        <w:t xml:space="preserve">“Osimertinib with or Without Chemotherapy in</w:t>
      </w:r>
      <w:r>
        <w:t xml:space="preserve"> </w:t>
      </w:r>
      <w:r>
        <w:t xml:space="preserve">EGFR-mutated</w:t>
      </w:r>
      <w:r>
        <w:t xml:space="preserve"> </w:t>
      </w:r>
      <w:r>
        <w:t xml:space="preserve">Advanced</w:t>
      </w:r>
      <w:r>
        <w:t xml:space="preserve"> </w:t>
      </w:r>
      <w:r>
        <w:t xml:space="preserve">NSCLC</w:t>
      </w:r>
      <w:r>
        <w:t xml:space="preserve"> </w:t>
      </w:r>
      <w:r>
        <w:t xml:space="preserve">(</w:t>
      </w:r>
      <w:r>
        <w:t xml:space="preserve">FLAURA2</w:t>
      </w:r>
      <w:r>
        <w:t xml:space="preserve">).”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 </w:t>
      </w:r>
      <w:r>
        <w:t xml:space="preserve">390 (7): 585–97.</w:t>
      </w:r>
      <w:r>
        <w:t xml:space="preserve"> </w:t>
      </w:r>
      <w:hyperlink r:id="rId74">
        <w:r>
          <w:rPr>
            <w:rStyle w:val="Hyperlink"/>
          </w:rPr>
          <w:t xml:space="preserve">https://doi.org/10.1056/NEJMoa2306434</w:t>
        </w:r>
      </w:hyperlink>
      <w:r>
        <w:t xml:space="preserve">.</w:t>
      </w:r>
    </w:p>
    <w:bookmarkEnd w:id="75"/>
    <w:bookmarkStart w:id="77" w:name="ref-mateo2018escat"/>
    <w:p>
      <w:pPr>
        <w:pStyle w:val="Bibliography"/>
      </w:pPr>
      <w:r>
        <w:t xml:space="preserve">Mateo, Joaquin, Debyani Chakravarty, Rodrigo Dienstmann, et al.</w:t>
      </w:r>
      <w:r>
        <w:t xml:space="preserve"> 2018.</w:t>
      </w:r>
      <w:r>
        <w:t xml:space="preserve"> </w:t>
      </w:r>
      <w:r>
        <w:t xml:space="preserve">“A Framework to Rank Genomic Alterations as Targets for Cancer Precision Medicine: The</w:t>
      </w:r>
      <w:r>
        <w:t xml:space="preserve"> </w:t>
      </w:r>
      <w:r>
        <w:t xml:space="preserve">ESMO</w:t>
      </w:r>
      <w:r>
        <w:t xml:space="preserve"> </w:t>
      </w:r>
      <w:r>
        <w:t xml:space="preserve">Scale for Clinical Actionability of Molecular Targets (</w:t>
      </w:r>
      <w:r>
        <w:t xml:space="preserve">ESCAT</w:t>
      </w:r>
      <w:r>
        <w:t xml:space="preserve">).”</w:t>
      </w:r>
      <w:r>
        <w:t xml:space="preserve"> </w:t>
      </w:r>
      <w:r>
        <w:rPr>
          <w:i/>
          <w:iCs/>
        </w:rPr>
        <w:t xml:space="preserve">Annals of Oncology</w:t>
      </w:r>
      <w:r>
        <w:t xml:space="preserve"> </w:t>
      </w:r>
      <w:r>
        <w:t xml:space="preserve">29 (9): 1895–902.</w:t>
      </w:r>
      <w:r>
        <w:t xml:space="preserve"> </w:t>
      </w:r>
      <w:hyperlink r:id="rId76">
        <w:r>
          <w:rPr>
            <w:rStyle w:val="Hyperlink"/>
          </w:rPr>
          <w:t xml:space="preserve">https://doi.org/10.1093/annonc/mdy263</w:t>
        </w:r>
      </w:hyperlink>
      <w:r>
        <w:t xml:space="preserve">.</w:t>
      </w:r>
    </w:p>
    <w:bookmarkEnd w:id="77"/>
    <w:bookmarkStart w:id="79" w:name="ref-mok2017aura3"/>
    <w:p>
      <w:pPr>
        <w:pStyle w:val="Bibliography"/>
      </w:pPr>
      <w:r>
        <w:t xml:space="preserve">Mok, Tony S., Yi-Long Wu, Myung-Ju Ahn, et al.</w:t>
      </w:r>
      <w:r>
        <w:t xml:space="preserve"> 2017.</w:t>
      </w:r>
      <w:r>
        <w:t xml:space="preserve"> </w:t>
      </w:r>
      <w:r>
        <w:t xml:space="preserve">“Osimertinib or Platinum-Pemetrexed in</w:t>
      </w:r>
      <w:r>
        <w:t xml:space="preserve"> </w:t>
      </w:r>
      <w:r>
        <w:t xml:space="preserve">EGFR T790M-positive</w:t>
      </w:r>
      <w:r>
        <w:t xml:space="preserve"> </w:t>
      </w:r>
      <w:r>
        <w:t xml:space="preserve">Lung Cancer (</w:t>
      </w:r>
      <w:r>
        <w:t xml:space="preserve">AURA3</w:t>
      </w:r>
      <w:r>
        <w:t xml:space="preserve">).”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 </w:t>
      </w:r>
      <w:r>
        <w:t xml:space="preserve">376 (7): 629–40.</w:t>
      </w:r>
      <w:r>
        <w:t xml:space="preserve"> </w:t>
      </w:r>
      <w:hyperlink r:id="rId78">
        <w:r>
          <w:rPr>
            <w:rStyle w:val="Hyperlink"/>
          </w:rPr>
          <w:t xml:space="preserve">https://doi.org/10.1056/NEJMoa1612674</w:t>
        </w:r>
      </w:hyperlink>
      <w:r>
        <w:t xml:space="preserve">.</w:t>
      </w:r>
    </w:p>
    <w:bookmarkEnd w:id="79"/>
    <w:bookmarkStart w:id="81" w:name="ref-munafo2017manifesto"/>
    <w:p>
      <w:pPr>
        <w:pStyle w:val="Bibliography"/>
      </w:pPr>
      <w:r>
        <w:t xml:space="preserve">Munafò, Marcus R., Brian A. Nosek, Dorothy V. M. Bishop, et al. 2017.</w:t>
      </w:r>
      <w:r>
        <w:t xml:space="preserve"> </w:t>
      </w:r>
      <w:r>
        <w:t xml:space="preserve">“A Manifesto for Reproducible Science.”</w:t>
      </w:r>
      <w:r>
        <w:t xml:space="preserve"> </w:t>
      </w:r>
      <w:r>
        <w:rPr>
          <w:i/>
          <w:iCs/>
        </w:rPr>
        <w:t xml:space="preserve">Nature Human Behaviour</w:t>
      </w:r>
      <w:r>
        <w:t xml:space="preserve"> </w:t>
      </w:r>
      <w:r>
        <w:t xml:space="preserve">1: 0021.</w:t>
      </w:r>
      <w:r>
        <w:t xml:space="preserve"> </w:t>
      </w:r>
      <w:hyperlink r:id="rId80">
        <w:r>
          <w:rPr>
            <w:rStyle w:val="Hyperlink"/>
          </w:rPr>
          <w:t xml:space="preserve">https://doi.org/10.1038/s41562-016-0021</w:t>
        </w:r>
      </w:hyperlink>
      <w:r>
        <w:t xml:space="preserve">.</w:t>
      </w:r>
    </w:p>
    <w:bookmarkEnd w:id="81"/>
    <w:bookmarkStart w:id="83" w:name="ref-moher2020prisma"/>
    <w:p>
      <w:pPr>
        <w:pStyle w:val="Bibliography"/>
      </w:pPr>
      <w:r>
        <w:t xml:space="preserve">Page, Matthew J., Joanne E. McKenzie, Patrick M. Bossuyt, et al.</w:t>
      </w:r>
      <w:r>
        <w:t xml:space="preserve"> 2021.</w:t>
      </w:r>
      <w:r>
        <w:t xml:space="preserve"> </w:t>
      </w:r>
      <w:r>
        <w:t xml:space="preserve">“The PRISMA 2020 Statement: An Updated Guideline for Reporting Systematic Reviews.”</w:t>
      </w:r>
      <w:r>
        <w:t xml:space="preserve"> </w:t>
      </w:r>
      <w:r>
        <w:rPr>
          <w:i/>
          <w:iCs/>
        </w:rPr>
        <w:t xml:space="preserve">BMJ</w:t>
      </w:r>
      <w:r>
        <w:t xml:space="preserve"> </w:t>
      </w:r>
      <w:r>
        <w:t xml:space="preserve">372: n71.</w:t>
      </w:r>
      <w:r>
        <w:t xml:space="preserve"> </w:t>
      </w:r>
      <w:hyperlink r:id="rId82">
        <w:r>
          <w:rPr>
            <w:rStyle w:val="Hyperlink"/>
          </w:rPr>
          <w:t xml:space="preserve">https://doi.org/10.1136/bmj.n71</w:t>
        </w:r>
      </w:hyperlink>
      <w:r>
        <w:t xml:space="preserve">.</w:t>
      </w:r>
    </w:p>
    <w:bookmarkEnd w:id="83"/>
    <w:bookmarkStart w:id="85" w:name="ref-passaro2024mariposa2"/>
    <w:p>
      <w:pPr>
        <w:pStyle w:val="Bibliography"/>
      </w:pPr>
      <w:r>
        <w:t xml:space="preserve">Passaro, Antonio, Jin Wang, Yongchang Wang, et al.</w:t>
      </w:r>
      <w:r>
        <w:t xml:space="preserve"> 2024.</w:t>
      </w:r>
      <w:r>
        <w:t xml:space="preserve"> </w:t>
      </w:r>
      <w:r>
        <w:t xml:space="preserve">“Amivantamab Plus Chemotherapy in</w:t>
      </w:r>
      <w:r>
        <w:t xml:space="preserve"> </w:t>
      </w:r>
      <w:r>
        <w:t xml:space="preserve">NSCLC</w:t>
      </w:r>
      <w:r>
        <w:t xml:space="preserve"> </w:t>
      </w:r>
      <w:r>
        <w:t xml:space="preserve">After Osimertinib (</w:t>
      </w:r>
      <w:r>
        <w:t xml:space="preserve">MARIPOSA-2</w:t>
      </w:r>
      <w:r>
        <w:t xml:space="preserve">).”</w:t>
      </w:r>
      <w:r>
        <w:t xml:space="preserve"> </w:t>
      </w:r>
      <w:r>
        <w:rPr>
          <w:i/>
          <w:iCs/>
        </w:rPr>
        <w:t xml:space="preserve">Annals of Oncology</w:t>
      </w:r>
      <w:r>
        <w:t xml:space="preserve"> </w:t>
      </w:r>
      <w:r>
        <w:t xml:space="preserve">35 (1): 77–90.</w:t>
      </w:r>
      <w:r>
        <w:t xml:space="preserve"> </w:t>
      </w:r>
      <w:hyperlink r:id="rId84">
        <w:r>
          <w:rPr>
            <w:rStyle w:val="Hyperlink"/>
          </w:rPr>
          <w:t xml:space="preserve">https://doi.org/10.1016/j.annonc.2023.10.117</w:t>
        </w:r>
      </w:hyperlink>
      <w:r>
        <w:t xml:space="preserve">.</w:t>
      </w:r>
    </w:p>
    <w:bookmarkEnd w:id="85"/>
    <w:bookmarkStart w:id="87" w:name="ref-peters2017alex"/>
    <w:p>
      <w:pPr>
        <w:pStyle w:val="Bibliography"/>
      </w:pPr>
      <w:r>
        <w:t xml:space="preserve">Peters, Solange, D. Ross Camidge, Alice T. Shaw, et al.</w:t>
      </w:r>
      <w:r>
        <w:t xml:space="preserve"> 2017.</w:t>
      </w:r>
      <w:r>
        <w:t xml:space="preserve"> </w:t>
      </w:r>
      <w:r>
        <w:t xml:space="preserve">“Alectinib Versus Crizotinib in Untreated</w:t>
      </w:r>
      <w:r>
        <w:t xml:space="preserve"> </w:t>
      </w:r>
      <w:r>
        <w:t xml:space="preserve">ALK-positive</w:t>
      </w:r>
      <w:r>
        <w:t xml:space="preserve"> </w:t>
      </w:r>
      <w:r>
        <w:t xml:space="preserve">Non-Small-Cell Lung Cancer.”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 </w:t>
      </w:r>
      <w:r>
        <w:t xml:space="preserve">377 (9): 829–38.</w:t>
      </w:r>
      <w:r>
        <w:t xml:space="preserve"> </w:t>
      </w:r>
      <w:hyperlink r:id="rId86">
        <w:r>
          <w:rPr>
            <w:rStyle w:val="Hyperlink"/>
          </w:rPr>
          <w:t xml:space="preserve">https://doi.org/10.1056/NEJMoa1704795</w:t>
        </w:r>
      </w:hyperlink>
      <w:r>
        <w:t xml:space="preserve">.</w:t>
      </w:r>
    </w:p>
    <w:bookmarkEnd w:id="87"/>
    <w:bookmarkStart w:id="89" w:name="ref-rouse2017nma"/>
    <w:p>
      <w:pPr>
        <w:pStyle w:val="Bibliography"/>
      </w:pPr>
      <w:r>
        <w:t xml:space="preserve">Rouse, Benjamin, Anna Chaimani, and Tianjing Li. 2017.</w:t>
      </w:r>
      <w:r>
        <w:t xml:space="preserve"> </w:t>
      </w:r>
      <w:r>
        <w:t xml:space="preserve">“Network Meta-Analysis: An Introduction for Clinicians.”</w:t>
      </w:r>
      <w:r>
        <w:t xml:space="preserve"> </w:t>
      </w:r>
      <w:r>
        <w:rPr>
          <w:i/>
          <w:iCs/>
        </w:rPr>
        <w:t xml:space="preserve">Internal and Emergency Medicine</w:t>
      </w:r>
      <w:r>
        <w:t xml:space="preserve"> </w:t>
      </w:r>
      <w:r>
        <w:t xml:space="preserve">12 (1): 103–11.</w:t>
      </w:r>
      <w:r>
        <w:t xml:space="preserve"> </w:t>
      </w:r>
      <w:hyperlink r:id="rId88">
        <w:r>
          <w:rPr>
            <w:rStyle w:val="Hyperlink"/>
          </w:rPr>
          <w:t xml:space="preserve">https://doi.org/10.1007/s11739-016-1583-7</w:t>
        </w:r>
      </w:hyperlink>
      <w:r>
        <w:t xml:space="preserve">.</w:t>
      </w:r>
    </w:p>
    <w:bookmarkEnd w:id="89"/>
    <w:bookmarkStart w:id="91" w:name="ref-shaw2020crown"/>
    <w:p>
      <w:pPr>
        <w:pStyle w:val="Bibliography"/>
      </w:pPr>
      <w:r>
        <w:t xml:space="preserve">Shaw, Alice T., Todd M. Bauer, Filippo de Marinis, et al.</w:t>
      </w:r>
      <w:r>
        <w:t xml:space="preserve"> 2020.</w:t>
      </w:r>
      <w:r>
        <w:t xml:space="preserve"> </w:t>
      </w:r>
      <w:r>
        <w:t xml:space="preserve">“First-Line Lorlatinib or Crizotinib in Advanced</w:t>
      </w:r>
      <w:r>
        <w:t xml:space="preserve"> </w:t>
      </w:r>
      <w:r>
        <w:t xml:space="preserve">ALK-positive</w:t>
      </w:r>
      <w:r>
        <w:t xml:space="preserve"> </w:t>
      </w:r>
      <w:r>
        <w:t xml:space="preserve">Lung Cancer (</w:t>
      </w:r>
      <w:r>
        <w:t xml:space="preserve">CROWN</w:t>
      </w:r>
      <w:r>
        <w:t xml:space="preserve">).”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 </w:t>
      </w:r>
      <w:r>
        <w:t xml:space="preserve">383 (21): 2018–29.</w:t>
      </w:r>
      <w:r>
        <w:t xml:space="preserve"> </w:t>
      </w:r>
      <w:hyperlink r:id="rId90">
        <w:r>
          <w:rPr>
            <w:rStyle w:val="Hyperlink"/>
          </w:rPr>
          <w:t xml:space="preserve">https://doi.org/10.1056/NEJMoa2027187</w:t>
        </w:r>
      </w:hyperlink>
      <w:r>
        <w:t xml:space="preserve">.</w:t>
      </w:r>
    </w:p>
    <w:bookmarkEnd w:id="91"/>
    <w:bookmarkStart w:id="93" w:name="ref-solomon2014profile1014"/>
    <w:p>
      <w:pPr>
        <w:pStyle w:val="Bibliography"/>
      </w:pPr>
      <w:r>
        <w:t xml:space="preserve">Solomon, Benjamin J., Tony Mok, Dong-Wan Kim, et al.</w:t>
      </w:r>
      <w:r>
        <w:t xml:space="preserve"> 2014.</w:t>
      </w:r>
      <w:r>
        <w:t xml:space="preserve"> </w:t>
      </w:r>
      <w:r>
        <w:t xml:space="preserve">“First-Line Crizotinib Versus Chemotherapy in</w:t>
      </w:r>
      <w:r>
        <w:t xml:space="preserve"> </w:t>
      </w:r>
      <w:r>
        <w:t xml:space="preserve">ALK-positive</w:t>
      </w:r>
      <w:r>
        <w:t xml:space="preserve"> </w:t>
      </w:r>
      <w:r>
        <w:t xml:space="preserve">Lung Cancer (</w:t>
      </w:r>
      <w:r>
        <w:t xml:space="preserve">PROFILE 1014</w:t>
      </w:r>
      <w:r>
        <w:t xml:space="preserve">).”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 </w:t>
      </w:r>
      <w:r>
        <w:t xml:space="preserve">371 (23): 2167–77.</w:t>
      </w:r>
      <w:r>
        <w:t xml:space="preserve"> </w:t>
      </w:r>
      <w:hyperlink r:id="rId92">
        <w:r>
          <w:rPr>
            <w:rStyle w:val="Hyperlink"/>
          </w:rPr>
          <w:t xml:space="preserve">https://doi.org/10.1056/NEJMoa1408440</w:t>
        </w:r>
      </w:hyperlink>
      <w:r>
        <w:t xml:space="preserve">.</w:t>
      </w:r>
    </w:p>
    <w:bookmarkEnd w:id="93"/>
    <w:bookmarkStart w:id="95" w:name="ref-soria2018flaura"/>
    <w:p>
      <w:pPr>
        <w:pStyle w:val="Bibliography"/>
      </w:pPr>
      <w:r>
        <w:t xml:space="preserve">Soria, Jean-Charles, Yuichiro Ohe, Johan Vansteenkiste, et al.</w:t>
      </w:r>
      <w:r>
        <w:t xml:space="preserve"> 2018.</w:t>
      </w:r>
      <w:r>
        <w:t xml:space="preserve"> </w:t>
      </w:r>
      <w:r>
        <w:t xml:space="preserve">“Osimertinib in Untreated</w:t>
      </w:r>
      <w:r>
        <w:t xml:space="preserve"> </w:t>
      </w:r>
      <w:r>
        <w:t xml:space="preserve">EGFR-mutated</w:t>
      </w:r>
      <w:r>
        <w:t xml:space="preserve"> </w:t>
      </w:r>
      <w:r>
        <w:t xml:space="preserve">Advanced Non-Small-Cell Lung Cancer.”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 </w:t>
      </w:r>
      <w:r>
        <w:t xml:space="preserve">378 (2): 113–25.</w:t>
      </w:r>
      <w:r>
        <w:t xml:space="preserve"> </w:t>
      </w:r>
      <w:hyperlink r:id="rId94">
        <w:r>
          <w:rPr>
            <w:rStyle w:val="Hyperlink"/>
          </w:rPr>
          <w:t xml:space="preserve">https://doi.org/10.1056/NEJMoa1713137</w:t>
        </w:r>
      </w:hyperlink>
      <w:r>
        <w:t xml:space="preserve">.</w:t>
      </w:r>
    </w:p>
    <w:bookmarkEnd w:id="95"/>
    <w:bookmarkStart w:id="96" w:name="ref-viera2005"/>
    <w:p>
      <w:pPr>
        <w:pStyle w:val="Bibliography"/>
      </w:pPr>
      <w:r>
        <w:t xml:space="preserve">Viera, Anthony J., and Joanne M. Garrett. 2005.</w:t>
      </w:r>
      <w:r>
        <w:t xml:space="preserve"> </w:t>
      </w:r>
      <w:r>
        <w:t xml:space="preserve">“Understanding Interobserver Agreement: The Kappa Statistic.”</w:t>
      </w:r>
      <w:r>
        <w:t xml:space="preserve"> </w:t>
      </w:r>
      <w:r>
        <w:rPr>
          <w:i/>
          <w:iCs/>
        </w:rPr>
        <w:t xml:space="preserve">Family Medicine</w:t>
      </w:r>
      <w:r>
        <w:t xml:space="preserve"> </w:t>
      </w:r>
      <w:r>
        <w:t xml:space="preserve">37 (5): 360–63.</w:t>
      </w:r>
    </w:p>
    <w:bookmarkEnd w:id="96"/>
    <w:bookmarkStart w:id="98" w:name="ref-wu2017archer1050"/>
    <w:p>
      <w:pPr>
        <w:pStyle w:val="Bibliography"/>
      </w:pPr>
      <w:r>
        <w:t xml:space="preserve">Wu, Yi-Long, Ying Cheng, Xiangdong Zhou, et al.</w:t>
      </w:r>
      <w:r>
        <w:t xml:space="preserve"> 2017.</w:t>
      </w:r>
      <w:r>
        <w:t xml:space="preserve"> </w:t>
      </w:r>
      <w:r>
        <w:t xml:space="preserve">“Dacomitinib Versus Gefitinib as First-Line Treatment for Patients with</w:t>
      </w:r>
      <w:r>
        <w:t xml:space="preserve"> </w:t>
      </w:r>
      <w:r>
        <w:t xml:space="preserve">EGFR-mutation-positive</w:t>
      </w:r>
      <w:r>
        <w:t xml:space="preserve"> </w:t>
      </w:r>
      <w:r>
        <w:t xml:space="preserve">Non-Small-Cell Lung Cancer (</w:t>
      </w:r>
      <w:r>
        <w:t xml:space="preserve">ARCHER 1050</w:t>
      </w:r>
      <w:r>
        <w:t xml:space="preserve">).”</w:t>
      </w:r>
      <w:r>
        <w:t xml:space="preserve"> </w:t>
      </w:r>
      <w:r>
        <w:rPr>
          <w:i/>
          <w:iCs/>
        </w:rPr>
        <w:t xml:space="preserve">The Lancet Oncology</w:t>
      </w:r>
      <w:r>
        <w:t xml:space="preserve"> </w:t>
      </w:r>
      <w:r>
        <w:t xml:space="preserve">18 (11): 1454–66.</w:t>
      </w:r>
      <w:r>
        <w:t xml:space="preserve"> </w:t>
      </w:r>
      <w:hyperlink r:id="rId97">
        <w:r>
          <w:rPr>
            <w:rStyle w:val="Hyperlink"/>
          </w:rPr>
          <w:t xml:space="preserve">https://doi.org/10.1016/S1470-2045(17)30608-3</w:t>
        </w:r>
      </w:hyperlink>
      <w:r>
        <w:t xml:space="preserve">.</w:t>
      </w:r>
    </w:p>
    <w:bookmarkEnd w:id="98"/>
    <w:bookmarkStart w:id="100" w:name="ref-yu2024herthena"/>
    <w:p>
      <w:pPr>
        <w:pStyle w:val="Bibliography"/>
      </w:pPr>
      <w:r>
        <w:t xml:space="preserve">Yu, Helena A., Yasushi Goto, Hidetoshi Hayashi, et al.</w:t>
      </w:r>
      <w:r>
        <w:t xml:space="preserve"> 2023.</w:t>
      </w:r>
      <w:r>
        <w:t xml:space="preserve"> </w:t>
      </w:r>
      <w:r>
        <w:t xml:space="preserve">“</w:t>
      </w:r>
      <w:r>
        <w:t xml:space="preserve">HERTHENA-Lung01</w:t>
      </w:r>
      <w:r>
        <w:t xml:space="preserve">: A Phase 2 Trial of Patritumab Deruxtecan in</w:t>
      </w:r>
      <w:r>
        <w:t xml:space="preserve"> </w:t>
      </w:r>
      <w:r>
        <w:t xml:space="preserve">EGFR-mutated</w:t>
      </w:r>
      <w:r>
        <w:t xml:space="preserve"> </w:t>
      </w:r>
      <w:r>
        <w:t xml:space="preserve">NSCLC</w:t>
      </w:r>
      <w:r>
        <w:t xml:space="preserve"> </w:t>
      </w:r>
      <w:r>
        <w:t xml:space="preserve">After</w:t>
      </w:r>
      <w:r>
        <w:t xml:space="preserve"> </w:t>
      </w:r>
      <w:r>
        <w:t xml:space="preserve">EGFR-TKI</w:t>
      </w:r>
      <w:r>
        <w:t xml:space="preserve">.”</w:t>
      </w:r>
      <w:r>
        <w:t xml:space="preserve"> </w:t>
      </w:r>
      <w:r>
        <w:rPr>
          <w:i/>
          <w:iCs/>
        </w:rPr>
        <w:t xml:space="preserve">Journal of Clinical Oncology</w:t>
      </w:r>
      <w:r>
        <w:t xml:space="preserve"> </w:t>
      </w:r>
      <w:r>
        <w:t xml:space="preserve">41 (35): 5363–75.</w:t>
      </w:r>
      <w:r>
        <w:t xml:space="preserve"> </w:t>
      </w:r>
      <w:hyperlink r:id="rId99">
        <w:r>
          <w:rPr>
            <w:rStyle w:val="Hyperlink"/>
          </w:rPr>
          <w:t xml:space="preserve">https://doi.org/10.1200/JCO.23.01476</w:t>
        </w:r>
      </w:hyperlink>
      <w:r>
        <w:t xml:space="preserve">.</w:t>
      </w:r>
    </w:p>
    <w:bookmarkEnd w:id="100"/>
    <w:bookmarkStart w:id="101" w:name="ref-zhou2024papillon"/>
    <w:p>
      <w:pPr>
        <w:pStyle w:val="Bibliography"/>
      </w:pPr>
      <w:r>
        <w:t xml:space="preserve">Zhou, Caicun, Ke-Jun Tang, Byoung Chul Cho, et al.</w:t>
      </w:r>
      <w:r>
        <w:t xml:space="preserve"> 2024.</w:t>
      </w:r>
      <w:r>
        <w:t xml:space="preserve"> </w:t>
      </w:r>
      <w:r>
        <w:t xml:space="preserve">“Amivantamab Plus Chemotherapy in</w:t>
      </w:r>
      <w:r>
        <w:t xml:space="preserve"> </w:t>
      </w:r>
      <w:r>
        <w:t xml:space="preserve">NSCLC</w:t>
      </w:r>
      <w:r>
        <w:t xml:space="preserve"> </w:t>
      </w:r>
      <w:r>
        <w:t xml:space="preserve">with</w:t>
      </w:r>
      <w:r>
        <w:t xml:space="preserve"> </w:t>
      </w:r>
      <w:r>
        <w:t xml:space="preserve">EGFR exon 20 insertions (</w:t>
      </w:r>
      <w:r>
        <w:t xml:space="preserve">PAPILLON</w:t>
      </w:r>
      <w:r>
        <w:t xml:space="preserve">)</w:t>
      </w:r>
      <w:r>
        <w:t xml:space="preserve">.”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 </w:t>
      </w:r>
      <w:r>
        <w:t xml:space="preserve">390 (21): 1965–75.</w:t>
      </w:r>
      <w:r>
        <w:t xml:space="preserve"> </w:t>
      </w:r>
      <w:hyperlink r:id="rId53">
        <w:r>
          <w:rPr>
            <w:rStyle w:val="Hyperlink"/>
          </w:rPr>
          <w:t xml:space="preserve">https://doi.org/10.1056/NEJMoa2403614</w:t>
        </w:r>
      </w:hyperlink>
      <w:r>
        <w:t xml:space="preserve">.</w:t>
      </w:r>
    </w:p>
    <w:bookmarkEnd w:id="101"/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df" /><Relationship Type="http://schemas.openxmlformats.org/officeDocument/2006/relationships/image" Id="rId28" Target="media/rId28.pdf" /><Relationship Type="http://schemas.openxmlformats.org/officeDocument/2006/relationships/image" Id="rId21" Target="media/rId21.pdf" /><Relationship Type="http://schemas.openxmlformats.org/officeDocument/2006/relationships/hyperlink" Id="rId88" Target="https://doi.org/10.1007/s11739-016-1583-7" TargetMode="External" /><Relationship Type="http://schemas.openxmlformats.org/officeDocument/2006/relationships/hyperlink" Id="rId49" Target="https://doi.org/10.1016/0895-4356(93)90018-V" TargetMode="External" /><Relationship Type="http://schemas.openxmlformats.org/officeDocument/2006/relationships/hyperlink" Id="rId97" Target="https://doi.org/10.1016/S1470-2045(17)30608-3" TargetMode="External" /><Relationship Type="http://schemas.openxmlformats.org/officeDocument/2006/relationships/hyperlink" Id="rId72" Target="https://doi.org/10.1016/j.annonc.2022.12.009" TargetMode="External" /><Relationship Type="http://schemas.openxmlformats.org/officeDocument/2006/relationships/hyperlink" Id="rId84" Target="https://doi.org/10.1016/j.annonc.2023.10.117" TargetMode="External" /><Relationship Type="http://schemas.openxmlformats.org/officeDocument/2006/relationships/hyperlink" Id="rId63" Target="https://doi.org/10.1016/j.annonc.2024.04.005" TargetMode="External" /><Relationship Type="http://schemas.openxmlformats.org/officeDocument/2006/relationships/hyperlink" Id="rId80" Target="https://doi.org/10.1038/s41562-016-0021" TargetMode="External" /><Relationship Type="http://schemas.openxmlformats.org/officeDocument/2006/relationships/hyperlink" Id="rId92" Target="https://doi.org/10.1056/NEJMoa1408440" TargetMode="External" /><Relationship Type="http://schemas.openxmlformats.org/officeDocument/2006/relationships/hyperlink" Id="rId78" Target="https://doi.org/10.1056/NEJMoa1612674" TargetMode="External" /><Relationship Type="http://schemas.openxmlformats.org/officeDocument/2006/relationships/hyperlink" Id="rId86" Target="https://doi.org/10.1056/NEJMoa1704795" TargetMode="External" /><Relationship Type="http://schemas.openxmlformats.org/officeDocument/2006/relationships/hyperlink" Id="rId94" Target="https://doi.org/10.1056/NEJMoa1713137" TargetMode="External" /><Relationship Type="http://schemas.openxmlformats.org/officeDocument/2006/relationships/hyperlink" Id="rId51" Target="https://doi.org/10.1056/NEJMoa1810171" TargetMode="External" /><Relationship Type="http://schemas.openxmlformats.org/officeDocument/2006/relationships/hyperlink" Id="rId90" Target="https://doi.org/10.1056/NEJMoa2027187" TargetMode="External" /><Relationship Type="http://schemas.openxmlformats.org/officeDocument/2006/relationships/hyperlink" Id="rId74" Target="https://doi.org/10.1056/NEJMoa2306434" TargetMode="External" /><Relationship Type="http://schemas.openxmlformats.org/officeDocument/2006/relationships/hyperlink" Id="rId53" Target="https://doi.org/10.1056/NEJMoa2403614" TargetMode="External" /><Relationship Type="http://schemas.openxmlformats.org/officeDocument/2006/relationships/hyperlink" Id="rId76" Target="https://doi.org/10.1093/annonc/mdy263" TargetMode="External" /><Relationship Type="http://schemas.openxmlformats.org/officeDocument/2006/relationships/hyperlink" Id="rId55" Target="https://doi.org/10.1093/biomet/26.4.404" TargetMode="External" /><Relationship Type="http://schemas.openxmlformats.org/officeDocument/2006/relationships/hyperlink" Id="rId69" Target="https://doi.org/10.1136/bmj.39489.470347.AD" TargetMode="External" /><Relationship Type="http://schemas.openxmlformats.org/officeDocument/2006/relationships/hyperlink" Id="rId82" Target="https://doi.org/10.1136/bmj.n71" TargetMode="External" /><Relationship Type="http://schemas.openxmlformats.org/officeDocument/2006/relationships/hyperlink" Id="rId57" Target="https://doi.org/10.1177/001316446002000104" TargetMode="External" /><Relationship Type="http://schemas.openxmlformats.org/officeDocument/2006/relationships/hyperlink" Id="rId65" Target="https://doi.org/10.1200/JCO.22.00069" TargetMode="External" /><Relationship Type="http://schemas.openxmlformats.org/officeDocument/2006/relationships/hyperlink" Id="rId99" Target="https://doi.org/10.1200/JCO.23.01476" TargetMode="External" /><Relationship Type="http://schemas.openxmlformats.org/officeDocument/2006/relationships/hyperlink" Id="rId47" Target="https://doi.org/10.1200/JCO.24.00305" TargetMode="External" /><Relationship Type="http://schemas.openxmlformats.org/officeDocument/2006/relationships/hyperlink" Id="rId59" Target="https://doi.org/10.1214/aos/1176344552" TargetMode="External" /><Relationship Type="http://schemas.openxmlformats.org/officeDocument/2006/relationships/hyperlink" Id="rId61" Target="https://doi.org/10.6004/jnccn.2024.0023" TargetMode="External" /><Relationship Type="http://schemas.openxmlformats.org/officeDocument/2006/relationships/hyperlink" Id="rId67" Target="https://doi.org/10.6004/jnccn.2024.0035" TargetMode="External" /><Relationship Type="http://schemas.openxmlformats.org/officeDocument/2006/relationships/hyperlink" Id="rId43" Target="https://github.com/htlin/mbc-evidence-dag-pap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https://doi.org/10.1007/s11739-016-1583-7" TargetMode="External" /><Relationship Type="http://schemas.openxmlformats.org/officeDocument/2006/relationships/hyperlink" Id="rId49" Target="https://doi.org/10.1016/0895-4356(93)90018-V" TargetMode="External" /><Relationship Type="http://schemas.openxmlformats.org/officeDocument/2006/relationships/hyperlink" Id="rId97" Target="https://doi.org/10.1016/S1470-2045(17)30608-3" TargetMode="External" /><Relationship Type="http://schemas.openxmlformats.org/officeDocument/2006/relationships/hyperlink" Id="rId72" Target="https://doi.org/10.1016/j.annonc.2022.12.009" TargetMode="External" /><Relationship Type="http://schemas.openxmlformats.org/officeDocument/2006/relationships/hyperlink" Id="rId84" Target="https://doi.org/10.1016/j.annonc.2023.10.117" TargetMode="External" /><Relationship Type="http://schemas.openxmlformats.org/officeDocument/2006/relationships/hyperlink" Id="rId63" Target="https://doi.org/10.1016/j.annonc.2024.04.005" TargetMode="External" /><Relationship Type="http://schemas.openxmlformats.org/officeDocument/2006/relationships/hyperlink" Id="rId80" Target="https://doi.org/10.1038/s41562-016-0021" TargetMode="External" /><Relationship Type="http://schemas.openxmlformats.org/officeDocument/2006/relationships/hyperlink" Id="rId92" Target="https://doi.org/10.1056/NEJMoa1408440" TargetMode="External" /><Relationship Type="http://schemas.openxmlformats.org/officeDocument/2006/relationships/hyperlink" Id="rId78" Target="https://doi.org/10.1056/NEJMoa1612674" TargetMode="External" /><Relationship Type="http://schemas.openxmlformats.org/officeDocument/2006/relationships/hyperlink" Id="rId86" Target="https://doi.org/10.1056/NEJMoa1704795" TargetMode="External" /><Relationship Type="http://schemas.openxmlformats.org/officeDocument/2006/relationships/hyperlink" Id="rId94" Target="https://doi.org/10.1056/NEJMoa1713137" TargetMode="External" /><Relationship Type="http://schemas.openxmlformats.org/officeDocument/2006/relationships/hyperlink" Id="rId51" Target="https://doi.org/10.1056/NEJMoa1810171" TargetMode="External" /><Relationship Type="http://schemas.openxmlformats.org/officeDocument/2006/relationships/hyperlink" Id="rId90" Target="https://doi.org/10.1056/NEJMoa2027187" TargetMode="External" /><Relationship Type="http://schemas.openxmlformats.org/officeDocument/2006/relationships/hyperlink" Id="rId74" Target="https://doi.org/10.1056/NEJMoa2306434" TargetMode="External" /><Relationship Type="http://schemas.openxmlformats.org/officeDocument/2006/relationships/hyperlink" Id="rId53" Target="https://doi.org/10.1056/NEJMoa2403614" TargetMode="External" /><Relationship Type="http://schemas.openxmlformats.org/officeDocument/2006/relationships/hyperlink" Id="rId76" Target="https://doi.org/10.1093/annonc/mdy263" TargetMode="External" /><Relationship Type="http://schemas.openxmlformats.org/officeDocument/2006/relationships/hyperlink" Id="rId55" Target="https://doi.org/10.1093/biomet/26.4.404" TargetMode="External" /><Relationship Type="http://schemas.openxmlformats.org/officeDocument/2006/relationships/hyperlink" Id="rId69" Target="https://doi.org/10.1136/bmj.39489.470347.AD" TargetMode="External" /><Relationship Type="http://schemas.openxmlformats.org/officeDocument/2006/relationships/hyperlink" Id="rId82" Target="https://doi.org/10.1136/bmj.n71" TargetMode="External" /><Relationship Type="http://schemas.openxmlformats.org/officeDocument/2006/relationships/hyperlink" Id="rId57" Target="https://doi.org/10.1177/001316446002000104" TargetMode="External" /><Relationship Type="http://schemas.openxmlformats.org/officeDocument/2006/relationships/hyperlink" Id="rId65" Target="https://doi.org/10.1200/JCO.22.00069" TargetMode="External" /><Relationship Type="http://schemas.openxmlformats.org/officeDocument/2006/relationships/hyperlink" Id="rId99" Target="https://doi.org/10.1200/JCO.23.01476" TargetMode="External" /><Relationship Type="http://schemas.openxmlformats.org/officeDocument/2006/relationships/hyperlink" Id="rId47" Target="https://doi.org/10.1200/JCO.24.00305" TargetMode="External" /><Relationship Type="http://schemas.openxmlformats.org/officeDocument/2006/relationships/hyperlink" Id="rId59" Target="https://doi.org/10.1214/aos/1176344552" TargetMode="External" /><Relationship Type="http://schemas.openxmlformats.org/officeDocument/2006/relationships/hyperlink" Id="rId61" Target="https://doi.org/10.6004/jnccn.2024.0023" TargetMode="External" /><Relationship Type="http://schemas.openxmlformats.org/officeDocument/2006/relationships/hyperlink" Id="rId67" Target="https://doi.org/10.6004/jnccn.2024.0035" TargetMode="External" /><Relationship Type="http://schemas.openxmlformats.org/officeDocument/2006/relationships/hyperlink" Id="rId43" Target="https://github.com/htlin/mbc-evidence-dag-pap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Evidence-Free Decision Points in Biomarker-Driven Metastatic Cancer Guidelines: A Pre-Registered Multi-Tumor Audit of ESMO, ASCO, and NCCN Decision Trees in HR+/HER2- Breast Cancer and EGFR/ALK Non-Small-Cell Lung Cancer</dc:title>
  <dc:creator>H.-T. Lin</dc:creator>
  <cp:keywords/>
  <dcterms:created xsi:type="dcterms:W3CDTF">2026-05-16T05:44:53Z</dcterms:created>
  <dcterms:modified xsi:type="dcterms:W3CDTF">2026-05-16T05:44:53Z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Purpose.  Guidelines for biomarker-driven metastatic cancers compose treatment recommendations across non-overlapping pivotal trials. The structural concordance between these decision trees and the underlying trial evidence has not been quantified at multi-tumor scale. Methods.  We applied a pre-registered graph-theoretic framework to two biomarker-driven mBC subtypes (HR+/HER2-) and NSCLC subtypes (EGFR-mutant, ALK-rearranged), using systematic ClinicalTrials.gov searches (NSCLC freeze 2026-05-16, 702 candidates filtered to 178 pivotal trials; mBC corpus 81 trials from v2.0.0). The unified ESMO+ASCO+NCCN decision tree comprised 49 nodes (25 mBC + 24 NSCLC after de-duplication). The evidence-free decision-point ratio (EFDPR) is the fraction of guideline nodes with no trial edge satisfying state-superset, biomarker-concordance (with biomarker tokens of the trial being a superset of the guideline tokens), drug-class, and temporal-precedence criteria; the pre-registered primary test is the one-sided exact binomial test of H_0: \mathrm{EFDPR} \le 0.25. Results.  Under strict concordance the pooled EFDPR was 0.39 (19/49; Clopper-Pearson 95% CI 0.25–0.54; bootstrap CI 0.25–0.53); the pre-registered exact-binomial test rejected H_0 at \alpha = 0.05 (P = 0.023). ESCAT-aligned and liberal tolerance gave 0.35 (P = 0.084, marginal non-rejection), indicating tolerance sensitivity that we report as pre-registered. Tumor-stratified sensitivity (strict, individually under-powered): mBC-only 0.40 (P = 0.07); NSCLC-only 0.38 (P = 0.12); NSCLC EGFR-only 0.41 (P = 0.11); NSCLC ALK-only 0.29 (P = 0.56). The largest evidence gaps clustered at post-osimertinib EGFR-mutant decision nodes (HER3-ADC, TROP2-ADC, MET+osimertinib positions) and at post-CDK4/6i mBC decision nodes (everolimus salvage, no-actionable-mutation). Conclusion.  At the unified ESMO+ASCO+NCCN scale across two biomarker-driven solid tumors, the pre-registered exact-binomial test rejected H_0 at the pooled denominator (P = 0.023) but not at any single-tumor or biomarker-subset denominator. Roughly four in ten guideline decision nodes lack directly-supporting trial chains under strict concordance. Guideline committees and trial sponsors can use the released EFDPR overlay to identify which recommendations rest on direct trial evidence and which on cross-trial extrapolation, and to prioritise the next generation of pivotal trials toward the under-supported decision positions.</vt:lpwstr>
  </property>
  <property fmtid="{D5CDD505-2E9C-101B-9397-08002B2CF9AE}" pid="3" name="bibliography">
    <vt:lpwstr>references.bib</vt:lpwstr>
  </property>
  <property fmtid="{D5CDD505-2E9C-101B-9397-08002B2CF9AE}" pid="4" name="date">
    <vt:lpwstr>2026-05-16</vt:lpwstr>
  </property>
</Properties>
</file>