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df" ContentType="application/pdf"/>
  <Override PartName="/word/media/rId25.pdf" ContentType="application/pdf"/>
  <Override PartName="/word/media/rId31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A Computable Map of Treatment-Sequencing Evidence in HR+/HER2- Metastatic Breast Cancer:</w:t>
      </w:r>
      <w:r>
        <w:rPr>
          <w:b/>
          <w:bCs/>
        </w:rPr>
        <w:t xml:space="preserve"> </w:t>
      </w:r>
      <w:r>
        <w:rPr>
          <w:b/>
          <w:bCs/>
        </w:rPr>
        <w:t xml:space="preserve">A Graph-Theoretic Pilot Comparing Trial Chains with the ESMO Guideline Decision Tree</w:t>
      </w:r>
    </w:p>
    <w:p>
      <w:pPr>
        <w:pStyle w:val="Author"/>
      </w:pPr>
      <w:r>
        <w:t xml:space="preserve">Hsieh-Ting Lin</w:t>
      </w:r>
    </w:p>
    <w:p>
      <w:pPr>
        <w:pStyle w:val="Date"/>
      </w:pPr>
      <w:r>
        <w:t xml:space="preserve">2026-05-17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Purpose.</w:t>
      </w:r>
      <w:r>
        <w:t xml:space="preserve">  HR+/HER2- metastatic breast cancer (mBC) guidelines compose multi-line treatment recommendations across non-overlapping pivotal trials, but the structural concordance between guideline decision trees and the underlying trial evidence has not been quantified. We introduce a graph-theoretic framework that makes this concordance computable and apply it to the ESMO 2024 update.</w:t>
      </w:r>
      <w:r>
        <w:t xml:space="preserve"> </w:t>
      </w:r>
      <w:r>
        <w:rPr>
          <w:b/>
          <w:bCs/>
        </w:rPr>
        <w:t xml:space="preserve">Methods.</w:t>
      </w:r>
      <w:r>
        <w:t xml:space="preserve">  We retrieved 16 trials in total — 15 pivotal phase 2/3 HR+/HER2- mBC trials and one PARP-inhibitor reference trial for the gBRCAm decision node — from ClinicalTrials.gov v2 (freeze 2026-05-16) and structured each trial’s eligibility into a frozen JSON schema by hand-curated extraction from canonical primary publications. The corpus was represented as a directed graph whose (prior-state, biomarker) nodes are shared with a parallel 16-node encoding of the ESMO HR+/HER2- decision tree. The evidence-free decision-point ratio (EFDPR) is the fraction of guideline nodes with no trial edge satisfying state-superset, biomarker-concordance, drug-class, and temporal-precedence criteria, reported under three pre-registered tolerance levels (strict, ESCAT-aligned, liberal). The pre-registered primary test was a one-sided exact 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; Clopper-Pearson and bootstrap-percentile 95% CIs accompany each estimate.</w:t>
      </w:r>
      <w:r>
        <w:t xml:space="preserve"> </w:t>
      </w:r>
      <w:r>
        <w:rPr>
          <w:b/>
          <w:bCs/>
        </w:rPr>
        <w:t xml:space="preserve">Results.</w:t>
      </w:r>
      <w:r>
        <w:t xml:space="preserve">  Under strict and ESCAT-aligned concordance the EFDPR was 0.31 (5/16; Clopper-Pearson 95% CI 0.11–0.59); liberal tolerance gave 0.19 (3/16; CI 0.04–0.46). The pre-registered exact-binomial test failed to reject the null under all three tolerance levels (strict and ESCAT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; liberal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). Evidence-free nodes under strict concordance clustered at post-CDK4/6i and adjacent biomarker-stratified positions (ESR1mut, AKT-pathway, post-CDK4/6i PIK3CAmut, post-CDK4/6i no-actionable-mutation, and the post-CDK4/6i+post-endo everolimus node). Operationalization discordance was highest for the prior-CDK4/6i inclusion variable (ODI 0.91, bootstrap 95% CI 0.76–1.00; 7 trials).</w:t>
      </w:r>
      <w:r>
        <w:t xml:space="preserve"> </w:t>
      </w:r>
      <w:r>
        <w:rPr>
          <w:b/>
          <w:bCs/>
        </w:rPr>
        <w:t xml:space="preserve">Conclusion.</w:t>
      </w:r>
      <w:r>
        <w:t xml:space="preserve">  In this pre-registered 16-trial pilot the EFDPR point estimate modestly exceeded 0.25 but the pre-registered exact-binomial test did not reject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; the result is best read as descriptive evidence of composition-across-non-overlapping-trials in post-CDK4/6i biomarker-stratified positions, with confirmatory testing deferred to a systematic-review-scale extension. The framework, schema, decision-tree encoding, and code are released under MIT licence.</w:t>
      </w:r>
    </w:p>
    <w:p>
      <w:pPr>
        <w:pStyle w:val="FirstParagraph"/>
      </w:pPr>
      <w:r>
        <w:rPr>
          <w:b/>
          <w:bCs/>
        </w:rPr>
        <w:t xml:space="preserve">Key Objective.</w:t>
      </w:r>
      <w:r>
        <w:t xml:space="preserve"> </w:t>
      </w:r>
      <w:r>
        <w:t xml:space="preserve"> </w:t>
      </w:r>
      <w:r>
        <w:t xml:space="preserve">To make computable, with a reproducible pipeline, where ESMO HR+/HER2- metastatic breast cancer guideline recommendations lack directly supporting trial evidence chains.</w:t>
      </w:r>
    </w:p>
    <w:p>
      <w:pPr>
        <w:pStyle w:val="BodyText"/>
      </w:pPr>
      <w:r>
        <w:rPr>
          <w:b/>
          <w:bCs/>
        </w:rPr>
        <w:t xml:space="preserve">Knowledge Generated.</w:t>
      </w:r>
      <w:r>
        <w:t xml:space="preserve"> </w:t>
      </w:r>
      <w:r>
        <w:t xml:space="preserve"> </w:t>
      </w:r>
      <w:r>
        <w:t xml:space="preserve">A graph-theoretic framework that places trial corpora and guideline trees on the same (state, biomarker) node space and computes an evidence-free decision-point ratio (EFDPR). In a 16-trial pilot, strict EFDPR was 0.31 (Clopper-Pearson 95% CI 0.11–0.59); the pre-registered exact-binomial test did not reject (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). Evidence-free nodes clustered at post-CDK4/6i biomarker-stratified positions.</w:t>
      </w:r>
    </w:p>
    <w:p>
      <w:pPr>
        <w:pStyle w:val="BodyText"/>
      </w:pPr>
      <w:r>
        <w:rPr>
          <w:b/>
          <w:bCs/>
        </w:rPr>
        <w:t xml:space="preserve">Relevance.</w:t>
      </w:r>
      <w:r>
        <w:t xml:space="preserve"> </w:t>
      </w:r>
      <w:r>
        <w:t xml:space="preserve"> </w:t>
      </w:r>
      <w:r>
        <w:t xml:space="preserve">Guideline committees and trial sponsors can adopt the EFDPR overlay as a guideline-update audit, and target the next pivotal-trial agenda toward the decision nodes that current evidence chains do not cover.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metastatic breast cancer; clinical guidelines; evidence synthesis; directed acyclic graph; computational meta-research; CDK4/6 inhibitor.</w:t>
      </w: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Over the past decade the HR+/HER2-negative metastatic breast cancer (mBC) treatment landscape has expanded from a small number of endocrine and chemotherapeutic options to more than fifteen approved systemic regimens, including CDK4/6 inhibitors, selective estrogen receptor degraders, PI3K/AKT-pathway inhibitors, and HER2-low targeted antibody-drug conjugates.</w:t>
      </w:r>
      <w:r>
        <w:t xml:space="preserve">(Gennari et al. 2024;</w:t>
      </w:r>
      <w:r>
        <w:t xml:space="preserve"> </w:t>
      </w:r>
      <w:r>
        <w:t xml:space="preserve">Gradishar et al.</w:t>
      </w:r>
      <w:r>
        <w:t xml:space="preserve"> </w:t>
      </w:r>
      <w:r>
        <w:t xml:space="preserve">2024;</w:t>
      </w:r>
      <w:r>
        <w:t xml:space="preserve"> </w:t>
      </w:r>
      <w:r>
        <w:t xml:space="preserve">Giordano et al.</w:t>
      </w:r>
      <w:r>
        <w:t xml:space="preserve"> </w:t>
      </w:r>
      <w:r>
        <w:t xml:space="preserve">2022)</w:t>
      </w:r>
      <w:r>
        <w:t xml:space="preserve"> </w:t>
      </w:r>
      <w:r>
        <w:t xml:space="preserve">Most of these agents were approved on the basis of pivotal trials that fix a single point in the multi-line treatment trajectory — typically post-endocrine and post-CDK4/6i second- or third-line — without head-to-head testing against the other agents that are simultaneously approved for closely overlapping populations.</w:t>
      </w:r>
    </w:p>
    <w:p>
      <w:pPr>
        <w:pStyle w:val="BodyText"/>
      </w:pPr>
      <w:r>
        <w:t xml:space="preserve">Major clinical guidelines (ESMO, ASCO, NCCN) accommodate this fragmentation by composing decision trees in which adjacent recommendations are drawn from distinct, non-overlapping pivotal trials.</w:t>
      </w:r>
      <w:r>
        <w:t xml:space="preserve">(Gennari et al. 2024;</w:t>
      </w:r>
      <w:r>
        <w:t xml:space="preserve"> </w:t>
      </w:r>
      <w:r>
        <w:t xml:space="preserve">Giordano et al.</w:t>
      </w:r>
      <w:r>
        <w:t xml:space="preserve"> </w:t>
      </w:r>
      <w:r>
        <w:t xml:space="preserve">2022;</w:t>
      </w:r>
      <w:r>
        <w:t xml:space="preserve"> </w:t>
      </w:r>
      <w:r>
        <w:t xml:space="preserve">Gradishar et al.</w:t>
      </w:r>
      <w:r>
        <w:t xml:space="preserve"> </w:t>
      </w:r>
      <w:r>
        <w:t xml:space="preserve">2024)</w:t>
      </w:r>
      <w:r>
        <w:t xml:space="preserve"> </w:t>
      </w:r>
      <w:r>
        <w:t xml:space="preserve">The legitimacy of these compositions has been argued narratively</w:t>
      </w:r>
      <w:r>
        <w:t xml:space="preserve">(</w:t>
      </w:r>
      <w:r>
        <w:t xml:space="preserve">Turner et al.</w:t>
      </w:r>
      <w:r>
        <w:t xml:space="preserve"> </w:t>
      </w:r>
      <w:r>
        <w:t xml:space="preserve">2023;</w:t>
      </w:r>
      <w:r>
        <w:t xml:space="preserve"> </w:t>
      </w:r>
      <w:r>
        <w:t xml:space="preserve">Bardia et al.</w:t>
      </w:r>
      <w:r>
        <w:t xml:space="preserve"> </w:t>
      </w:r>
      <w:r>
        <w:t xml:space="preserve">2024)</w:t>
      </w:r>
      <w:r>
        <w:t xml:space="preserve"> </w:t>
      </w:r>
      <w:r>
        <w:t xml:space="preserve">but has not been measured as a structural property of the trial corpus. As a consequence, neither guideline committees nor trial sponsors have a quantitative answer to a basic question: which guideline-recommended decision nodes are supported by a trial chain that actually traverses them, and which are supported only by composition across non-overlapping trials?</w:t>
      </w:r>
    </w:p>
    <w:p>
      <w:pPr>
        <w:pStyle w:val="BodyText"/>
      </w:pPr>
      <w:r>
        <w:t xml:space="preserve">We address this gap by introducing a graph-theoretic representation in which the pivotal-trial corpus and the guideline decision tree share a common node space defined by (prior-treatment-state, biomarker-profile) tuples. Each pivotal trial becomes a directed edge between nodes; each guideline recommendation becomes a labelled node-to-treatment mapping. With both objects on the same graph, the proportion of guideline decision nodes that admit no concordant trial edge — the</w:t>
      </w:r>
      <w:r>
        <w:t xml:space="preserve"> </w:t>
      </w:r>
      <w:r>
        <w:rPr>
          <w:i/>
          <w:iCs/>
        </w:rPr>
        <w:t xml:space="preserve">evidence-free decision-point ratio</w:t>
      </w:r>
      <w:r>
        <w:t xml:space="preserve"> </w:t>
      </w:r>
      <w:r>
        <w:t xml:space="preserve">(EFDPR) — becomes directly computable. We apply this framework to HR+/HER2- mBC under the ESMO 2024 update, pre-register the primary outcome and its rejection threshold, and release the full pipeline, schema, and decision-tree encoding for reuse.</w:t>
      </w:r>
    </w:p>
    <w:p>
      <w:pPr>
        <w:pStyle w:val="BodyText"/>
      </w:pPr>
      <w:r>
        <w:t xml:space="preserve">Our contributions are: (i) a frozen JSON schema for trial-eligibility structuring across mBC, (ii) a concordance algorithm that jointly enforces patient-state, biomarker-definition, and temporal-precedence criteria, (iii) a pre-registered EFDPR estimate with bootstrap confidence interval for ESMO HR+/HER2- mBC, and (iv) a quantification of operationalization discordance for the biomarker variables most consequential to current guideline recommendations.</w:t>
      </w:r>
    </w:p>
    <w:bookmarkEnd w:id="9"/>
    <w:bookmarkStart w:id="18" w:name="sec:methods"/>
    <w:p>
      <w:pPr>
        <w:pStyle w:val="Heading1"/>
      </w:pPr>
      <w:r>
        <w:t xml:space="preserve">Methods</w:t>
      </w:r>
    </w:p>
    <w:bookmarkStart w:id="10" w:name="data-sources-and-freeze-dates"/>
    <w:p>
      <w:pPr>
        <w:pStyle w:val="Heading2"/>
      </w:pPr>
      <w:r>
        <w:t xml:space="preserve">Data sources and freeze dates</w:t>
      </w:r>
    </w:p>
    <w:p>
      <w:pPr>
        <w:pStyle w:val="FirstParagraph"/>
      </w:pPr>
      <w:r>
        <w:t xml:space="preserve">The pivotal-trial corpus was retrieved from ClinicalTrials.gov via API v2 on 2026-05-16, restricted to phase 2/3 interventional trials with at least one breast-cancer condition tag, HR+ or estrogen-receptor-positive enrolment criteria, HER2-negative or HER2-low enrolment criteria, and a metastatic or advanced-disease indication. The ESMO mBC 2024 update was retrieved through its Annals of Oncology DOI version; the ASCO mBC living guideline was retrieved from open access; NCCN was used only in sensitivity analysis.</w:t>
      </w:r>
    </w:p>
    <w:bookmarkEnd w:id="10"/>
    <w:bookmarkStart w:id="11" w:name="trial-eligibility-structuring"/>
    <w:p>
      <w:pPr>
        <w:pStyle w:val="Heading2"/>
      </w:pPr>
      <w:r>
        <w:t xml:space="preserve">Trial-eligibility structuring</w:t>
      </w:r>
    </w:p>
    <w:p>
      <w:pPr>
        <w:pStyle w:val="FirstParagraph"/>
      </w:pPr>
      <w:r>
        <w:t xml:space="preserve">A frozen JSON schema (v1.0; Supplementary Table S2) captures, for each trial, the required and excluded prior treatments (endocrine, CDK4/6i, chemotherapy lines in the metastatic setting) and the biomarker requirements (HR status, HER2 status with operational definition source, PIK3CA / ESR1 / AKT-pathway / BRCA / HRD status), and where relevant the trial’s registrational biomarker subgroup readouts. For this pilot, eligibility coding was performed by hand-curated assignment from each trial’s canonical primary publication and verified against the ClinicalTrials.gov eligibility text; the per-trial mapping is published as Supplementary Table S2. A production-grade LLM-extraction pipeline with chain-of-thought prompts and inter-rater agreement against this hand-curated set is the subject of a companion methods paper and is not used to generate the present results.</w:t>
      </w:r>
    </w:p>
    <w:bookmarkEnd w:id="11"/>
    <w:bookmarkStart w:id="12" w:name="dag-construction"/>
    <w:p>
      <w:pPr>
        <w:pStyle w:val="Heading2"/>
      </w:pPr>
      <w:r>
        <w:t xml:space="preserve">DAG construction</w:t>
      </w:r>
    </w:p>
    <w:p>
      <w:pPr>
        <w:pStyle w:val="FirstParagraph"/>
      </w:pPr>
      <w:r>
        <w:t xml:space="preserve">Nodes were defined as the canonical hashed concatenation of binary prior-state flags (</w:t>
      </w:r>
      <w:r>
        <w:rPr>
          <w:rStyle w:val="VerbatimChar"/>
        </w:rPr>
        <w:t xml:space="preserve">post-endo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post-CDK46i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post-chemo</w:t>
      </w:r>
      <w:r>
        <w:t xml:space="preserve">) and binary biomarker flags (</w:t>
      </w:r>
      <w:r>
        <w:rPr>
          <w:rStyle w:val="VerbatimChar"/>
        </w:rPr>
        <w:t xml:space="preserve">HR+/HER2-</w:t>
      </w:r>
      <w:r>
        <w:t xml:space="preserve">,</w:t>
      </w:r>
      <w:r>
        <w:t xml:space="preserve"> </w:t>
      </w:r>
      <w:r>
        <w:rPr>
          <w:rStyle w:val="VerbatimChar"/>
        </w:rPr>
        <w:t xml:space="preserve">HR+/HER2low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PIK3CAmut</w:t>
      </w:r>
      <w:r>
        <w:t xml:space="preserve">,</w:t>
      </w:r>
      <w:r>
        <w:t xml:space="preserve"> </w:t>
      </w:r>
      <w:r>
        <w:rPr>
          <w:rStyle w:val="VerbatimChar"/>
        </w:rPr>
        <w:t xml:space="preserve">ESR1mut</w:t>
      </w:r>
      <w:r>
        <w:t xml:space="preserve">,</w:t>
      </w:r>
      <w:r>
        <w:t xml:space="preserve"> </w:t>
      </w:r>
      <w:r>
        <w:rPr>
          <w:rStyle w:val="VerbatimChar"/>
        </w:rPr>
        <w:t xml:space="preserve">AKTpath</w:t>
      </w:r>
      <w:r>
        <w:t xml:space="preserve">). For each trial, the source node encodes the required prior state at enrolment and the target node encodes the post-trial state (source state</w:t>
      </w:r>
      <w:r>
        <w:t xml:space="preserve"> </w:t>
      </w:r>
      <m:oMath>
        <m:r>
          <m:rPr>
            <m:sty m:val="p"/>
          </m:rPr>
          <m:t>∪</m:t>
        </m:r>
      </m:oMath>
      <w:r>
        <w:t xml:space="preserve"> </w:t>
      </w:r>
      <w:r>
        <w:t xml:space="preserve">{drug class tested}). Edge attributes record the NCT identifier, drug class, year of registration, primary-endpoint outcome where available, and enrolment count.</w:t>
      </w:r>
    </w:p>
    <w:bookmarkEnd w:id="12"/>
    <w:bookmarkStart w:id="13" w:name="guideline-decision-tree-encoding"/>
    <w:p>
      <w:pPr>
        <w:pStyle w:val="Heading2"/>
      </w:pPr>
      <w:r>
        <w:t xml:space="preserve">Guideline decision-tree encoding</w:t>
      </w:r>
    </w:p>
    <w:p>
      <w:pPr>
        <w:pStyle w:val="FirstParagraph"/>
      </w:pPr>
      <w:r>
        <w:t xml:space="preserve">ESMO and ASCO decision points were structured by manual annotation plus LLM-assisted draft, then reviewed against the source guideline text. Each decision node was assigned (i) the patient sub-state at the point of decision, (ii) the recommended therapy class or classes, (iii) the strength-of-recommendation grade, and (iv) the cited pivotal trial(s).</w:t>
      </w:r>
    </w:p>
    <w:bookmarkEnd w:id="13"/>
    <w:bookmarkStart w:id="14" w:name="concordance-algorithm"/>
    <w:p>
      <w:pPr>
        <w:pStyle w:val="Heading2"/>
      </w:pPr>
      <w:r>
        <w:t xml:space="preserve">Concordance algorithm</w:t>
      </w:r>
    </w:p>
    <w:p>
      <w:pPr>
        <w:pStyle w:val="FirstParagraph"/>
      </w:pPr>
      <w:r>
        <w:t xml:space="preserve">For each guideline node</w:t>
      </w:r>
      <w:r>
        <w:t xml:space="preserve"> </w:t>
      </w:r>
      <m:oMath>
        <m:r>
          <m:t>g</m:t>
        </m:r>
      </m:oMath>
      <w:r>
        <w:t xml:space="preserve">, the supporting-evidence set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trial-DAG edges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that simultaneously satisfy: (a)</w:t>
      </w:r>
      <w:r>
        <w:t xml:space="preserve"> </w:t>
      </w:r>
      <w:r>
        <w:rPr>
          <w:i/>
          <w:iCs/>
        </w:rPr>
        <w:t xml:space="preserve">state superset</w:t>
      </w:r>
      <w:r>
        <w:t xml:space="preserve"> </w:t>
      </w:r>
      <w:r>
        <w:t xml:space="preserve">— every guideline-required prior-treatment token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member of the trial’s source-state token set, with the special line-agnostic token</w:t>
      </w:r>
      <w:r>
        <w:t xml:space="preserve"> </w:t>
      </w:r>
      <w:r>
        <w:rPr>
          <w:rStyle w:val="VerbatimChar"/>
        </w:rPr>
        <w:t xml:space="preserve">metastatic</w:t>
      </w:r>
      <w:r>
        <w:t xml:space="preserve"> </w:t>
      </w:r>
      <w:r>
        <w:t xml:space="preserve">(used for gBRCAm) satisfied by any state (this token is a disclosed post-hoc addition to the pre-registered schema; see Supplementary Text 1); (b)</w:t>
      </w:r>
      <w:r>
        <w:t xml:space="preserve"> </w:t>
      </w:r>
      <w:r>
        <w:rPr>
          <w:i/>
          <w:iCs/>
        </w:rPr>
        <w:t xml:space="preserve">drug match</w:t>
      </w:r>
      <w:r>
        <w:t xml:space="preserve"> </w:t>
      </w:r>
      <w:r>
        <w:t xml:space="preserve">— the trial drug class is identical to, or a member of an explicit equivalence group with, one of the guideline-recommended classes 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(the equivalence groups are listed in the source code at</w:t>
      </w:r>
      <w:r>
        <w:t xml:space="preserve"> </w:t>
      </w:r>
      <w:r>
        <w:rPr>
          <w:rStyle w:val="VerbatimChar"/>
        </w:rPr>
        <w:t xml:space="preserve">analysis/05_compute_efdpr.py</w:t>
      </w:r>
      <w:r>
        <w:t xml:space="preserve">); (c)</w:t>
      </w:r>
      <w:r>
        <w:t xml:space="preserve"> </w:t>
      </w:r>
      <w:r>
        <w:rPr>
          <w:i/>
          <w:iCs/>
        </w:rPr>
        <w:t xml:space="preserve">biomarker concordance</w:t>
      </w:r>
      <w:r>
        <w:t xml:space="preserve"> </w:t>
      </w:r>
      <w:r>
        <w:t xml:space="preserve">under one of three pre-registered tolerance levels (strict: exact set match; ESCAT-aligned: strict plus ESCAT-equivalence groupings; liberal: ESCAT plus acceptance of registrational biomarker-subgroup readouts); (d)</w:t>
      </w:r>
      <w:r>
        <w:t xml:space="preserve"> </w:t>
      </w:r>
      <w:r>
        <w:rPr>
          <w:i/>
          <w:iCs/>
        </w:rPr>
        <w:t xml:space="preserve">temporal precedence</w:t>
      </w:r>
      <w:r>
        <w:t xml:space="preserve"> </w:t>
      </w:r>
      <w:r>
        <w:t xml:space="preserve">— the trial primary-completion year does not post-date the guideline-version year. The evidence-free decision-point ratio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D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g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G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t xml:space="preserve">is the set of ESMO HR+/HER2- mBC decision nodes used for inference.</w:t>
      </w:r>
    </w:p>
    <w:bookmarkEnd w:id="14"/>
    <w:bookmarkStart w:id="15" w:name="operationalization-discordance-index-odi"/>
    <w:p>
      <w:pPr>
        <w:pStyle w:val="Heading2"/>
      </w:pPr>
      <w:r>
        <w:t xml:space="preserve">Operationalization discordance index (ODI)</w:t>
      </w:r>
    </w:p>
    <w:p>
      <w:pPr>
        <w:pStyle w:val="FirstParagraph"/>
      </w:pPr>
      <w:r>
        <w:t xml:space="preserve">For each biomarker variable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shared by multiple trials, the ODI is the mean pairwise Jaccard distance between the trial-level inclusion definitions of</w:t>
      </w:r>
      <w:r>
        <w:t xml:space="preserve"> </w:t>
      </w:r>
      <m:oMath>
        <m:r>
          <m:t>b</m:t>
        </m:r>
      </m:oMath>
      <w:r>
        <w:t xml:space="preserve">, treating each definition as a set of operational tokens. The token vocabulary is hand-curated against each trial’s canonical primary publication and is published as Supplementary Table S4; a future LLM-extraction-based replacement will produce the same vocabulary automatically and will be validated against this hand-curated set.</w:t>
      </w:r>
    </w:p>
    <w:bookmarkEnd w:id="15"/>
    <w:bookmarkStart w:id="16" w:name="X128705276d9228971fc19a4ec8ce4854708b0ac"/>
    <w:p>
      <w:pPr>
        <w:pStyle w:val="Heading2"/>
      </w:pPr>
      <w:r>
        <w:t xml:space="preserve">Statistical inference and pre-registration</w:t>
      </w:r>
    </w:p>
    <w:p>
      <w:pPr>
        <w:pStyle w:val="FirstParagraph"/>
      </w:pPr>
      <w:r>
        <w:t xml:space="preserve">The primary outcome (EFDPR), primary hypothesis (EFDPR</w:t>
      </w:r>
      <w:r>
        <w:t xml:space="preserve"> </w:t>
      </w:r>
      <m:oMath>
        <m:r>
          <m:rPr>
            <m:sty m:val="p"/>
          </m:rPr>
          <m:t>&gt;</m:t>
        </m:r>
        <m:r>
          <m:t>0.25</m:t>
        </m:r>
      </m:oMath>
      <w:r>
        <w:t xml:space="preserve">), rejection threshold (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one-sided exact binomial), secondary outcomes, and stop rules were committed to</w:t>
      </w:r>
      <w:r>
        <w:t xml:space="preserve"> </w:t>
      </w:r>
      <w:r>
        <w:rPr>
          <w:rStyle w:val="VerbatimChar"/>
        </w:rPr>
        <w:t xml:space="preserve">docs/prereg.md</w:t>
      </w:r>
      <w:r>
        <w:t xml:space="preserve"> </w:t>
      </w:r>
      <w:r>
        <w:t xml:space="preserve">before any outcome-touching analysis was run. The pre-registered primary test is the one-sided exact 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evidence-free nodes out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cr m:val="script"/>
            <m:sty m:val="p"/>
          </m:rPr>
          <m:t>G</m:t>
        </m:r>
        <m:r>
          <m:rPr>
            <m:sty m:val="p"/>
          </m:rPr>
          <m:t>|</m:t>
        </m:r>
      </m:oMath>
      <w:r>
        <w:t xml:space="preserve"> </w:t>
      </w:r>
      <w:r>
        <w:t xml:space="preserve">guideline nodes. Two-sided 95% confidence intervals are reported in two forms: the Clopper-Pearson exact binomial CI (recommended primary CI in this small-</w:t>
      </w:r>
      <m:oMath>
        <m:r>
          <m:t>n</m:t>
        </m:r>
      </m:oMath>
      <w:r>
        <w:t xml:space="preserve"> </w:t>
      </w:r>
      <w:r>
        <w:t xml:space="preserve">regime) and a 1,000-iteration percentile bootstrap CI by guideline-node resampling (presented for compatibility with the original preregistration). Pre-registered secondary outcomes S1 (ODI), S2 (temporal evidence lag), and S3 (subgroup coverage) are reported in this manuscript; in the present pilot, S2 and S3 are reported descriptively because the small corpus precludes a meaningful Benjamini-Hochberg correction across three independent tests, a deviation that is disclosed here. A bootstrap random seed (</w:t>
      </w:r>
      <w:r>
        <w:rPr>
          <w:rStyle w:val="VerbatimChar"/>
        </w:rPr>
        <w:t xml:space="preserve">20260516</w:t>
      </w:r>
      <w:r>
        <w:t xml:space="preserve">) ensures reproducibility.</w:t>
      </w:r>
    </w:p>
    <w:bookmarkEnd w:id="16"/>
    <w:bookmarkStart w:id="17" w:name="reproducibility-and-software"/>
    <w:p>
      <w:pPr>
        <w:pStyle w:val="Heading2"/>
      </w:pPr>
      <w:r>
        <w:t xml:space="preserve">Reproducibility and software</w:t>
      </w:r>
    </w:p>
    <w:p>
      <w:pPr>
        <w:pStyle w:val="FirstParagraph"/>
      </w:pPr>
      <w:r>
        <w:t xml:space="preserve">All analysis was performed in Python 3.12 with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3.5,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1.26.4,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2.2.3,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1.17.1, and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3.8.4; the full lockfile is in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at the tagged release commit. The source code, frozen schema, ESMO decision-tree encoding, and LaTeX sources are released at the GitHub URL in the Code Availability statement, and will be archived under a Zenodo DOI at the tagged release. The bootstrap random seed is</w:t>
      </w:r>
      <w:r>
        <w:t xml:space="preserve"> </w:t>
      </w:r>
      <w:r>
        <w:rPr>
          <w:rStyle w:val="VerbatimChar"/>
        </w:rPr>
        <w:t xml:space="preserve">20260516</w:t>
      </w:r>
      <w:r>
        <w:t xml:space="preserve">; two consecutive runs of</w:t>
      </w:r>
      <w:r>
        <w:t xml:space="preserve"> </w:t>
      </w:r>
      <w:r>
        <w:rPr>
          <w:rStyle w:val="VerbatimChar"/>
        </w:rPr>
        <w:t xml:space="preserve">analysis/05_compute_efdpr.py</w:t>
      </w:r>
      <w:r>
        <w:t xml:space="preserve"> </w:t>
      </w:r>
      <w:r>
        <w:t xml:space="preserve">produce byte-identical</w:t>
      </w:r>
      <w:r>
        <w:t xml:space="preserve"> </w:t>
      </w:r>
      <w:r>
        <w:rPr>
          <w:rStyle w:val="VerbatimChar"/>
        </w:rPr>
        <w:t xml:space="preserve">efdpr.json</w:t>
      </w:r>
      <w:r>
        <w:t xml:space="preserve">.</w:t>
      </w:r>
    </w:p>
    <w:bookmarkEnd w:id="17"/>
    <w:bookmarkEnd w:id="18"/>
    <w:bookmarkStart w:id="40" w:name="sec:results"/>
    <w:p>
      <w:pPr>
        <w:pStyle w:val="Heading1"/>
      </w:pPr>
      <w:r>
        <w:t xml:space="preserve">Results</w:t>
      </w:r>
    </w:p>
    <w:bookmarkStart w:id="24" w:name="trial-corpus-and-dag-topology"/>
    <w:p>
      <w:pPr>
        <w:pStyle w:val="Heading2"/>
      </w:pPr>
      <w:r>
        <w:t xml:space="preserve">Trial corpus and DAG topology</w:t>
      </w:r>
    </w:p>
    <w:p>
      <w:pPr>
        <w:pStyle w:val="FirstParagraph"/>
      </w:pPr>
      <w:r>
        <w:t xml:space="preserve">The HR+/HER2- mBC pivotal-trial corpus (frozen 2026-05-16) comprised 16 trials drawn from the ESMO and ASCO mBC guideline reference lists (Supplementary Table S2), spanning primary-completion years 2014–2024. Fifteen trials enrolled HR+/HER2- (or HER2-low) populations and one — OlympiAD</w:t>
      </w:r>
      <w:r>
        <w:t xml:space="preserve">(</w:t>
      </w:r>
      <w:r>
        <w:t xml:space="preserve">Robson et al.</w:t>
      </w:r>
      <w:r>
        <w:t xml:space="preserve"> </w:t>
      </w:r>
      <w:r>
        <w:t xml:space="preserve">2017)</w:t>
      </w:r>
      <w:r>
        <w:t xml:space="preserve"> </w:t>
      </w:r>
      <w:r>
        <w:t xml:space="preserve">— was the PARP-inhibitor reference trial for the gBRCAm guideline node. The corpus comprises PALOMA-3,</w:t>
      </w:r>
      <w:r>
        <w:t xml:space="preserve">(Turner et al. 2015)</w:t>
      </w:r>
      <w:r>
        <w:t xml:space="preserve"> </w:t>
      </w:r>
      <w:r>
        <w:t xml:space="preserve">MONARCH-2,</w:t>
      </w:r>
      <w:r>
        <w:t xml:space="preserve">(</w:t>
      </w:r>
      <w:r>
        <w:t xml:space="preserve">Sledge et al.</w:t>
      </w:r>
      <w:r>
        <w:t xml:space="preserve"> </w:t>
      </w:r>
      <w:r>
        <w:t xml:space="preserve">2017)</w:t>
      </w:r>
      <w:r>
        <w:t xml:space="preserve"> </w:t>
      </w:r>
      <w:r>
        <w:t xml:space="preserve">MONALEESA-3,</w:t>
      </w:r>
      <w:r>
        <w:t xml:space="preserve">(</w:t>
      </w:r>
      <w:r>
        <w:t xml:space="preserve">Slamon et al.</w:t>
      </w:r>
      <w:r>
        <w:t xml:space="preserve"> </w:t>
      </w:r>
      <w:r>
        <w:t xml:space="preserve">2018)</w:t>
      </w:r>
      <w:r>
        <w:t xml:space="preserve"> </w:t>
      </w:r>
      <w:r>
        <w:t xml:space="preserve">SOLAR-1,</w:t>
      </w:r>
      <w:r>
        <w:t xml:space="preserve">(André et al. 2019)</w:t>
      </w:r>
      <w:r>
        <w:t xml:space="preserve"> </w:t>
      </w:r>
      <w:r>
        <w:t xml:space="preserve">EMERALD,</w:t>
      </w:r>
      <w:r>
        <w:t xml:space="preserve">(</w:t>
      </w:r>
      <w:r>
        <w:t xml:space="preserve">Bidard et al.</w:t>
      </w:r>
      <w:r>
        <w:t xml:space="preserve"> </w:t>
      </w:r>
      <w:r>
        <w:t xml:space="preserve">2022)</w:t>
      </w:r>
      <w:r>
        <w:t xml:space="preserve"> </w:t>
      </w:r>
      <w:r>
        <w:t xml:space="preserve">CAPItello-291,</w:t>
      </w:r>
      <w:r>
        <w:t xml:space="preserve">(</w:t>
      </w:r>
      <w:r>
        <w:t xml:space="preserve">Turner et al.</w:t>
      </w:r>
      <w:r>
        <w:t xml:space="preserve"> </w:t>
      </w:r>
      <w:r>
        <w:t xml:space="preserve">2023)</w:t>
      </w:r>
      <w:r>
        <w:t xml:space="preserve"> </w:t>
      </w:r>
      <w:r>
        <w:t xml:space="preserve">DESTINY-Breast04,</w:t>
      </w:r>
      <w:r>
        <w:t xml:space="preserve">(Modi et al. 2022)</w:t>
      </w:r>
      <w:r>
        <w:t xml:space="preserve"> </w:t>
      </w:r>
      <w:r>
        <w:t xml:space="preserve">DESTINY-Breast06,</w:t>
      </w:r>
      <w:r>
        <w:t xml:space="preserve">(</w:t>
      </w:r>
      <w:r>
        <w:t xml:space="preserve">Bardia et al.</w:t>
      </w:r>
      <w:r>
        <w:t xml:space="preserve"> </w:t>
      </w:r>
      <w:r>
        <w:t xml:space="preserve">2024)</w:t>
      </w:r>
      <w:r>
        <w:t xml:space="preserve"> </w:t>
      </w:r>
      <w:r>
        <w:t xml:space="preserve">MONALEESA-2,</w:t>
      </w:r>
      <w:r>
        <w:t xml:space="preserve">(</w:t>
      </w:r>
      <w:r>
        <w:t xml:space="preserve">Hortobagyi et al.</w:t>
      </w:r>
      <w:r>
        <w:t xml:space="preserve"> </w:t>
      </w:r>
      <w:r>
        <w:t xml:space="preserve">2016)</w:t>
      </w:r>
      <w:r>
        <w:t xml:space="preserve"> </w:t>
      </w:r>
      <w:r>
        <w:t xml:space="preserve">PALOMA-2,</w:t>
      </w:r>
      <w:r>
        <w:t xml:space="preserve">(</w:t>
      </w:r>
      <w:r>
        <w:t xml:space="preserve">Finn et al.</w:t>
      </w:r>
      <w:r>
        <w:t xml:space="preserve"> </w:t>
      </w:r>
      <w:r>
        <w:t xml:space="preserve">2016)</w:t>
      </w:r>
      <w:r>
        <w:t xml:space="preserve"> </w:t>
      </w:r>
      <w:r>
        <w:t xml:space="preserve">MONARCH-3,</w:t>
      </w:r>
      <w:r>
        <w:t xml:space="preserve">(</w:t>
      </w:r>
      <w:r>
        <w:t xml:space="preserve">Johnston et al.</w:t>
      </w:r>
      <w:r>
        <w:t xml:space="preserve"> </w:t>
      </w:r>
      <w:r>
        <w:t xml:space="preserve">2019)</w:t>
      </w:r>
      <w:r>
        <w:t xml:space="preserve"> </w:t>
      </w:r>
      <w:r>
        <w:t xml:space="preserve">MONALEESA-7,</w:t>
      </w:r>
      <w:r>
        <w:t xml:space="preserve">(</w:t>
      </w:r>
      <w:r>
        <w:t xml:space="preserve">Tripathy et al.</w:t>
      </w:r>
      <w:r>
        <w:t xml:space="preserve"> </w:t>
      </w:r>
      <w:r>
        <w:t xml:space="preserve">2018)</w:t>
      </w:r>
      <w:r>
        <w:t xml:space="preserve"> </w:t>
      </w:r>
      <w:r>
        <w:t xml:space="preserve">postMONARCH,</w:t>
      </w:r>
      <w:r>
        <w:t xml:space="preserve">(</w:t>
      </w:r>
      <w:r>
        <w:t xml:space="preserve">Kalinsky et al.</w:t>
      </w:r>
      <w:r>
        <w:t xml:space="preserve"> </w:t>
      </w:r>
      <w:r>
        <w:t xml:space="preserve">2024)</w:t>
      </w:r>
      <w:r>
        <w:t xml:space="preserve"> </w:t>
      </w:r>
      <w:r>
        <w:t xml:space="preserve">INAVO120,</w:t>
      </w:r>
      <w:r>
        <w:t xml:space="preserve">(</w:t>
      </w:r>
      <w:r>
        <w:t xml:space="preserve">Jhaveri et al.</w:t>
      </w:r>
      <w:r>
        <w:t xml:space="preserve"> </w:t>
      </w:r>
      <w:r>
        <w:t xml:space="preserve">2024)</w:t>
      </w:r>
      <w:r>
        <w:t xml:space="preserve"> </w:t>
      </w:r>
      <w:r>
        <w:t xml:space="preserve">TROPiCS-02,</w:t>
      </w:r>
      <w:r>
        <w:t xml:space="preserve">(</w:t>
      </w:r>
      <w:r>
        <w:t xml:space="preserve">Rugo et al.</w:t>
      </w:r>
      <w:r>
        <w:t xml:space="preserve"> </w:t>
      </w:r>
      <w:r>
        <w:t xml:space="preserve">2022)</w:t>
      </w:r>
      <w:r>
        <w:t xml:space="preserve"> </w:t>
      </w:r>
      <w:r>
        <w:t xml:space="preserve">and OlympiAD.</w:t>
      </w:r>
      <w:r>
        <w:t xml:space="preserve">(</w:t>
      </w:r>
      <w:r>
        <w:t xml:space="preserve">Robson et al.</w:t>
      </w:r>
      <w:r>
        <w:t xml:space="preserve"> </w:t>
      </w:r>
      <w:r>
        <w:t xml:space="preserve">2017)</w:t>
      </w:r>
      <w:r>
        <w:t xml:space="preserve"> </w:t>
      </w:r>
      <w:r>
        <w:t xml:space="preserve">The trial-DAG (Figure</w:t>
      </w:r>
      <w:r>
        <w:t xml:space="preserve"> </w:t>
      </w:r>
      <w:hyperlink w:anchor="fig:dag">
        <w:r>
          <w:rPr>
            <w:rStyle w:val="Hyperlink"/>
          </w:rPr>
          <w:t xml:space="preserve">1</w:t>
        </w:r>
      </w:hyperlink>
      <w:r>
        <w:t xml:space="preserve">, Table</w:t>
      </w:r>
      <w:r>
        <w:t xml:space="preserve"> </w:t>
      </w:r>
      <w:hyperlink w:anchor="tab:cohort">
        <w:r>
          <w:rPr>
            <w:rStyle w:val="Hyperlink"/>
          </w:rPr>
          <w:t xml:space="preserve">1</w:t>
        </w:r>
      </w:hyperlink>
      <w:r>
        <w:t xml:space="preserve">) had 9 canonical (prior-state, biomarker) source nodes and 16 trial edges. Pre-CDK4/6i first-line nodes carried the highest in-degree (4 edges to the first-line HR+/HER2- node); post-CDK4/6i biomarker-stratified nodes carried 0–1 incident trial edges.</w:t>
      </w:r>
    </w:p>
    <w:bookmarkStart w:id="22" w:name="fig:dag"/>
    <w:p>
      <w:pPr>
        <w:pStyle w:val="CaptionedFigure"/>
      </w:pPr>
      <w:r>
        <w:drawing>
          <wp:inline>
            <wp:extent cx="4533900" cy="244842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figures/fig1_dag.pdf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48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HR+/HER2- mBC pivotal-trial DAG. Source nodes (blue circles) encode (prior-state, biomarker) tuples and are positioned by patient state (x-axis, ordered by treatment-line distance from treatment-naive) and biomarker profile (y-axis). Each labelled annotation records a trial that enrols at that source node, its primary-completion year, and the drug class it tests.</w:t>
      </w:r>
    </w:p>
    <w:bookmarkEnd w:id="22"/>
    <w:bookmarkStart w:id="23" w:name="tab:cohort"/>
    <w:p>
      <w:pPr>
        <w:pStyle w:val="TableCaption"/>
      </w:pPr>
      <w:r>
        <w:t xml:space="preserve">Trial-corpus summary.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al-corpus summary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Pivotal HR+/HER2- mBC trials (frozen 2026-05-16)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prior-state 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biomarker 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Trial-DAG edges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ESMO 2024 decision nodes (HR+/HER2- subset)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23"/>
    <w:bookmarkEnd w:id="24"/>
    <w:bookmarkStart w:id="30" w:name="X582ce6d06663c4510d4a734d494c735b626cbe6"/>
    <w:p>
      <w:pPr>
        <w:pStyle w:val="Heading2"/>
      </w:pPr>
      <w:r>
        <w:t xml:space="preserve">Evidence-free decision-point ratio (primary outcome)</w:t>
      </w:r>
    </w:p>
    <w:p>
      <w:pPr>
        <w:pStyle w:val="FirstParagraph"/>
      </w:pPr>
      <w:r>
        <w:t xml:space="preserve">Under strict concordance the EFDPR was 0.31 (5/16 decision nodes evidence-free; Clopper-Pearson 95% CI 0.11–0.59; bootstrap percentile CI 0.12–0.56). Under ESCAT-aligned tolerance the EFDPR was identical at 0.31. Under liberal tolerance, accepting registrational biomarker-subgroup readouts, EFDPR was 0.19 (3/16; Clopper-Pearson 95% CI 0.04–0.46). The strict and ESCAT point estimates exceeded the pre-registered 0.25 threshold, but the pre-registered one-sided exact-binomial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did not reject under any tolerance level (strict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; ESCAT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; liberal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; Table</w:t>
      </w:r>
      <w:r>
        <w:t xml:space="preserve"> </w:t>
      </w:r>
      <w:hyperlink w:anchor="tab:efdpr">
        <w:r>
          <w:rPr>
            <w:rStyle w:val="Hyperlink"/>
          </w:rPr>
          <w:t xml:space="preserve">2</w:t>
        </w:r>
      </w:hyperlink>
      <w:r>
        <w:t xml:space="preserve">, Figure</w:t>
      </w:r>
      <w:r>
        <w:t xml:space="preserve"> </w:t>
      </w:r>
      <w:hyperlink w:anchor="fig:efdpr">
        <w:r>
          <w:rPr>
            <w:rStyle w:val="Hyperlink"/>
          </w:rPr>
          <w:t xml:space="preserve">2</w:t>
        </w:r>
      </w:hyperlink>
      <w:r>
        <w:t xml:space="preserve">). The headline finding from this pilot is therefore a quantitative description of evidence sparsity at five clinically consequential decision points rather than a confirmatory rejection of the null; the three tolerance levels are reported as a pre-registered sensitivity grid, not as three independent confirmatory tests. Evidence-free nodes under strict concordance were: post-CDK4/6i ESR1mut (G5), AKT-pathway (G6), post-CDK4/6i PIK3CAmut (G7), post-CDK4/6i no-actionable-mutation (G9), and the post-CDK4/6i+post-endo everolimus node (G13). G3 in this pilot is supported only by PALOMA-3 because MONARCH-2 (2017) and MONALEESA-3 (2018) post-date G3’s encoded decision-tree year (2016); the encoded years reflect the year of guideline introduction of the decision point and not the year of supporting-trial publication.</w:t>
      </w:r>
    </w:p>
    <w:bookmarkStart w:id="28" w:name="fig:efdpr"/>
    <w:p>
      <w:pPr>
        <w:pStyle w:val="CaptionedFigure"/>
      </w:pPr>
      <w:r>
        <w:drawing>
          <wp:inline>
            <wp:extent cx="4533900" cy="30433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figures/fig2_efdpr.pdf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4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Evidence-free decision-point ratio across biomarker-definition tolerance levels. Bars: point estimates. Error bars: 1</w:t>
      </w:r>
      <w:r>
        <w:t xml:space="preserve">,</w:t>
      </w:r>
      <w:r>
        <w:t xml:space="preserve">000-iteration bootstrap 95% CI. Dashed horizontal line: pre-registered rejection threshold.</w:t>
      </w:r>
    </w:p>
    <w:bookmarkEnd w:id="28"/>
    <w:bookmarkStart w:id="29" w:name="tab:efdpr"/>
    <w:p>
      <w:pPr>
        <w:pStyle w:val="TableCaption"/>
      </w:pPr>
      <w:r>
        <w:t xml:space="preserve">Evidence-free decision-point ratio (EFDPR) under three biomarker-definition tolerance levels.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idence-free decision-point ratio (EFDPR) under three biomarker-definition tolerance level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EFDPR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Bootstrap 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Clopper-Pearson 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Exact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Reject H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[0.125, 0.562]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[0.110, 0.587]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ESCAT-aligned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[0.125, 0.562]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[0.110, 0.587]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[0.000, 0.438]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[0.041, 0.457]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29"/>
    <w:bookmarkEnd w:id="30"/>
    <w:bookmarkStart w:id="36" w:name="operationalization-discordance"/>
    <w:p>
      <w:pPr>
        <w:pStyle w:val="Heading2"/>
      </w:pPr>
      <w:r>
        <w:t xml:space="preserve">Operationalization discordance</w:t>
      </w:r>
    </w:p>
    <w:p>
      <w:pPr>
        <w:pStyle w:val="FirstParagraph"/>
      </w:pPr>
      <w:r>
        <w:t xml:space="preserve">Operationalization discordance (ODI) ranged widely across the five biomarker variables shared by two or more trials (Figure</w:t>
      </w:r>
      <w:r>
        <w:t xml:space="preserve"> </w:t>
      </w:r>
      <w:hyperlink w:anchor="fig:odi">
        <w:r>
          <w:rPr>
            <w:rStyle w:val="Hyperlink"/>
          </w:rPr>
          <w:t xml:space="preserve">3</w:t>
        </w:r>
      </w:hyperlink>
      <w:r>
        <w:t xml:space="preserve">, Table</w:t>
      </w:r>
      <w:r>
        <w:t xml:space="preserve"> </w:t>
      </w:r>
      <w:hyperlink w:anchor="tab:odi">
        <w:r>
          <w:rPr>
            <w:rStyle w:val="Hyperlink"/>
          </w:rPr>
          <w:t xml:space="preserve">3</w:t>
        </w:r>
      </w:hyperlink>
      <w:r>
        <w:t xml:space="preserve">). The prior-CDK4/6i inclusion variable was the most discordant (ODI 0.905 across 7 trials), reflecting the absence of a shared operational standard for prior-CDK4/6i ascertainment: some trials required documented progression on a CDK4/6i (EMERALD, postMONARCH), some permitted it (CAPItello-291), some excluded it (PALOMA-3, MONARCH-2), and some specified an endocrine-resistance window (INAVO120). AKT-pathway alterations (ODI 0.667) differed in their qualifying-variant set (AKT1 E17K and PTEN loss in CAPItello-291 vs PIK3CAmut-only in SOLAR-1). ESR1 mutations (ODI 0.333) and PIK3CA mutations (ODI 0.333) differed across assay type (tissue NGS vs plasma ctDNA), variant call set, and inclusion of helical- vs kinase-domain alterations. HER2-low (ODI 0.200) was the most homogeneous variable, with the two T-DXd trials (DESTINY-Breast04, DESTINY-Breast06) using overlapping but not identical operational definitions, the main difference being DESTINY-Breast06’s inclusion of HER2-ultralow.</w:t>
      </w:r>
    </w:p>
    <w:bookmarkStart w:id="34" w:name="fig:odi"/>
    <w:p>
      <w:pPr>
        <w:pStyle w:val="CaptionedFigure"/>
      </w:pPr>
      <w:r>
        <w:drawing>
          <wp:inline>
            <wp:extent cx="4533900" cy="303637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figures/fig3_odi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36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Operationalization discordance index (ODI) per biomarker variable. Higher ODI indicates greater pairwise heterogeneity in trial-level inclusion definitions.</w:t>
      </w:r>
    </w:p>
    <w:bookmarkEnd w:id="34"/>
    <w:bookmarkStart w:id="35" w:name="tab:odi"/>
    <w:p>
      <w:pPr>
        <w:pStyle w:val="TableCaption"/>
      </w:pPr>
      <w:r>
        <w:t xml:space="preserve">Operationalization discordance index per biomarker variable.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ization discordance index per biomarker variabl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Biomarker 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Bootstrap 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prior_CDK4_6i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[0.762, 1.000]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[0.667, 0.667]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ESR1mut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[0.333, 0.333]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PIK3CAmut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[0.333, 0.333]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HER2-low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[0.200, 0.200]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35"/>
    <w:bookmarkEnd w:id="36"/>
    <w:bookmarkStart w:id="37" w:name="composition-only-guideline-citations"/>
    <w:p>
      <w:pPr>
        <w:pStyle w:val="Heading2"/>
      </w:pPr>
      <w:r>
        <w:t xml:space="preserve">Composition-only guideline citations</w:t>
      </w:r>
    </w:p>
    <w:p>
      <w:pPr>
        <w:pStyle w:val="FirstParagraph"/>
      </w:pPr>
      <w:r>
        <w:t xml:space="preserve">Two ESMO HR+/HER2- mBC decision nodes that the guideline supports by citation of pivotal trials remain evidence-free under strict and ESCAT tolerance because the trial enrolment state does not exactly match the guideline node: the post-CDK4/6i PIK3CAmut node (G7), cited as supported by SOLAR-1 despite SOLAR-1’s enrolment being post-AI rather than post-CDK4/6i; and the post-endo AKT-pathway node (G6), cited as supported by CAPItello-291 despite CAPItello-291 enrolling a mixed population whose AKT-pathway subgroup readout was the registrational basis. The framework’s strict tolerance flags both as evidence-free; the liberal tolerance accepts G6 (because of CAPItello-291’s pre-specified AKT-pathway subgroup) but still flags G7 (because no trial in our corpus enrolled a post-CDK4/6i PIK3CAmut population).</w:t>
      </w:r>
    </w:p>
    <w:bookmarkEnd w:id="37"/>
    <w:bookmarkStart w:id="38" w:name="sensitivity-analyses"/>
    <w:p>
      <w:pPr>
        <w:pStyle w:val="Heading2"/>
      </w:pPr>
      <w:r>
        <w:t xml:space="preserve">Sensitivity analyses</w:t>
      </w:r>
    </w:p>
    <w:p>
      <w:pPr>
        <w:pStyle w:val="FirstParagraph"/>
      </w:pPr>
      <w:r>
        <w:t xml:space="preserve">ESCAT-aligned tolerance left EFDPR unchanged at 0.31; the only ESCAT-equivalence in the HR+/HER2- mBC subset (AKT-pathway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PIK3CAmut) did not rescue the failed state-match for SOLAR-1 supporting G7. Liberal tolerance rescued EMERALD’s support of G5 (post-CDK4/6i ESR1mut) and CAPItello-291’s support of G6 (post-endo AKT-pathway, via the AKT-pathway subgroup readout), reducing EFDPR to 0.19. A 15-node sensitivity excluding G16 (the gBRCAm node, a disclosed scope deviation; see Supplementary Text 1) gave strict EFDPR 0.33 (Clopper-Pearson CI 0.12–0.62; 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0.31</m:t>
        </m:r>
      </m:oMath>
      <w:r>
        <w:t xml:space="preserve">) and liberal EFDPR 0.20 (CI 0.04–0.48;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0.76</m:t>
        </m:r>
      </m:oMath>
      <w:r>
        <w:t xml:space="preserve">), preserving the primary finding and the non-rejection. ASCO and NCCN sensitivity analyses are deferred to the production-scale extension.</w:t>
      </w:r>
    </w:p>
    <w:bookmarkEnd w:id="38"/>
    <w:bookmarkStart w:id="39" w:name="secondary-outcomes-descriptive"/>
    <w:p>
      <w:pPr>
        <w:pStyle w:val="Heading2"/>
      </w:pPr>
      <w:r>
        <w:t xml:space="preserve">Secondary outcomes (descriptive)</w:t>
      </w:r>
    </w:p>
    <w:p>
      <w:pPr>
        <w:pStyle w:val="FirstParagraph"/>
      </w:pPr>
      <w:r>
        <w:t xml:space="preserve">Pre-registered secondary outcomes S2 (temporal evidence lag) and S3 (subgroup coverage) were not formally tested at the BH-corrected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level in the present pilot due to the small corpus and are reported descriptively. Among 11 evidence-supported guideline nodes, the median time from guideline-node introduction to earliest supporting pivotal-trial primary-completion readout was 0 years (range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 to 3), with two nodes preceded by their supporting trial by more than one update cycle. Subgroup-coverage examination of the 16 included trials confirmed under-representation of Asian-ancestry, age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</m:oMath>
      <w:r>
        <w:t xml:space="preserve">, and Black/African-ancestry participants in primary readouts, consistent with prior reports.</w:t>
      </w:r>
      <w:r>
        <w:t xml:space="preserve">(</w:t>
      </w:r>
      <w:r>
        <w:t xml:space="preserve">Niranjan et al.</w:t>
      </w:r>
      <w:r>
        <w:t xml:space="preserve"> </w:t>
      </w:r>
      <w:r>
        <w:t xml:space="preserve">2020)</w:t>
      </w:r>
    </w:p>
    <w:bookmarkEnd w:id="39"/>
    <w:bookmarkEnd w:id="40"/>
    <w:bookmarkStart w:id="98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 this pre-registered 16-trial pilot, the strict-tolerance EFDPR of 0.31 (Clopper-Pearson 95% CI 0.11–0.59) exceeded the pre-registered 0.25 threshold as a point estimate, but the pre-registered one-sided exact-binomial test did not reject the null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); the liberal-tolerance estimate of 0.19 sits below the threshold. The framework’s primary contribution from this pilot is therefore a quantitative description of where ESMO’s HR+/HER2- mBC decision tree is supported by trials that traverse the recommended (state, biomarker) node and where it is supported only by composition across non-overlapping trials. The decision points identified as evidence-free under strict concordance — post-CDK4/6i ESR1mut, post-endo AKT-pathway, post-CDK4/6i PIK3CAmut, post-CDK4/6i no-actionable-mutation, and the post-CDK4/6i+post-endo everolimus node — are precisely the choices clinicians face daily and precisely the positions in the guideline tree where pivotal-trial enrolment criteria most often differ from the guideline-node patient state.</w:t>
      </w:r>
    </w:p>
    <w:bookmarkStart w:id="41" w:name="Xc5044788f3e6d5ad65e7ce2b0acf9d5169b83f1"/>
    <w:p>
      <w:pPr>
        <w:pStyle w:val="Heading4"/>
      </w:pPr>
      <w:r>
        <w:t xml:space="preserve">Pilot scale and the gap between estimate and inference.</w:t>
      </w:r>
    </w:p>
    <w:p>
      <w:pPr>
        <w:pStyle w:val="FirstParagraph"/>
      </w:pPr>
      <w:r>
        <w:t xml:space="preserve">The 16-trial / 16-node corpus is the pre-registered pilot, not a systematic-review-scale census.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the one-sided exact-binomial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requires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successes to reject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; the observed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does not. The gap between a point estimate that exceeds the threshold and a test that does not reject is a property of the pilot’s sample size, not of the framework. A production-scale extension that adds the remaining HR+/HER2- mBC pivotal trials registered between 2015 and 2026, together with their guideline-citation network captured via OpenAlex, will resolve this in the planned methods paper.</w:t>
      </w:r>
    </w:p>
    <w:bookmarkEnd w:id="41"/>
    <w:bookmarkStart w:id="42" w:name="Xa2889463f92d0272cc627a217c4952ce7dfae25"/>
    <w:p>
      <w:pPr>
        <w:pStyle w:val="Heading4"/>
      </w:pPr>
      <w:r>
        <w:t xml:space="preserve">Composition-only citations are routine but should be visible.</w:t>
      </w:r>
    </w:p>
    <w:p>
      <w:pPr>
        <w:pStyle w:val="FirstParagraph"/>
      </w:pPr>
      <w:r>
        <w:t xml:space="preserve">Guideline committees routinely compose recommendations across non-overlapping trials when no single trial covers the exact decision node. ESMO’s citation of SOLAR-1 for the post-CDK4/6i PIK3CAmut node (when SOLAR-1 enrolled a post-AI population), and of CAPItello-291 for the post-CDK4/6i AKT-pathway node (when CAPItello-291 enrolled a mixed pre/post-CDK4/6i population with only a subgroup readout), are canonical examples. The framework does not declare these compositions illegitimate; it makes them explicit and counts them. Whether a given composition is clinically acceptable is a separate, downstream question that benefits from being able to see, on a single diagram, where composition has been invoked and which alternative trial chains could have been considered.</w:t>
      </w:r>
    </w:p>
    <w:bookmarkEnd w:id="42"/>
    <w:bookmarkStart w:id="43" w:name="X11d9a55d8d43322a842256f05b4c84f0a4b36a5"/>
    <w:p>
      <w:pPr>
        <w:pStyle w:val="Heading4"/>
      </w:pPr>
      <w:r>
        <w:t xml:space="preserve">Algorithm transparency over clinical reasoning.</w:t>
      </w:r>
    </w:p>
    <w:p>
      <w:pPr>
        <w:pStyle w:val="FirstParagraph"/>
      </w:pPr>
      <w:r>
        <w:t xml:space="preserve">The strict concordance algorithm is deliberately conservative: it over-flags reasonable clinical extrapolations as evidence-free so that the resulting count is a robust upper bound on directly-supported decisions rather than a clinical judgement about extrapolation. The three pre-registered tolerance levels (strict / ESCAT-aligned / liberal) are the framework’s mechanism for quantifying the dependence of EFDPR on extrapolation assumptions, and are reported as a sensitivity grid rather than three independent confirmatory tests. In this pilot, moving from strict to liberal converted two nodes (G5, post-CDK4/6i ESR1mut, via EMERALD’s subgroup readout; and G6, post-endo AKT-pathway, via CAPItello-291’s subgroup readout) from evidence-free to supported, indicating that part of the gap is operational rather than substantive.</w:t>
      </w:r>
    </w:p>
    <w:bookmarkEnd w:id="43"/>
    <w:bookmarkStart w:id="44" w:name="reproducible-by-construction."/>
    <w:p>
      <w:pPr>
        <w:pStyle w:val="Heading4"/>
      </w:pPr>
      <w:r>
        <w:t xml:space="preserve">Reproducible by construction.</w:t>
      </w:r>
    </w:p>
    <w:p>
      <w:pPr>
        <w:pStyle w:val="FirstParagraph"/>
      </w:pPr>
      <w:r>
        <w:t xml:space="preserve">Every analytic choice in this study is materialised as either a JSON file or a Python function and released under MIT licence at the repository linked in the Code Availability statement. The 16-trial structured-eligibility set is Supplementary Table S2, the 16-node ESMO encoding is Supplementary Table S3, and the biomarker-token vocabulary for the ODI computation is Supplementary Table S4. The schema is frozen at v1.0; the tagged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reproduces every figure and table.</w:t>
      </w:r>
    </w:p>
    <w:bookmarkEnd w:id="44"/>
    <w:bookmarkStart w:id="45" w:name="extensible-across-tumour-types."/>
    <w:p>
      <w:pPr>
        <w:pStyle w:val="Heading4"/>
      </w:pPr>
      <w:r>
        <w:t xml:space="preserve">Extensible across tumour types.</w:t>
      </w:r>
    </w:p>
    <w:p>
      <w:pPr>
        <w:pStyle w:val="FirstParagraph"/>
      </w:pPr>
      <w:r>
        <w:t xml:space="preserve">The (prior-state, biomarker) node space is tumour-agnostic; tumour-specific biomarker tokens enter as additive vocabulary. The concordance algorithm is biomarker-agnostic. The same pipeline is planned for application to EGFR-mutant non-small-cell lung cancer and to metastatic colorectal cancer with ctDNA-guided decision axes; in each case the only artefacts that need authoring are the structured trial corpus, the structured guideline decision tree, and the per-tumour ESCAT grouping table.</w:t>
      </w:r>
    </w:p>
    <w:bookmarkEnd w:id="45"/>
    <w:bookmarkStart w:id="46" w:name="X0bf591dece310cc503d1b4872c0ccdbb6619c4d"/>
    <w:p>
      <w:pPr>
        <w:pStyle w:val="Heading4"/>
      </w:pPr>
      <w:r>
        <w:t xml:space="preserve">Actionable for guideline committees and trial sponsors.</w:t>
      </w:r>
    </w:p>
    <w:p>
      <w:pPr>
        <w:pStyle w:val="FirstParagraph"/>
      </w:pPr>
      <w:r>
        <w:t xml:space="preserve">A committee that adopts this framework as a guideline-update audit can locate the specific decision nodes that lack supporting evidence chains. Trial sponsors can use the list of evidence-free post-CDK4/6i biomarker-stratified nodes to design enrichment trials whose target population matches a guideline-recommended decision point, rather than the convenience population most readily recruited from a single network. The EFDPR overlay adds one column to an artefact (the decision-tree table) that committees already produce.</w:t>
      </w:r>
    </w:p>
    <w:bookmarkEnd w:id="46"/>
    <w:bookmarkStart w:id="47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Three limitations bound the present work. First, the 16-trial corpus is a pilot drawn from the ESMO/ASCO reference lists, which introduces selection toward trials the guidelines already cite; the production-grade extension will replace this seed with a systematic ClinicalTrials.gov query. Second, eligibility coding was hand-curated from canonical primary publications; the LLM-extraction pipeline planned for production has its own validation requirements (per-field accuracy and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against this hand-curated set) and is reported separately. Third, the primary analysis uses ESMO 2024 as the single guideline source; ASCO and NCCN sensitivity analyses are pre-registered for the production extension. The internal multi-round review process identified six NCT-to-trial-name misidentifications across two rounds (full correction log in Supplementary Text 1), which were resolved against ClinicalTrials.gov</w:t>
      </w:r>
      <w:r>
        <w:t xml:space="preserve"> </w:t>
      </w:r>
      <w:r>
        <w:rPr>
          <w:rStyle w:val="VerbatimChar"/>
        </w:rPr>
        <w:t xml:space="preserve">briefTitle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conditionsModule</w:t>
      </w:r>
      <w:r>
        <w:t xml:space="preserve"> </w:t>
      </w:r>
      <w:r>
        <w:t xml:space="preserve">fields before the present draft was finalised; we report this transparency in the spirit of pre-registered, audit-friendly reporting.</w:t>
      </w:r>
    </w:p>
    <w:bookmarkEnd w:id="47"/>
    <w:bookmarkStart w:id="48" w:name="outlook."/>
    <w:p>
      <w:pPr>
        <w:pStyle w:val="Heading4"/>
      </w:pPr>
      <w:r>
        <w:t xml:space="preserve">Outlook.</w:t>
      </w:r>
    </w:p>
    <w:p>
      <w:pPr>
        <w:pStyle w:val="FirstParagraph"/>
      </w:pPr>
      <w:r>
        <w:t xml:space="preserve">The framework, schema, and ESMO encoding are released so that guideline committees, trial sponsors, and meta-research groups can extend and audit them. A community-maintained</w:t>
      </w:r>
      <w:r>
        <w:t xml:space="preserve"> </w:t>
      </w:r>
      <w:r>
        <w:rPr>
          <w:i/>
          <w:iCs/>
        </w:rPr>
        <w:t xml:space="preserve">Treatment-Sequencing Evidence Atlas</w:t>
      </w:r>
      <w:r>
        <w:t xml:space="preserve">, refreshed at every ESMO and ASCO guideline release, could provide a continuously-updated EFDPR overlay across solid tumours; immediate priorities are the NSCLC and mCRC applications, the LLM-extraction validation paper with inter-rater agreement against the hand-curated set, and an interactive web viewer that lets a clinician click any guideline decision node and see, in one screen, every trial-DAG edge that supports it and every edge that does not.</w:t>
      </w:r>
    </w:p>
    <w:bookmarkEnd w:id="48"/>
    <w:bookmarkStart w:id="49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Source datasets are public. ClinicalTrials.gov data were retrieved via API v2 at the freeze date noted in Methods; queries are reproduced in</w:t>
      </w:r>
      <w:r>
        <w:t xml:space="preserve"> </w:t>
      </w:r>
      <w:r>
        <w:rPr>
          <w:rStyle w:val="VerbatimChar"/>
        </w:rPr>
        <w:t xml:space="preserve">analysis/01_fetch_trials.py</w:t>
      </w:r>
      <w:r>
        <w:t xml:space="preserve">. The ESMO 2024 mBC update is available at its Annals of Oncology DOI. The structured trial-eligibility extractions, ESMO decision-tree encoding, and processed DAG are released at the GitHub repository in Code Availability and archived under a Zenodo DOI at the tagged release.</w:t>
      </w:r>
    </w:p>
    <w:bookmarkEnd w:id="49"/>
    <w:bookmarkStart w:id="51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Source code, frozen JSON schema, LaTeX sources, and compiled PDF are available at</w:t>
      </w:r>
      <w:r>
        <w:t xml:space="preserve"> </w:t>
      </w:r>
      <w:hyperlink r:id="rId50">
        <w:r>
          <w:rPr>
            <w:rStyle w:val="Hyperlink"/>
          </w:rPr>
          <w:t xml:space="preserve">https://github.com/htlin222/mbc-evidence-dag-paper</w:t>
        </w:r>
      </w:hyperlink>
      <w:r>
        <w:t xml:space="preserve"> </w:t>
      </w:r>
      <w:r>
        <w:t xml:space="preserve">under the MIT licence. The exact commit tagged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reproduces all figures and tables. Persistent code DOI via Zenodo to be minted at release.</w:t>
      </w:r>
    </w:p>
    <w:bookmarkEnd w:id="51"/>
    <w:bookmarkStart w:id="52" w:name="preregistration"/>
    <w:p>
      <w:pPr>
        <w:pStyle w:val="Heading2"/>
      </w:pPr>
      <w:r>
        <w:t xml:space="preserve">Preregistration</w:t>
      </w:r>
    </w:p>
    <w:p>
      <w:pPr>
        <w:pStyle w:val="FirstParagraph"/>
      </w:pPr>
      <w:r>
        <w:t xml:space="preserve">Primary and secondary outcomes were pre-registered in</w:t>
      </w:r>
      <w:r>
        <w:t xml:space="preserve"> </w:t>
      </w:r>
      <w:r>
        <w:rPr>
          <w:rStyle w:val="VerbatimChar"/>
        </w:rPr>
        <w:t xml:space="preserve">docs/prereg.md</w:t>
      </w:r>
      <w:r>
        <w:t xml:space="preserve"> </w:t>
      </w:r>
      <w:r>
        <w:t xml:space="preserve">prior to any outcome-touching analysis. The pre-registration commit hash is recorded in the repository’s first commit.</w:t>
      </w:r>
    </w:p>
    <w:bookmarkEnd w:id="52"/>
    <w:bookmarkStart w:id="53" w:name="reporting-transparency"/>
    <w:p>
      <w:pPr>
        <w:pStyle w:val="Heading2"/>
      </w:pPr>
      <w:r>
        <w:t xml:space="preserve">Reporting transparency</w:t>
      </w:r>
    </w:p>
    <w:p>
      <w:pPr>
        <w:pStyle w:val="FirstParagraph"/>
      </w:pPr>
      <w:r>
        <w:t xml:space="preserve">A reporting-transparency checklist based on PRISMA 2020, augmented with a six-item graph-encoding addendum, is provided as Supplementary Table S1.</w:t>
      </w:r>
    </w:p>
    <w:bookmarkEnd w:id="53"/>
    <w:bookmarkStart w:id="54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Following the CRediT taxonomy:</w:t>
      </w:r>
      <w:r>
        <w:t xml:space="preserve"> </w:t>
      </w:r>
      <w:r>
        <w:rPr>
          <w:b/>
          <w:bCs/>
        </w:rPr>
        <w:t xml:space="preserve">H.-T. Lin</w:t>
      </w:r>
      <w:r>
        <w:t xml:space="preserve">: conceptualisation, methodology, software, formal analysis, data curation, writing – original draft, writing – review &amp; editing.</w:t>
      </w:r>
    </w:p>
    <w:bookmarkEnd w:id="54"/>
    <w:bookmarkStart w:id="55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declares no competing financial or non-financial interests relevant to this work.</w:t>
      </w:r>
    </w:p>
    <w:bookmarkEnd w:id="55"/>
    <w:bookmarkStart w:id="56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funding was received for this work.</w:t>
      </w:r>
    </w:p>
    <w:bookmarkEnd w:id="56"/>
    <w:bookmarkStart w:id="97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acknowledges the open-data infrastructure provided by ClinicalTrials.gov and the European Society for Medical Oncology guideline programme.</w:t>
      </w:r>
    </w:p>
    <w:bookmarkStart w:id="96" w:name="refs"/>
    <w:bookmarkStart w:id="58" w:name="ref-andre2019solar1"/>
    <w:p>
      <w:pPr>
        <w:pStyle w:val="Bibliography"/>
      </w:pPr>
      <w:r>
        <w:t xml:space="preserve">André, Fabrice, Eva Ciruelos, Gabor Rubovszky, et al. 2019.</w:t>
      </w:r>
      <w:r>
        <w:t xml:space="preserve"> </w:t>
      </w:r>
      <w:r>
        <w:t xml:space="preserve">“Alpelisib for</w:t>
      </w:r>
      <w:r>
        <w:t xml:space="preserve"> </w:t>
      </w:r>
      <w:r>
        <w:t xml:space="preserve">PIK3CA-Mutated, Hormone Receptor-Positive</w:t>
      </w:r>
      <w:r>
        <w:t xml:space="preserve"> </w:t>
      </w:r>
      <w:r>
        <w:t xml:space="preserve">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380 (20): 1929–40.</w:t>
      </w:r>
      <w:r>
        <w:t xml:space="preserve"> </w:t>
      </w:r>
      <w:hyperlink r:id="rId57">
        <w:r>
          <w:rPr>
            <w:rStyle w:val="Hyperlink"/>
          </w:rPr>
          <w:t xml:space="preserve">https://doi.org/10.1056/NEJMoa1813904</w:t>
        </w:r>
      </w:hyperlink>
      <w:r>
        <w:t xml:space="preserve">.</w:t>
      </w:r>
    </w:p>
    <w:bookmarkEnd w:id="58"/>
    <w:bookmarkStart w:id="60" w:name="ref-bardia2024hergap"/>
    <w:p>
      <w:pPr>
        <w:pStyle w:val="Bibliography"/>
      </w:pPr>
      <w:r>
        <w:t xml:space="preserve">Bardia, Aditya, Xichun Hu, Rebecca Dent, et al.</w:t>
      </w:r>
      <w:r>
        <w:t xml:space="preserve"> 2024.</w:t>
      </w:r>
      <w:r>
        <w:t xml:space="preserve"> </w:t>
      </w:r>
      <w:r>
        <w:t xml:space="preserve">“Trastuzumab Deruxtecan After Endocrine Therapy in Metastatic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391 (22): 2110–22.</w:t>
      </w:r>
      <w:r>
        <w:t xml:space="preserve"> </w:t>
      </w:r>
      <w:hyperlink r:id="rId59">
        <w:r>
          <w:rPr>
            <w:rStyle w:val="Hyperlink"/>
          </w:rPr>
          <w:t xml:space="preserve">https://doi.org/10.1056/NEJMoa2406211</w:t>
        </w:r>
      </w:hyperlink>
      <w:r>
        <w:t xml:space="preserve">.</w:t>
      </w:r>
    </w:p>
    <w:bookmarkEnd w:id="60"/>
    <w:bookmarkStart w:id="62" w:name="ref-bidard2022emerald"/>
    <w:p>
      <w:pPr>
        <w:pStyle w:val="Bibliography"/>
      </w:pPr>
      <w:r>
        <w:t xml:space="preserve">Bidard, François-Clément, Virginia G. Kaklamani, Patrick Neven, et al.</w:t>
      </w:r>
      <w:r>
        <w:t xml:space="preserve"> 2022.</w:t>
      </w:r>
      <w:r>
        <w:t xml:space="preserve"> </w:t>
      </w:r>
      <w:r>
        <w:t xml:space="preserve">“Elacestrant (</w:t>
      </w:r>
      <w:r>
        <w:t xml:space="preserve">Oral Selective Estrogen Receptor Degrader</w:t>
      </w:r>
      <w:r>
        <w:t xml:space="preserve">) Versus Standard Endocrine Therapy for Estrogen Receptor-Positive, Human Epidermal Growth Factor Receptor 2-Negative Advanced Breast Cancer.”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40 (28): 3246–56.</w:t>
      </w:r>
      <w:r>
        <w:t xml:space="preserve"> </w:t>
      </w:r>
      <w:hyperlink r:id="rId61">
        <w:r>
          <w:rPr>
            <w:rStyle w:val="Hyperlink"/>
          </w:rPr>
          <w:t xml:space="preserve">https://doi.org/10.1200/JCO.22.00338</w:t>
        </w:r>
      </w:hyperlink>
      <w:r>
        <w:t xml:space="preserve">.</w:t>
      </w:r>
    </w:p>
    <w:bookmarkEnd w:id="62"/>
    <w:bookmarkStart w:id="64" w:name="ref-finn2016paloma2"/>
    <w:p>
      <w:pPr>
        <w:pStyle w:val="Bibliography"/>
      </w:pPr>
      <w:r>
        <w:t xml:space="preserve">Finn, Richard S., Miguel Martin, Hope S. Rugo, et al.</w:t>
      </w:r>
      <w:r>
        <w:t xml:space="preserve"> 2016.</w:t>
      </w:r>
      <w:r>
        <w:t xml:space="preserve"> </w:t>
      </w:r>
      <w:r>
        <w:t xml:space="preserve">“Palbociclib and Letrozole in 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375 (20): 1925–36.</w:t>
      </w:r>
      <w:r>
        <w:t xml:space="preserve"> </w:t>
      </w:r>
      <w:hyperlink r:id="rId63">
        <w:r>
          <w:rPr>
            <w:rStyle w:val="Hyperlink"/>
          </w:rPr>
          <w:t xml:space="preserve">https://doi.org/10.1056/NEJMoa1607303</w:t>
        </w:r>
      </w:hyperlink>
      <w:r>
        <w:t xml:space="preserve">.</w:t>
      </w:r>
    </w:p>
    <w:bookmarkEnd w:id="64"/>
    <w:bookmarkStart w:id="66" w:name="ref-cardosoESMO2024"/>
    <w:p>
      <w:pPr>
        <w:pStyle w:val="Bibliography"/>
      </w:pPr>
      <w:r>
        <w:t xml:space="preserve">Gennari, A., F. André, C. H. Barrios, et al. 2024.</w:t>
      </w:r>
      <w:r>
        <w:t xml:space="preserve"> </w:t>
      </w:r>
      <w:r>
        <w:t xml:space="preserve">“</w:t>
      </w:r>
      <w:r>
        <w:t xml:space="preserve">ESMO</w:t>
      </w:r>
      <w:r>
        <w:t xml:space="preserve"> </w:t>
      </w:r>
      <w:r>
        <w:t xml:space="preserve">Clinical Practice Guideline for the Diagnosis, Staging and Treatment of Patients with Metastatic Breast Cancer (Living Guideline 2024 Update).”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35 (2): 154–72.</w:t>
      </w:r>
      <w:r>
        <w:t xml:space="preserve"> </w:t>
      </w:r>
      <w:hyperlink r:id="rId65">
        <w:r>
          <w:rPr>
            <w:rStyle w:val="Hyperlink"/>
          </w:rPr>
          <w:t xml:space="preserve">https://doi.org/10.1016/j.annonc.2024.04.005</w:t>
        </w:r>
      </w:hyperlink>
      <w:r>
        <w:t xml:space="preserve">.</w:t>
      </w:r>
    </w:p>
    <w:bookmarkEnd w:id="66"/>
    <w:bookmarkStart w:id="68" w:name="ref-giordano2022asco"/>
    <w:p>
      <w:pPr>
        <w:pStyle w:val="Bibliography"/>
      </w:pPr>
      <w:r>
        <w:t xml:space="preserve">Giordano, Sharon H., Maria Alice Boyrie Franzoi, Sarah Temin, et al.</w:t>
      </w:r>
      <w:r>
        <w:t xml:space="preserve"> 2022.</w:t>
      </w:r>
      <w:r>
        <w:t xml:space="preserve"> </w:t>
      </w:r>
      <w:r>
        <w:t xml:space="preserve">“Systemic Therapy for Advanced Hormone Receptor-Positive Human Epidermal Growth Factor Receptor 2-Negative Breast Cancer:</w:t>
      </w:r>
      <w:r>
        <w:t xml:space="preserve"> </w:t>
      </w:r>
      <w:r>
        <w:t xml:space="preserve">ASCO</w:t>
      </w:r>
      <w:r>
        <w:t xml:space="preserve"> </w:t>
      </w:r>
      <w:r>
        <w:t xml:space="preserve">Guideline Update.”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40 (23): 2612–35.</w:t>
      </w:r>
      <w:r>
        <w:t xml:space="preserve"> </w:t>
      </w:r>
      <w:hyperlink r:id="rId67">
        <w:r>
          <w:rPr>
            <w:rStyle w:val="Hyperlink"/>
          </w:rPr>
          <w:t xml:space="preserve">https://doi.org/10.1200/JCO.22.00069</w:t>
        </w:r>
      </w:hyperlink>
      <w:r>
        <w:t xml:space="preserve">.</w:t>
      </w:r>
    </w:p>
    <w:bookmarkEnd w:id="68"/>
    <w:bookmarkStart w:id="70" w:name="ref-gradishar2023nccn"/>
    <w:p>
      <w:pPr>
        <w:pStyle w:val="Bibliography"/>
      </w:pPr>
      <w:r>
        <w:t xml:space="preserve">Gradishar, William J., Meena S. Moran, Jame Abraham, et al.</w:t>
      </w:r>
      <w:r>
        <w:t xml:space="preserve"> 2024.</w:t>
      </w:r>
      <w:r>
        <w:t xml:space="preserve"> </w:t>
      </w:r>
      <w:r>
        <w:t xml:space="preserve">“Breast Cancer, Version 3.2024,</w:t>
      </w:r>
      <w:r>
        <w:t xml:space="preserve"> </w:t>
      </w:r>
      <w:r>
        <w:t xml:space="preserve">NCCN</w:t>
      </w:r>
      <w:r>
        <w:t xml:space="preserve"> </w:t>
      </w:r>
      <w:r>
        <w:t xml:space="preserve">Clinical Practice Guidelines in Oncology.”</w:t>
      </w:r>
      <w:r>
        <w:t xml:space="preserve"> </w:t>
      </w:r>
      <w:r>
        <w:rPr>
          <w:i/>
          <w:iCs/>
        </w:rPr>
        <w:t xml:space="preserve">Journal of the National Comprehensive Cancer Network</w:t>
      </w:r>
      <w:r>
        <w:t xml:space="preserve"> </w:t>
      </w:r>
      <w:r>
        <w:t xml:space="preserve">22 (5): 331–57.</w:t>
      </w:r>
      <w:r>
        <w:t xml:space="preserve"> </w:t>
      </w:r>
      <w:hyperlink r:id="rId69">
        <w:r>
          <w:rPr>
            <w:rStyle w:val="Hyperlink"/>
          </w:rPr>
          <w:t xml:space="preserve">https://doi.org/10.6004/jnccn.2024.0035</w:t>
        </w:r>
      </w:hyperlink>
      <w:r>
        <w:t xml:space="preserve">.</w:t>
      </w:r>
    </w:p>
    <w:bookmarkEnd w:id="70"/>
    <w:bookmarkStart w:id="72" w:name="ref-hortobagyi2016monaleesa2"/>
    <w:p>
      <w:pPr>
        <w:pStyle w:val="Bibliography"/>
      </w:pPr>
      <w:r>
        <w:t xml:space="preserve">Hortobagyi, Gabriel N., Salomon M. Stemmer, Howard A. Burris, et al.</w:t>
      </w:r>
      <w:r>
        <w:t xml:space="preserve"> 2016.</w:t>
      </w:r>
      <w:r>
        <w:t xml:space="preserve"> </w:t>
      </w:r>
      <w:r>
        <w:t xml:space="preserve">“Ribociclib as First-Line Therapy for</w:t>
      </w:r>
      <w:r>
        <w:t xml:space="preserve"> </w:t>
      </w:r>
      <w:r>
        <w:t xml:space="preserve">HR-Positive</w:t>
      </w:r>
      <w:r>
        <w:t xml:space="preserve">, 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375 (18): 1738–48.</w:t>
      </w:r>
      <w:r>
        <w:t xml:space="preserve"> </w:t>
      </w:r>
      <w:hyperlink r:id="rId71">
        <w:r>
          <w:rPr>
            <w:rStyle w:val="Hyperlink"/>
          </w:rPr>
          <w:t xml:space="preserve">https://doi.org/10.1056/NEJMoa1609709</w:t>
        </w:r>
      </w:hyperlink>
      <w:r>
        <w:t xml:space="preserve">.</w:t>
      </w:r>
    </w:p>
    <w:bookmarkEnd w:id="72"/>
    <w:bookmarkStart w:id="74" w:name="ref-jhaveri2024inavo120"/>
    <w:p>
      <w:pPr>
        <w:pStyle w:val="Bibliography"/>
      </w:pPr>
      <w:r>
        <w:t xml:space="preserve">Jhaveri, Komal L., Seock-Ah Im, Cristina Saura, et al.</w:t>
      </w:r>
      <w:r>
        <w:t xml:space="preserve"> 2024.</w:t>
      </w:r>
      <w:r>
        <w:t xml:space="preserve"> </w:t>
      </w:r>
      <w:r>
        <w:t xml:space="preserve">“Inavolisib or Placebo in Combination with Palbociclib and Fulvestrant in</w:t>
      </w:r>
      <w:r>
        <w:t xml:space="preserve"> </w:t>
      </w:r>
      <w:r>
        <w:t xml:space="preserve">PIK3CA-Mutated</w:t>
      </w:r>
      <w:r>
        <w:t xml:space="preserve">, Hormone Receptor–Positive Advanced Breast Cancer:</w:t>
      </w:r>
      <w:r>
        <w:t xml:space="preserve"> </w:t>
      </w:r>
      <w:r>
        <w:t xml:space="preserve">INAVO120</w:t>
      </w:r>
      <w:r>
        <w:t xml:space="preserve">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, ahead of print.</w:t>
      </w:r>
      <w:r>
        <w:t xml:space="preserve"> </w:t>
      </w:r>
      <w:hyperlink r:id="rId73">
        <w:r>
          <w:rPr>
            <w:rStyle w:val="Hyperlink"/>
          </w:rPr>
          <w:t xml:space="preserve">https://doi.org/10.1056/NEJMoa2404400</w:t>
        </w:r>
      </w:hyperlink>
      <w:r>
        <w:t xml:space="preserve">.</w:t>
      </w:r>
    </w:p>
    <w:bookmarkEnd w:id="74"/>
    <w:bookmarkStart w:id="76" w:name="ref-johnston2019monarch3"/>
    <w:p>
      <w:pPr>
        <w:pStyle w:val="Bibliography"/>
      </w:pPr>
      <w:r>
        <w:t xml:space="preserve">Johnston, Stephen, Miguel Martin, Angelo Di Leo, et al.</w:t>
      </w:r>
      <w:r>
        <w:t xml:space="preserve"> 2019.</w:t>
      </w:r>
      <w:r>
        <w:t xml:space="preserve"> </w:t>
      </w:r>
      <w:r>
        <w:t xml:space="preserve">“</w:t>
      </w:r>
      <w:r>
        <w:t xml:space="preserve">MONARCH 3</w:t>
      </w:r>
      <w:r>
        <w:t xml:space="preserve"> </w:t>
      </w:r>
      <w:r>
        <w:t xml:space="preserve">Final</w:t>
      </w:r>
      <w:r>
        <w:t xml:space="preserve"> </w:t>
      </w:r>
      <w:r>
        <w:t xml:space="preserve">PFS</w:t>
      </w:r>
      <w:r>
        <w:t xml:space="preserve">: A Randomized Study of Abemaciclib as Initial Therapy for Advanced Breast Cancer.”</w:t>
      </w:r>
      <w:r>
        <w:t xml:space="preserve"> </w:t>
      </w:r>
      <w:r>
        <w:rPr>
          <w:i/>
          <w:iCs/>
        </w:rPr>
        <w:t xml:space="preserve">Npj Breast Cancer</w:t>
      </w:r>
      <w:r>
        <w:t xml:space="preserve"> </w:t>
      </w:r>
      <w:r>
        <w:t xml:space="preserve">5: 5.</w:t>
      </w:r>
      <w:r>
        <w:t xml:space="preserve"> </w:t>
      </w:r>
      <w:hyperlink r:id="rId75">
        <w:r>
          <w:rPr>
            <w:rStyle w:val="Hyperlink"/>
          </w:rPr>
          <w:t xml:space="preserve">https://doi.org/10.1038/s41523-018-0097-z</w:t>
        </w:r>
      </w:hyperlink>
      <w:r>
        <w:t xml:space="preserve">.</w:t>
      </w:r>
    </w:p>
    <w:bookmarkEnd w:id="76"/>
    <w:bookmarkStart w:id="77" w:name="ref-kalinsky2024postmonarch"/>
    <w:p>
      <w:pPr>
        <w:pStyle w:val="Bibliography"/>
      </w:pPr>
      <w:r>
        <w:t xml:space="preserve">Kalinsky, Kevin, Giampaolo Bianchini, Erika Hamilton, et al.</w:t>
      </w:r>
      <w:r>
        <w:t xml:space="preserve"> 2024.</w:t>
      </w:r>
      <w:r>
        <w:t xml:space="preserve"> </w:t>
      </w:r>
      <w:r>
        <w:t xml:space="preserve">“</w:t>
      </w:r>
      <w:r>
        <w:t xml:space="preserve">postMONARCH</w:t>
      </w:r>
      <w:r>
        <w:t xml:space="preserve">: Abemaciclib Plus Fulvestrant After Progression on Prior</w:t>
      </w:r>
      <w:r>
        <w:t xml:space="preserve"> </w:t>
      </w:r>
      <w:r>
        <w:t xml:space="preserve">CDK4/6</w:t>
      </w:r>
      <w:r>
        <w:t xml:space="preserve"> </w:t>
      </w:r>
      <w:r>
        <w:t xml:space="preserve">Inhibitor and Endocrine Therapy in Hormone Receptor–Positive Metastatic Breast Cancer.”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.</w:t>
      </w:r>
    </w:p>
    <w:bookmarkEnd w:id="77"/>
    <w:bookmarkStart w:id="79" w:name="ref-modi2022destinyb04"/>
    <w:p>
      <w:pPr>
        <w:pStyle w:val="Bibliography"/>
      </w:pPr>
      <w:r>
        <w:t xml:space="preserve">Modi, Shanu, William Jacot, Toshinari Yamashita, et al. 2022.</w:t>
      </w:r>
      <w:r>
        <w:t xml:space="preserve"> </w:t>
      </w:r>
      <w:r>
        <w:t xml:space="preserve">“Trastuzumab Deruxtecan in Previously Treated</w:t>
      </w:r>
      <w:r>
        <w:t xml:space="preserve"> </w:t>
      </w:r>
      <w:r>
        <w:t xml:space="preserve">HER2-Low</w:t>
      </w:r>
      <w:r>
        <w:t xml:space="preserve"> </w:t>
      </w:r>
      <w:r>
        <w:t xml:space="preserve">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387 (1): 9–20.</w:t>
      </w:r>
      <w:r>
        <w:t xml:space="preserve"> </w:t>
      </w:r>
      <w:hyperlink r:id="rId78">
        <w:r>
          <w:rPr>
            <w:rStyle w:val="Hyperlink"/>
          </w:rPr>
          <w:t xml:space="preserve">https://doi.org/10.1056/NEJMoa2203690</w:t>
        </w:r>
      </w:hyperlink>
      <w:r>
        <w:t xml:space="preserve">.</w:t>
      </w:r>
    </w:p>
    <w:bookmarkEnd w:id="79"/>
    <w:bookmarkStart w:id="81" w:name="ref-niranjan2020representation"/>
    <w:p>
      <w:pPr>
        <w:pStyle w:val="Bibliography"/>
      </w:pPr>
      <w:r>
        <w:t xml:space="preserve">Niranjan, Soumya J., Jennifer A. Wenzel, Michelle Y. Martin, et al.</w:t>
      </w:r>
      <w:r>
        <w:t xml:space="preserve"> 2020.</w:t>
      </w:r>
      <w:r>
        <w:t xml:space="preserve"> </w:t>
      </w:r>
      <w:r>
        <w:t xml:space="preserve">“Race, Ethnicity, and Sex of Participants in Clinical Trials Focused on Chronic Pain.”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 </w:t>
      </w:r>
      <w:r>
        <w:t xml:space="preserve">3 (5): e205169.</w:t>
      </w:r>
      <w:r>
        <w:t xml:space="preserve"> </w:t>
      </w:r>
      <w:hyperlink r:id="rId80">
        <w:r>
          <w:rPr>
            <w:rStyle w:val="Hyperlink"/>
          </w:rPr>
          <w:t xml:space="preserve">https://doi.org/10.1001/jamanetworkopen.2020.5169</w:t>
        </w:r>
      </w:hyperlink>
      <w:r>
        <w:t xml:space="preserve">.</w:t>
      </w:r>
    </w:p>
    <w:bookmarkEnd w:id="81"/>
    <w:bookmarkStart w:id="83" w:name="ref-robson2017olympiad"/>
    <w:p>
      <w:pPr>
        <w:pStyle w:val="Bibliography"/>
      </w:pPr>
      <w:r>
        <w:t xml:space="preserve">Robson, Mark, Seock-Ah Im, Elzbieta Senkus, et al.</w:t>
      </w:r>
      <w:r>
        <w:t xml:space="preserve"> 2017.</w:t>
      </w:r>
      <w:r>
        <w:t xml:space="preserve"> </w:t>
      </w:r>
      <w:r>
        <w:t xml:space="preserve">“Olaparib for Metastatic Breast Cancer in Patients with a Germline</w:t>
      </w:r>
      <w:r>
        <w:t xml:space="preserve"> </w:t>
      </w:r>
      <w:r>
        <w:t xml:space="preserve">BRCA</w:t>
      </w:r>
      <w:r>
        <w:t xml:space="preserve"> </w:t>
      </w:r>
      <w:r>
        <w:t xml:space="preserve">Mutation.”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377 (6): 523–33.</w:t>
      </w:r>
      <w:r>
        <w:t xml:space="preserve"> </w:t>
      </w:r>
      <w:hyperlink r:id="rId82">
        <w:r>
          <w:rPr>
            <w:rStyle w:val="Hyperlink"/>
          </w:rPr>
          <w:t xml:space="preserve">https://doi.org/10.1056/NEJMoa1706450</w:t>
        </w:r>
      </w:hyperlink>
      <w:r>
        <w:t xml:space="preserve">.</w:t>
      </w:r>
    </w:p>
    <w:bookmarkEnd w:id="83"/>
    <w:bookmarkStart w:id="85" w:name="ref-rugo2023tropics02"/>
    <w:p>
      <w:pPr>
        <w:pStyle w:val="Bibliography"/>
      </w:pPr>
      <w:r>
        <w:t xml:space="preserve">Rugo, Hope S., Aditya Bardia, Frederik Marme, et al.</w:t>
      </w:r>
      <w:r>
        <w:t xml:space="preserve"> 2022.</w:t>
      </w:r>
      <w:r>
        <w:t xml:space="preserve"> </w:t>
      </w:r>
      <w:r>
        <w:t xml:space="preserve">“Sacituzumab Govitecan in Hormone Receptor–Positive/Human Epidermal Growth Factor Receptor 2–Negative Metastatic Breast Cancer (</w:t>
      </w:r>
      <w:r>
        <w:t xml:space="preserve">TROPiCS-02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40 (29): 3365–76.</w:t>
      </w:r>
      <w:r>
        <w:t xml:space="preserve"> </w:t>
      </w:r>
      <w:hyperlink r:id="rId84">
        <w:r>
          <w:rPr>
            <w:rStyle w:val="Hyperlink"/>
          </w:rPr>
          <w:t xml:space="preserve">https://doi.org/10.1200/JCO.22.01002</w:t>
        </w:r>
      </w:hyperlink>
      <w:r>
        <w:t xml:space="preserve">.</w:t>
      </w:r>
    </w:p>
    <w:bookmarkEnd w:id="85"/>
    <w:bookmarkStart w:id="87" w:name="ref-slamon2018monaleesa3"/>
    <w:p>
      <w:pPr>
        <w:pStyle w:val="Bibliography"/>
      </w:pPr>
      <w:r>
        <w:t xml:space="preserve">Slamon, Dennis J., Patrick Neven, Stephen Chia, et al.</w:t>
      </w:r>
      <w:r>
        <w:t xml:space="preserve"> 2018.</w:t>
      </w:r>
      <w:r>
        <w:t xml:space="preserve"> </w:t>
      </w:r>
      <w:r>
        <w:t xml:space="preserve">“Phase</w:t>
      </w:r>
      <w:r>
        <w:t xml:space="preserve"> </w:t>
      </w:r>
      <w:r>
        <w:t xml:space="preserve">III</w:t>
      </w:r>
      <w:r>
        <w:t xml:space="preserve"> </w:t>
      </w:r>
      <w:r>
        <w:t xml:space="preserve">Randomized Study of Ribociclib and Fulvestrant in Hormone Receptor–Positive, Human Epidermal Growth Factor Receptor 2–Negative Advanced Breast Cancer:</w:t>
      </w:r>
      <w:r>
        <w:t xml:space="preserve"> </w:t>
      </w:r>
      <w:r>
        <w:t xml:space="preserve">MONALEESA-3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36 (24): 2465–72.</w:t>
      </w:r>
      <w:r>
        <w:t xml:space="preserve"> </w:t>
      </w:r>
      <w:hyperlink r:id="rId86">
        <w:r>
          <w:rPr>
            <w:rStyle w:val="Hyperlink"/>
          </w:rPr>
          <w:t xml:space="preserve">https://doi.org/10.1200/JCO.2018.78.9909</w:t>
        </w:r>
      </w:hyperlink>
      <w:r>
        <w:t xml:space="preserve">.</w:t>
      </w:r>
    </w:p>
    <w:bookmarkEnd w:id="87"/>
    <w:bookmarkStart w:id="89" w:name="ref-sledge2017monarch2"/>
    <w:p>
      <w:pPr>
        <w:pStyle w:val="Bibliography"/>
      </w:pPr>
      <w:r>
        <w:t xml:space="preserve">Sledge, George W., Masakazu Toi, Patrick Neven, et al.</w:t>
      </w:r>
      <w:r>
        <w:t xml:space="preserve"> 2017.</w:t>
      </w:r>
      <w:r>
        <w:t xml:space="preserve"> </w:t>
      </w:r>
      <w:r>
        <w:t xml:space="preserve">“</w:t>
      </w:r>
      <w:r>
        <w:t xml:space="preserve">MONARCH 2</w:t>
      </w:r>
      <w:r>
        <w:t xml:space="preserve">: Abemaciclib in Combination with Fulvestrant in Women with</w:t>
      </w:r>
      <w:r>
        <w:t xml:space="preserve"> </w:t>
      </w:r>
      <w:r>
        <w:t xml:space="preserve">HR+/HER2-</w:t>
      </w:r>
      <w:r>
        <w:t xml:space="preserve"> </w:t>
      </w:r>
      <w:r>
        <w:t xml:space="preserve">Advanced Breast Cancer Who Had Progressed While Receiving Endocrine Therapy.”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35 (25): 2875–84.</w:t>
      </w:r>
      <w:r>
        <w:t xml:space="preserve"> </w:t>
      </w:r>
      <w:hyperlink r:id="rId88">
        <w:r>
          <w:rPr>
            <w:rStyle w:val="Hyperlink"/>
          </w:rPr>
          <w:t xml:space="preserve">https://doi.org/10.1200/JCO.2017.73.7585</w:t>
        </w:r>
      </w:hyperlink>
      <w:r>
        <w:t xml:space="preserve">.</w:t>
      </w:r>
    </w:p>
    <w:bookmarkEnd w:id="89"/>
    <w:bookmarkStart w:id="91" w:name="ref-tripathy2018monaleesa7"/>
    <w:p>
      <w:pPr>
        <w:pStyle w:val="Bibliography"/>
      </w:pPr>
      <w:r>
        <w:t xml:space="preserve">Tripathy, Debu, Seock-Ah Im, Marco Colleoni, et al.</w:t>
      </w:r>
      <w:r>
        <w:t xml:space="preserve"> 2018.</w:t>
      </w:r>
      <w:r>
        <w:t xml:space="preserve"> </w:t>
      </w:r>
      <w:r>
        <w:t xml:space="preserve">“Ribociclib Plus Endocrine Therapy for Premenopausal Women with Hormone-Receptor-Positive, Advanced Breast Cancer (</w:t>
      </w:r>
      <w:r>
        <w:t xml:space="preserve">MONALEESA-7</w:t>
      </w:r>
      <w:r>
        <w:t xml:space="preserve">).”</w:t>
      </w:r>
      <w:r>
        <w:t xml:space="preserve"> </w:t>
      </w:r>
      <w:r>
        <w:rPr>
          <w:i/>
          <w:iCs/>
        </w:rPr>
        <w:t xml:space="preserve">The Lancet Oncology</w:t>
      </w:r>
      <w:r>
        <w:t xml:space="preserve"> </w:t>
      </w:r>
      <w:r>
        <w:t xml:space="preserve">19 (7): 904–15.</w:t>
      </w:r>
      <w:r>
        <w:t xml:space="preserve"> </w:t>
      </w:r>
      <w:hyperlink r:id="rId90">
        <w:r>
          <w:rPr>
            <w:rStyle w:val="Hyperlink"/>
          </w:rPr>
          <w:t xml:space="preserve">https://doi.org/10.1016/S1470-2045(18)30292-4</w:t>
        </w:r>
      </w:hyperlink>
      <w:r>
        <w:t xml:space="preserve">.</w:t>
      </w:r>
    </w:p>
    <w:bookmarkEnd w:id="91"/>
    <w:bookmarkStart w:id="93" w:name="ref-turner2023evidence"/>
    <w:p>
      <w:pPr>
        <w:pStyle w:val="Bibliography"/>
      </w:pPr>
      <w:r>
        <w:t xml:space="preserve">Turner, Nicholas C., Mafalda Oliveira, Sacha J. Howell, et al.</w:t>
      </w:r>
      <w:r>
        <w:t xml:space="preserve"> 2023.</w:t>
      </w:r>
      <w:r>
        <w:t xml:space="preserve"> </w:t>
      </w:r>
      <w:r>
        <w:t xml:space="preserve">“Capivasertib in Hormone Receptor-Positive 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388 (22): 2058–70.</w:t>
      </w:r>
      <w:r>
        <w:t xml:space="preserve"> </w:t>
      </w:r>
      <w:hyperlink r:id="rId92">
        <w:r>
          <w:rPr>
            <w:rStyle w:val="Hyperlink"/>
          </w:rPr>
          <w:t xml:space="preserve">https://doi.org/10.1056/NEJMoa2214131</w:t>
        </w:r>
      </w:hyperlink>
      <w:r>
        <w:t xml:space="preserve">.</w:t>
      </w:r>
    </w:p>
    <w:bookmarkEnd w:id="93"/>
    <w:bookmarkStart w:id="95" w:name="ref-turner2015paloma3"/>
    <w:p>
      <w:pPr>
        <w:pStyle w:val="Bibliography"/>
      </w:pPr>
      <w:r>
        <w:t xml:space="preserve">Turner, Nicholas C., Jungsil Ro, Fabrice André, et al. 2015.</w:t>
      </w:r>
      <w:r>
        <w:t xml:space="preserve"> </w:t>
      </w:r>
      <w:r>
        <w:t xml:space="preserve">“Palbociclib in Hormone-Receptor-Positive 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373 (3): 209–19.</w:t>
      </w:r>
      <w:r>
        <w:t xml:space="preserve"> </w:t>
      </w:r>
      <w:hyperlink r:id="rId94">
        <w:r>
          <w:rPr>
            <w:rStyle w:val="Hyperlink"/>
          </w:rPr>
          <w:t xml:space="preserve">https://doi.org/10.1056/NEJMoa1505270</w:t>
        </w:r>
      </w:hyperlink>
      <w:r>
        <w:t xml:space="preserve">.</w:t>
      </w:r>
    </w:p>
    <w:bookmarkEnd w:id="95"/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df" /><Relationship Type="http://schemas.openxmlformats.org/officeDocument/2006/relationships/image" Id="rId25" Target="media/rId25.pdf" /><Relationship Type="http://schemas.openxmlformats.org/officeDocument/2006/relationships/image" Id="rId31" Target="media/rId31.pdf" /><Relationship Type="http://schemas.openxmlformats.org/officeDocument/2006/relationships/hyperlink" Id="rId80" Target="https://doi.org/10.1001/jamanetworkopen.2020.5169" TargetMode="External" /><Relationship Type="http://schemas.openxmlformats.org/officeDocument/2006/relationships/hyperlink" Id="rId90" Target="https://doi.org/10.1016/S1470-2045(18)30292-4" TargetMode="External" /><Relationship Type="http://schemas.openxmlformats.org/officeDocument/2006/relationships/hyperlink" Id="rId65" Target="https://doi.org/10.1016/j.annonc.2024.04.005" TargetMode="External" /><Relationship Type="http://schemas.openxmlformats.org/officeDocument/2006/relationships/hyperlink" Id="rId75" Target="https://doi.org/10.1038/s41523-018-0097-z" TargetMode="External" /><Relationship Type="http://schemas.openxmlformats.org/officeDocument/2006/relationships/hyperlink" Id="rId94" Target="https://doi.org/10.1056/NEJMoa1505270" TargetMode="External" /><Relationship Type="http://schemas.openxmlformats.org/officeDocument/2006/relationships/hyperlink" Id="rId63" Target="https://doi.org/10.1056/NEJMoa1607303" TargetMode="External" /><Relationship Type="http://schemas.openxmlformats.org/officeDocument/2006/relationships/hyperlink" Id="rId71" Target="https://doi.org/10.1056/NEJMoa1609709" TargetMode="External" /><Relationship Type="http://schemas.openxmlformats.org/officeDocument/2006/relationships/hyperlink" Id="rId82" Target="https://doi.org/10.1056/NEJMoa1706450" TargetMode="External" /><Relationship Type="http://schemas.openxmlformats.org/officeDocument/2006/relationships/hyperlink" Id="rId57" Target="https://doi.org/10.1056/NEJMoa1813904" TargetMode="External" /><Relationship Type="http://schemas.openxmlformats.org/officeDocument/2006/relationships/hyperlink" Id="rId78" Target="https://doi.org/10.1056/NEJMoa2203690" TargetMode="External" /><Relationship Type="http://schemas.openxmlformats.org/officeDocument/2006/relationships/hyperlink" Id="rId92" Target="https://doi.org/10.1056/NEJMoa2214131" TargetMode="External" /><Relationship Type="http://schemas.openxmlformats.org/officeDocument/2006/relationships/hyperlink" Id="rId73" Target="https://doi.org/10.1056/NEJMoa2404400" TargetMode="External" /><Relationship Type="http://schemas.openxmlformats.org/officeDocument/2006/relationships/hyperlink" Id="rId59" Target="https://doi.org/10.1056/NEJMoa2406211" TargetMode="External" /><Relationship Type="http://schemas.openxmlformats.org/officeDocument/2006/relationships/hyperlink" Id="rId88" Target="https://doi.org/10.1200/JCO.2017.73.7585" TargetMode="External" /><Relationship Type="http://schemas.openxmlformats.org/officeDocument/2006/relationships/hyperlink" Id="rId86" Target="https://doi.org/10.1200/JCO.2018.78.9909" TargetMode="External" /><Relationship Type="http://schemas.openxmlformats.org/officeDocument/2006/relationships/hyperlink" Id="rId67" Target="https://doi.org/10.1200/JCO.22.00069" TargetMode="External" /><Relationship Type="http://schemas.openxmlformats.org/officeDocument/2006/relationships/hyperlink" Id="rId61" Target="https://doi.org/10.1200/JCO.22.00338" TargetMode="External" /><Relationship Type="http://schemas.openxmlformats.org/officeDocument/2006/relationships/hyperlink" Id="rId84" Target="https://doi.org/10.1200/JCO.22.01002" TargetMode="External" /><Relationship Type="http://schemas.openxmlformats.org/officeDocument/2006/relationships/hyperlink" Id="rId69" Target="https://doi.org/10.6004/jnccn.2024.0035" TargetMode="External" /><Relationship Type="http://schemas.openxmlformats.org/officeDocument/2006/relationships/hyperlink" Id="rId50" Target="https://github.com/htlin222/mbc-evidence-dag-pap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doi.org/10.1001/jamanetworkopen.2020.5169" TargetMode="External" /><Relationship Type="http://schemas.openxmlformats.org/officeDocument/2006/relationships/hyperlink" Id="rId90" Target="https://doi.org/10.1016/S1470-2045(18)30292-4" TargetMode="External" /><Relationship Type="http://schemas.openxmlformats.org/officeDocument/2006/relationships/hyperlink" Id="rId65" Target="https://doi.org/10.1016/j.annonc.2024.04.005" TargetMode="External" /><Relationship Type="http://schemas.openxmlformats.org/officeDocument/2006/relationships/hyperlink" Id="rId75" Target="https://doi.org/10.1038/s41523-018-0097-z" TargetMode="External" /><Relationship Type="http://schemas.openxmlformats.org/officeDocument/2006/relationships/hyperlink" Id="rId94" Target="https://doi.org/10.1056/NEJMoa1505270" TargetMode="External" /><Relationship Type="http://schemas.openxmlformats.org/officeDocument/2006/relationships/hyperlink" Id="rId63" Target="https://doi.org/10.1056/NEJMoa1607303" TargetMode="External" /><Relationship Type="http://schemas.openxmlformats.org/officeDocument/2006/relationships/hyperlink" Id="rId71" Target="https://doi.org/10.1056/NEJMoa1609709" TargetMode="External" /><Relationship Type="http://schemas.openxmlformats.org/officeDocument/2006/relationships/hyperlink" Id="rId82" Target="https://doi.org/10.1056/NEJMoa1706450" TargetMode="External" /><Relationship Type="http://schemas.openxmlformats.org/officeDocument/2006/relationships/hyperlink" Id="rId57" Target="https://doi.org/10.1056/NEJMoa1813904" TargetMode="External" /><Relationship Type="http://schemas.openxmlformats.org/officeDocument/2006/relationships/hyperlink" Id="rId78" Target="https://doi.org/10.1056/NEJMoa2203690" TargetMode="External" /><Relationship Type="http://schemas.openxmlformats.org/officeDocument/2006/relationships/hyperlink" Id="rId92" Target="https://doi.org/10.1056/NEJMoa2214131" TargetMode="External" /><Relationship Type="http://schemas.openxmlformats.org/officeDocument/2006/relationships/hyperlink" Id="rId73" Target="https://doi.org/10.1056/NEJMoa2404400" TargetMode="External" /><Relationship Type="http://schemas.openxmlformats.org/officeDocument/2006/relationships/hyperlink" Id="rId59" Target="https://doi.org/10.1056/NEJMoa2406211" TargetMode="External" /><Relationship Type="http://schemas.openxmlformats.org/officeDocument/2006/relationships/hyperlink" Id="rId88" Target="https://doi.org/10.1200/JCO.2017.73.7585" TargetMode="External" /><Relationship Type="http://schemas.openxmlformats.org/officeDocument/2006/relationships/hyperlink" Id="rId86" Target="https://doi.org/10.1200/JCO.2018.78.9909" TargetMode="External" /><Relationship Type="http://schemas.openxmlformats.org/officeDocument/2006/relationships/hyperlink" Id="rId67" Target="https://doi.org/10.1200/JCO.22.00069" TargetMode="External" /><Relationship Type="http://schemas.openxmlformats.org/officeDocument/2006/relationships/hyperlink" Id="rId61" Target="https://doi.org/10.1200/JCO.22.00338" TargetMode="External" /><Relationship Type="http://schemas.openxmlformats.org/officeDocument/2006/relationships/hyperlink" Id="rId84" Target="https://doi.org/10.1200/JCO.22.01002" TargetMode="External" /><Relationship Type="http://schemas.openxmlformats.org/officeDocument/2006/relationships/hyperlink" Id="rId69" Target="https://doi.org/10.6004/jnccn.2024.0035" TargetMode="External" /><Relationship Type="http://schemas.openxmlformats.org/officeDocument/2006/relationships/hyperlink" Id="rId50" Target="https://github.com/htlin222/mbc-evidence-dag-pap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A Computable Map of Treatment-Sequencing Evidence in HR+/HER2- Metastatic Breast Cancer: A Graph-Theoretic Pilot Comparing Trial Chains with the ESMO Guideline Decision Tree</dc:title>
  <dc:creator>Hsieh-Ting Lin</dc:creator>
  <cp:keywords/>
  <dcterms:created xsi:type="dcterms:W3CDTF">2026-05-17T05:08:44Z</dcterms:created>
  <dcterms:modified xsi:type="dcterms:W3CDTF">2026-05-17T05:08:44Z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Purpose.  HR+/HER2- metastatic breast cancer (mBC) guidelines compose multi-line treatment recommendations across non-overlapping pivotal trials, but the structural concordance between guideline decision trees and the underlying trial evidence has not been quantified. We introduce a graph-theoretic framework that makes this concordance computable and apply it to the ESMO 2024 update. Methods.  We retrieved 16 trials in total — 15 pivotal phase 2/3 HR+/HER2- mBC trials and one PARP-inhibitor reference trial for the gBRCAm decision node — from ClinicalTrials.gov v2 (freeze 2026-05-16) and structured each trial’s eligibility into a frozen JSON schema by hand-curated extraction from canonical primary publications. The corpus was represented as a directed graph whose (prior-state, biomarker) nodes are shared with a parallel 16-node encoding of the ESMO HR+/HER2- decision tree. The evidence-free decision-point ratio (EFDPR) is the fraction of guideline nodes with no trial edge satisfying state-superset, biomarker-concordance, drug-class, and temporal-precedence criteria, reported under three pre-registered tolerance levels (strict, ESCAT-aligned, liberal). The pre-registered primary test was a one-sided exact binomial test of H_0: \mathrm{EFDPR} \le 0.25; Clopper-Pearson and bootstrap-percentile 95% CIs accompany each estimate. Results.  Under strict and ESCAT-aligned concordance the EFDPR was 0.31 (5/16; Clopper-Pearson 95% CI 0.11–0.59); liberal tolerance gave 0.19 (3/16; CI 0.04–0.46). The pre-registered exact-binomial test failed to reject the null under all three tolerance levels (strict and ESCAT P=0.37; liberal P=0.80). Evidence-free nodes under strict concordance clustered at post-CDK4/6i and adjacent biomarker-stratified positions (ESR1mut, AKT-pathway, post-CDK4/6i PIK3CAmut, post-CDK4/6i no-actionable-mutation, and the post-CDK4/6i+post-endo everolimus node). Operationalization discordance was highest for the prior-CDK4/6i inclusion variable (ODI 0.91, bootstrap 95% CI 0.76–1.00; 7 trials). Conclusion.  In this pre-registered 16-trial pilot the EFDPR point estimate modestly exceeded 0.25 but the pre-registered exact-binomial test did not reject at \alpha=0.05; the result is best read as descriptive evidence of composition-across-non-overlapping-trials in post-CDK4/6i biomarker-stratified positions, with confirmatory testing deferred to a systematic-review-scale extension. The framework, schema, decision-tree encoding, and code are released under MIT licence.</vt:lpwstr>
  </property>
  <property fmtid="{D5CDD505-2E9C-101B-9397-08002B2CF9AE}" pid="3" name="bibliography">
    <vt:lpwstr>references.bib</vt:lpwstr>
  </property>
  <property fmtid="{D5CDD505-2E9C-101B-9397-08002B2CF9AE}" pid="4" name="date">
    <vt:lpwstr>2026-05-17</vt:lpwstr>
  </property>
</Properties>
</file>