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</w:t>
      </w:r>
      <w:r>
        <w:rPr>
          <w:b/>
          <w:bCs/>
        </w:rPr>
        <w:t xml:space="preserve">Supplementary Material for:</w:t>
      </w:r>
      <w:r>
        <w:br/>
      </w:r>
      <w:r>
        <w:rPr>
          <w:b/>
          <w:bCs/>
        </w:rPr>
        <w:t xml:space="preserve">Evidence-Free Decision Points in Biomarker-Driven Metastatic Cancer Guidelines</w:t>
      </w:r>
    </w:p>
    <w:p>
      <w:pPr>
        <w:pStyle w:val="Author"/>
      </w:pPr>
      <w:r>
        <w:t xml:space="preserve">Hsieh-Ting Lin</w:t>
      </w:r>
    </w:p>
    <w:p>
      <w:pPr>
        <w:pStyle w:val="Date"/>
      </w:pPr>
      <w:r>
        <w:t xml:space="preserve">2026-05-20</w:t>
      </w:r>
    </w:p>
    <w:p>
      <w:pPr>
        <w:pStyle w:val="FirstParagraph"/>
      </w:pPr>
      <w:r>
        <w:t xml:space="preserve">This document supplements the main manuscript</w:t>
      </w:r>
      <w:r>
        <w:t xml:space="preserve"> </w:t>
      </w:r>
      <w:r>
        <w:rPr>
          <w:i/>
          <w:iCs/>
        </w:rPr>
        <w:t xml:space="preserve">Evidence-Free Decision Points in Biomarker-Driven Metastatic Cancer Guidelines: A Pre-Registered Multi-Tumor Audit of ESMO, ASCO, and NCCN Decision Trees in HR+/HER2- Breast Cancer and EGFR/ALK Non-Small-Cell Lung Cancer</w:t>
      </w:r>
      <w:r>
        <w:t xml:space="preserve"> </w:t>
      </w:r>
      <w:r>
        <w:t xml:space="preserve">(Paper A; tagged release</w:t>
      </w:r>
      <w:r>
        <w:t xml:space="preserve"> </w:t>
      </w:r>
      <w:r>
        <w:rPr>
          <w:rStyle w:val="VerbatimChar"/>
        </w:rPr>
        <w:t xml:space="preserve">v3.0.0</w:t>
      </w:r>
      <w:r>
        <w:t xml:space="preserve">; Zenodo DOI</w:t>
      </w:r>
      <w:r>
        <w:t xml:space="preserve"> </w:t>
      </w:r>
      <w:r>
        <w:rPr>
          <w:rStyle w:val="VerbatimChar"/>
        </w:rPr>
        <w:t xml:space="preserve">10.5281/zenodo.20250848</w:t>
      </w:r>
      <w:r>
        <w:t xml:space="preserve">).</w:t>
      </w:r>
    </w:p>
    <w:p>
      <w:pPr>
        <w:pStyle w:val="BodyText"/>
      </w:pPr>
      <w:r>
        <w:t xml:space="preserve">The four tables provided are: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S1.</w:t>
      </w:r>
      <w:r>
        <w:t xml:space="preserve"> </w:t>
      </w:r>
      <w:r>
        <w:t xml:space="preserve">PRISMA-2020 reporting items modified for graph-theoretic guideline-trial concordance analysis (with graph-encoding addendum).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S2.</w:t>
      </w:r>
      <w:r>
        <w:t xml:space="preserve"> </w:t>
      </w:r>
      <w:r>
        <w:t xml:space="preserve">Representative per-trial structured extractions (10 of 259 pivotal trials).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S3.</w:t>
      </w:r>
      <w:r>
        <w:t xml:space="preserve"> </w:t>
      </w:r>
      <w:r>
        <w:t xml:space="preserve">Full 49-node ESMO/ASCO/NCCN unified decision tree with strict-tolerance concordance status.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Table S4.</w:t>
      </w:r>
      <w:r>
        <w:t xml:space="preserve"> </w:t>
      </w:r>
      <w:r>
        <w:t xml:space="preserve">Adjudication rules log consolidating the deterministic rules applied when LLM annotators disagreed.</w:t>
      </w:r>
    </w:p>
    <w:bookmarkStart w:id="9" w:name="Xbc3680fe8b3c22fd460a6be55b33caf444513bb"/>
    <w:p>
      <w:pPr>
        <w:pStyle w:val="Heading1"/>
      </w:pPr>
      <w:r>
        <w:t xml:space="preserve">S1: PRISMA-2020 reporting checklist (modified)</w:t>
      </w:r>
    </w:p>
    <w:p>
      <w:pPr>
        <w:pStyle w:val="FirstParagraph"/>
      </w:pPr>
      <w:r>
        <w:t xml:space="preserve">@p</w:t>
      </w:r>
      <w:r>
        <w:t xml:space="preserve">0.04</w:t>
      </w:r>
      <w:r>
        <w:t xml:space="preserve">p</w:t>
      </w:r>
      <w:r>
        <w:t xml:space="preserve">0.30</w:t>
      </w:r>
      <w:r>
        <w:t xml:space="preserve">p</w:t>
      </w:r>
      <w:r>
        <w:t xml:space="preserve">0.55</w:t>
      </w:r>
      <w:r>
        <w:t xml:space="preserve">@</w:t>
      </w:r>
      <w:r>
        <w:t xml:space="preserve"> </w:t>
      </w:r>
      <w:r>
        <w:t xml:space="preserve"># &amp; Item &amp; Location in manuscript / repository</w:t>
      </w:r>
      <w:r>
        <w:br/>
      </w:r>
      <w:r>
        <w:t xml:space="preserve">&amp; Title identifies study as systematic with concordance computation &amp; Title (both papers)</w:t>
      </w:r>
      <w:r>
        <w:br/>
      </w:r>
      <w:r>
        <w:t xml:space="preserve">2 &amp; Structured abstract with Purpose / Methods / Results / Conclusion &amp; Abstract section</w:t>
      </w:r>
      <w:r>
        <w:br/>
      </w:r>
      <w:r>
        <w:t xml:space="preserve">3 &amp; Rationale: established gap in literature &amp; Introduction</w:t>
      </w:r>
      <w:r>
        <w:br/>
      </w:r>
      <w:r>
        <w:t xml:space="preserve">4 &amp; Objectives stated as testable pre-specified question (EFDPR vs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) &amp; Introduction final paragraph; pre-registration commits</w:t>
      </w:r>
      <w:r>
        <w:t xml:space="preserve"> </w:t>
      </w:r>
      <w:r>
        <w:rPr>
          <w:rStyle w:val="VerbatimChar"/>
        </w:rPr>
        <w:t xml:space="preserve">4b5bf1a</w:t>
      </w:r>
      <w:r>
        <w:br/>
      </w:r>
      <w:r>
        <w:t xml:space="preserve">5 &amp; Eligibility criteria (population, intervention, comparator, outcomes) &amp; Methods §</w:t>
      </w:r>
      <w:hyperlink w:anchor="sec:methods">
        <w:r>
          <w:rPr>
            <w:rStyle w:val="Hyperlink"/>
          </w:rPr>
          <w:t xml:space="preserve">[sec:methods]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prereg-v3.md</w:t>
      </w:r>
      <w:r>
        <w:br/>
      </w:r>
      <w:r>
        <w:t xml:space="preserve">6 &amp; Information sources: ClinicalTrials.gov v2 API; ESMO/ASCO/NCCN guideline documents &amp; Methods;</w:t>
      </w:r>
      <w:r>
        <w:t xml:space="preserve"> </w:t>
      </w:r>
      <w:r>
        <w:rPr>
          <w:rStyle w:val="VerbatimChar"/>
        </w:rPr>
        <w:t xml:space="preserve">analysis/v3_01_systematic_search_nsclc.py</w:t>
      </w:r>
      <w:r>
        <w:br/>
      </w:r>
      <w:r>
        <w:t xml:space="preserve">7 &amp; Search query reproduced verbatim &amp;</w:t>
      </w:r>
      <w:r>
        <w:t xml:space="preserve"> </w:t>
      </w:r>
      <w:r>
        <w:rPr>
          <w:rStyle w:val="VerbatimChar"/>
        </w:rPr>
        <w:t xml:space="preserve">analysis/v3_01_systematic_search_nsclc.py</w:t>
      </w:r>
      <w:r>
        <w:br/>
      </w:r>
      <w:r>
        <w:t xml:space="preserve">8 &amp; Selection process with two-pass filter and audit trail &amp;</w:t>
      </w:r>
      <w:r>
        <w:t xml:space="preserve"> </w:t>
      </w:r>
      <w:r>
        <w:rPr>
          <w:rStyle w:val="VerbatimChar"/>
        </w:rPr>
        <w:t xml:space="preserve">analysis/v3_02_filter_nsclc.py</w:t>
      </w:r>
      <w:r>
        <w:t xml:space="preserve">;</w:t>
      </w:r>
      <w:r>
        <w:t xml:space="preserve"> </w:t>
      </w:r>
      <w:r>
        <w:rPr>
          <w:rStyle w:val="VerbatimChar"/>
        </w:rPr>
        <w:t xml:space="preserve">data/processed/v3_nsclc_filter_log.json</w:t>
      </w:r>
      <w:r>
        <w:br/>
      </w:r>
      <w:r>
        <w:t xml:space="preserve">9 &amp; Data collection: dual-LLM-annotator pipeline (Claude 4.7 + Codex/GPT-5) with adjudication &amp; Methods §dual-annotator;</w:t>
      </w:r>
      <w:r>
        <w:t xml:space="preserve"> </w:t>
      </w:r>
      <w:r>
        <w:rPr>
          <w:rStyle w:val="VerbatimChar"/>
        </w:rPr>
        <w:t xml:space="preserve">extraction_protocol.md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extraction_protocol_nsclc.md</w:t>
      </w:r>
      <w:r>
        <w:br/>
      </w:r>
      <w:r>
        <w:t xml:space="preserve">10 &amp; Data items: frozen JSON schema (state, biomarker, drug class, line of therapy) &amp;</w:t>
      </w:r>
      <w:r>
        <w:t xml:space="preserve"> </w:t>
      </w:r>
      <w:r>
        <w:rPr>
          <w:rStyle w:val="VerbatimChar"/>
        </w:rPr>
        <w:t xml:space="preserve">extraction_protocol*.md</w:t>
      </w:r>
      <w:r>
        <w:t xml:space="preserve"> </w:t>
      </w:r>
      <w:r>
        <w:t xml:space="preserve">“Output schema”</w:t>
      </w:r>
      <w:r>
        <w:br/>
      </w:r>
      <w:r>
        <w:t xml:space="preserve">11 &amp; Bias assessment: pre-adjudication Cohen’s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and PABAK with documented gate failures &amp; Methods §inter-rater;</w:t>
      </w:r>
      <w:r>
        <w:t xml:space="preserve"> </w:t>
      </w:r>
      <w:r>
        <w:rPr>
          <w:rStyle w:val="VerbatimChar"/>
        </w:rPr>
        <w:t xml:space="preserve">data/results/v3_nsclc_kappa.json</w:t>
      </w:r>
      <w:r>
        <w:br/>
      </w:r>
      <w:r>
        <w:t xml:space="preserve">12 &amp; Synthesis methods: graph-theoretic concordance with strict / ESCAT / liberal biomarker-tolerance grid &amp; Methods §framework</w:t>
      </w:r>
      <w:r>
        <w:br/>
      </w:r>
      <w:r>
        <w:t xml:space="preserve">13 &amp; Reporting bias assessment: pre-registration of primary test prevents outcome-dependent analysis-choice &amp;</w:t>
      </w:r>
      <w:r>
        <w:t xml:space="preserve"> </w:t>
      </w:r>
      <w:r>
        <w:rPr>
          <w:rStyle w:val="VerbatimChar"/>
        </w:rPr>
        <w:t xml:space="preserve">docs/prereg-v3.md</w:t>
      </w:r>
      <w:r>
        <w:br/>
      </w:r>
      <w:r>
        <w:t xml:space="preserve">14 &amp; Certainty assessment: one-sided exact binomial with Clopper-Pearson exact CI + bootstrap sensitivity &amp; Methods §statistical inference</w:t>
      </w:r>
      <w:r>
        <w:br/>
      </w:r>
      <w:r>
        <w:t xml:space="preserve">15 &amp; Search results: 702 NSCLC candidates → 178 pivotal trials (5 supplementary additions after round-1 audit); mBC corpus 81 trials from v2.0.0 &amp; Results §corpus;</w:t>
      </w:r>
      <w:r>
        <w:t xml:space="preserve"> </w:t>
      </w:r>
      <w:r>
        <w:rPr>
          <w:rStyle w:val="VerbatimChar"/>
        </w:rPr>
        <w:t xml:space="preserve">data/processed/v3_nsclc_filter_log.json</w:t>
      </w:r>
      <w:r>
        <w:br/>
      </w:r>
      <w:r>
        <w:t xml:space="preserve">16 &amp; Study characteristics summary (Tables S2–S3) &amp; Supplement</w:t>
      </w:r>
      <w:r>
        <w:br/>
      </w:r>
      <w:r>
        <w:t xml:space="preserve">17 &amp; Risk of bias of individual studies: not applicable at the trial-extraction level; bias of the extraction process is assessed via dual-LLM-annotator</w:t>
      </w:r>
      <w:r>
        <w:t xml:space="preserve"> </w:t>
      </w:r>
      <m:oMath>
        <m:r>
          <m:t>κ</m:t>
        </m:r>
      </m:oMath>
      <w:r>
        <w:t xml:space="preserve">/PABAK &amp; Methods</w:t>
      </w:r>
      <w:r>
        <w:br/>
      </w:r>
      <w:r>
        <w:t xml:space="preserve">18 &amp; Results: EFDPR 0.39, P=0.023 (pooled strict); see Figure 2 per-node breakdown &amp; Results; Figure 2</w:t>
      </w:r>
      <w:r>
        <w:br/>
      </w:r>
      <w:r>
        <w:t xml:space="preserve">19 &amp; Results of syntheses: ESCAT/liberal sensitivity (P=0.084); tumour-stratified analyses &amp; Results §sensitivity</w:t>
      </w:r>
      <w:r>
        <w:br/>
      </w:r>
      <w:r>
        <w:t xml:space="preserve">20 &amp; Reporting bias: pre-registration trail (commits</w:t>
      </w:r>
      <w:r>
        <w:t xml:space="preserve"> </w:t>
      </w:r>
      <w:r>
        <w:rPr>
          <w:rStyle w:val="VerbatimChar"/>
        </w:rPr>
        <w:t xml:space="preserve">085ae54</w:t>
      </w:r>
      <w:r>
        <w:t xml:space="preserve">,</w:t>
      </w:r>
      <w:r>
        <w:t xml:space="preserve"> </w:t>
      </w:r>
      <w:r>
        <w:rPr>
          <w:rStyle w:val="VerbatimChar"/>
        </w:rPr>
        <w:t xml:space="preserve">079b540</w:t>
      </w:r>
      <w:r>
        <w:t xml:space="preserve">,</w:t>
      </w:r>
      <w:r>
        <w:t xml:space="preserve"> </w:t>
      </w:r>
      <w:r>
        <w:rPr>
          <w:rStyle w:val="VerbatimChar"/>
        </w:rPr>
        <w:t xml:space="preserve">4b5bf1a</w:t>
      </w:r>
      <w:r>
        <w:t xml:space="preserve">) limits researcher degrees of freedom &amp; Methods §pre-registration</w:t>
      </w:r>
      <w:r>
        <w:br/>
      </w:r>
      <w:r>
        <w:t xml:space="preserve">21 &amp; Certainty of evidence: one-node-deep rejection disclosed; BH-q across 15-cell tolerance grid disclosed &amp; Discussion §caveats</w:t>
      </w:r>
      <w:r>
        <w:br/>
      </w:r>
      <w:r>
        <w:t xml:space="preserve">22 &amp; Discussion: 3 caveats + 3 positives + limitations + outlook &amp; Discussion</w:t>
      </w:r>
      <w:r>
        <w:br/>
      </w:r>
      <w:r>
        <w:t xml:space="preserve">23 &amp; Conclusion: actionable identification of evidence-free decision positions &amp; Conclusion paragraph</w:t>
      </w:r>
      <w:r>
        <w:br/>
      </w:r>
      <w:r>
        <w:br/>
      </w:r>
      <w:r>
        <w:t xml:space="preserve">24 &amp; Node space definition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×</m:t>
        </m:r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explicit &amp; Methods §framework</w:t>
      </w:r>
      <w:r>
        <w:br/>
      </w:r>
      <w:r>
        <w:t xml:space="preserve">25 &amp; Edge construction rule from trial eligibility text to (state, biomarker, drug class) edge &amp; Methods;</w:t>
      </w:r>
      <w:r>
        <w:t xml:space="preserve"> </w:t>
      </w:r>
      <w:r>
        <w:rPr>
          <w:rStyle w:val="VerbatimChar"/>
        </w:rPr>
        <w:t xml:space="preserve">analysis/v3_07_build_combined_dag.py</w:t>
      </w:r>
      <w:r>
        <w:br/>
      </w:r>
      <w:r>
        <w:t xml:space="preserve">26 &amp; Concordance criteria spelled out (state-superset, biomarker-superset, drug-class, temporal-precedence) &amp; Methods §concordance algorithm</w:t>
      </w:r>
      <w:r>
        <w:br/>
      </w:r>
      <w:r>
        <w:t xml:space="preserve">27 &amp; Pre-specified tolerance grid (strict / ESCAT / liberal) reported as sensitivity &amp; Methods &amp; Results</w:t>
      </w:r>
      <w:r>
        <w:br/>
      </w:r>
      <w:r>
        <w:t xml:space="preserve">28 &amp; Released artefacts permit re-execution byte-identically (bootstrap seed</w:t>
      </w:r>
      <w:r>
        <w:t xml:space="preserve"> </w:t>
      </w:r>
      <w:r>
        <w:rPr>
          <w:rStyle w:val="VerbatimChar"/>
        </w:rPr>
        <w:t xml:space="preserve">20260516</w:t>
      </w:r>
      <w:r>
        <w:t xml:space="preserve">) &amp; Methods;</w:t>
      </w:r>
      <w:r>
        <w:t xml:space="preserve"> </w:t>
      </w:r>
      <w:r>
        <w:rPr>
          <w:rStyle w:val="VerbatimChar"/>
        </w:rPr>
        <w:t xml:space="preserve">data/results/v3_pooled_efdpr.json</w:t>
      </w:r>
      <w:r>
        <w:t xml:space="preserve">; Zenodo</w:t>
      </w:r>
      <w:r>
        <w:t xml:space="preserve"> </w:t>
      </w:r>
      <w:r>
        <w:rPr>
          <w:rStyle w:val="VerbatimChar"/>
        </w:rPr>
        <w:t xml:space="preserve">10.5281/zenodo.20250848</w:t>
      </w:r>
      <w:r>
        <w:br/>
      </w:r>
    </w:p>
    <w:bookmarkEnd w:id="9"/>
    <w:bookmarkStart w:id="11" w:name="X9ae1d71cc69ef51d8b4b42c16c21d6499c4418e"/>
    <w:p>
      <w:pPr>
        <w:pStyle w:val="Heading1"/>
      </w:pPr>
      <w:r>
        <w:t xml:space="preserve">S2: Representative per-trial structured extractions</w:t>
      </w:r>
    </w:p>
    <w:bookmarkStart w:id="10" w:name="tab:S2"/>
    <w:p>
      <w:pPr>
        <w:pStyle w:val="TableCaption"/>
      </w:pPr>
      <w:r>
        <w:rPr>
          <w:b/>
          <w:bCs/>
        </w:rPr>
        <w:t xml:space="preserve">Representative per-trial structured extractions</w:t>
      </w:r>
      <w:r>
        <w:t xml:space="preserve"> </w:t>
      </w:r>
      <w:r>
        <w:t xml:space="preserve">(10 of the 259 pivotal trials in the v3.0.0 corpus). Full dual-annotator outputs released at</w:t>
      </w:r>
      <w:r>
        <w:t xml:space="preserve"> </w:t>
      </w:r>
      <w:r>
        <w:rPr>
          <w:rStyle w:val="VerbatimChar"/>
        </w:rPr>
        <w:t xml:space="preserve">data/processed/v2_extraction_final.json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nsclc_full.json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presentative per-trial structured extractions (10 of the 259 pivotal trials in the v3.0.0 corpus). Full dual-annotator outputs released at data/processed/v2_extraction_final.json and nsclc_full.js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Pre-treatment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 / subgroup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NCT01958021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MONALEESA-2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NCT02278120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MONALEESA-7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first-line+pre-menopa…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endocrine (pre-me…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NCT01942135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PALOMA-3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fulvestrant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NCT03778931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post-endo+post-CDK46i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HR+/HER2-/ESR1mut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SERD 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NCT04494425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DESTINY-Breast06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post-endo+post-CDK46i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HR+/HER2-/HER2-low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HER2-ADC (T-DXd)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NCT01154140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1014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1st-gen (crizotinib)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NCT02296125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EGFR-mut/EGFR-ex19del/EGFR-…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NCT04487080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MARIPOSA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EGFR-mut/EGFR-ex19del/EGFR-…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+ bispecif…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NCT02151981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post-EGFRTKI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EGFR-mut/EGFR-T790M/NSCLC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NCT03521154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EGFR-mut/EGFR-ex19del/EGFR-…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(osimertin…</w:t>
            </w:r>
          </w:p>
        </w:tc>
      </w:tr>
    </w:tbl>
    <w:bookmarkEnd w:id="10"/>
    <w:bookmarkEnd w:id="11"/>
    <w:bookmarkStart w:id="13" w:name="Xa63b6df04038f0ed18ba7916e9c1ef100cec0e6"/>
    <w:p>
      <w:pPr>
        <w:pStyle w:val="Heading1"/>
      </w:pPr>
      <w:r>
        <w:t xml:space="preserve">S3: Full 49-node guideline decision tree with concordance status</w:t>
      </w:r>
    </w:p>
    <w:bookmarkStart w:id="12" w:name="tab:S3"/>
    <w:p>
      <w:pPr>
        <w:pStyle w:val="TableCaption"/>
      </w:pPr>
      <w:r>
        <w:rPr>
          <w:b/>
          <w:bCs/>
        </w:rPr>
        <w:t xml:space="preserve">Full 49-node ESMO/ASCO/NCCN unified decision tree</w:t>
      </w:r>
      <w:r>
        <w:t xml:space="preserve"> </w:t>
      </w:r>
      <w:r>
        <w:t xml:space="preserve">with strict-tolerance concordance status.</w:t>
      </w:r>
      <w:r>
        <w:t xml:space="preserve"> </w:t>
      </w:r>
      <w:r>
        <w:t xml:space="preserve">“Concordant”</w:t>
      </w:r>
      <w:r>
        <w:t xml:space="preserve"> </w:t>
      </w:r>
      <w:r>
        <w:t xml:space="preserve">= at least one trial edge satisfies state-superset, biomarker-superset, drug-class, and temporal-precedence criteria.</w:t>
      </w:r>
      <w:r>
        <w:t xml:space="preserve"> </w:t>
      </w:r>
      <w:r>
        <w:t xml:space="preserve">“Evidence-free”</w:t>
      </w:r>
      <w:r>
        <w:t xml:space="preserve"> </w:t>
      </w:r>
      <w:r>
        <w:t xml:space="preserve">= no such trial edge. Concordant trial counts in last column are derived from</w:t>
      </w:r>
      <w:r>
        <w:t xml:space="preserve"> </w:t>
      </w:r>
      <w:r>
        <w:rPr>
          <w:rStyle w:val="VerbatimChar"/>
        </w:rPr>
        <w:t xml:space="preserve">data/results/v3_pooled_efdpr.json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 49-node ESMO/ASCO/NCCN unified decision tree with strict-tolerance concordance status. “Concordant” = at least one trial edge satisfies state-superset, biomarker-superset, drug-class, and temporal-precedence criteria. “Evidence-free” = no such trial edge. Concordant trial counts in last column are derived from data/results/v3_pooled_efdpr.jso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Biomarker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class(es)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first-line+pre-me…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endocrine (pre-menopausa…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fulvestrant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HR+/HER2-/PIK3CAmut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PI3Ki + fulvestrant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HR+/HER2-/ESR1mut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SERD 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HR+/HER2-/AKTpath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 + fulvestrant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HR+/HER2-/PIK3CAmut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PI3Ki + fulvestrant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HR+/HER2-/HER2-low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HER2-ADC (T-DXd)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HR+/HER2-/no-actionable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everolimus + exemestane; chemother…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CDK4/6i + fulvestrant (post-CDK4/6…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HR+/HER2-/HER2-low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HER2-ADC (T-DXd)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HR+/HER2-/HER2-low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HER2-ADC (T-DXd)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post-CDK46i+post-…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everolimus + exemestane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post-CDK46i+post-…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Sacituzumab govitecan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HR+/HER2-/PIK3CAmut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PI3Ki triplet (inavolisib + CDK4/6…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gBRCAmut/HER2-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PARPi (olaparib); PARPi (talazopar…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first-line+viscer…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chemotherapy 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HR+/HER2-/ESR1mut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SERD oral + CDK4/6i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post-endo+post-CD…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TROP2-ADC (sacituzumab govitecan)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HR+/HER2-/HER2-low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TROP2-ADC (datopotamab deruxtecan)…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first-line+indole…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endocrine therapy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post-endo+post-CD…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TROP2-ADC (sacituzumab govitecan)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first-line+indole…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endocrine therapy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post-CDK46i+post-…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chemotherapy single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post-CDK46i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HR+/HER2-/AKTpath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 + fulvestrant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+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+ bispecific (ami…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2nd-gen (afatinib/dacomit…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Bevacizumab + EGFR TKI; Ramuciruma…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post-EGFRTKI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EGFR-mut/EGFR-T790M/NSCLC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Amivantamab +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HER3-ADC (patritumab deruxtecan)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post-osimertinib+…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TROP2-ADC (datopotamab deruxtecan)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 doublet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EGFR-ex20ins/NSCLC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Amivantamab +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post-chemo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EGFR-ex20ins/NSCLC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investigational 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2nd-gen (alectinib/brigati…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3rd-gen (lorlatinib)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1st-gen (crizotinib)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post-ALKTKI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2nd-gen (alectinib/brigati…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post-ALKTKI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3rd-gen (lorlatinib)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post-ALKTKI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ALK-rearranged/ALK-resis…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 doublet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first-line+brain-…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ALK-rearranged/NSCLC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ALK TKI 3rd-gen (lorlatinib); ALK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EGFR-mut/MET-amp/NSCLC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investigational 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first-line+brain-…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(osimertinib)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post-osimertinib+…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investigational 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post-osimertinib+…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Platinum doublet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evidence-free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first-line+poor-p…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EGFR-mut/NSCLC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EGFR TKI 3rd-gen + chemotherapy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concordant (n=1)</w:t>
            </w:r>
          </w:p>
        </w:tc>
      </w:tr>
    </w:tbl>
    <w:bookmarkEnd w:id="12"/>
    <w:bookmarkEnd w:id="13"/>
    <w:bookmarkStart w:id="14" w:name="s4-adjudication-rules-log"/>
    <w:p>
      <w:pPr>
        <w:pStyle w:val="Heading1"/>
      </w:pPr>
      <w:r>
        <w:t xml:space="preserve">S4: Adjudication rules log</w:t>
      </w:r>
    </w:p>
    <w:p>
      <w:pPr>
        <w:pStyle w:val="FirstParagraph"/>
      </w:pPr>
      <w:r>
        <w:t xml:space="preserve">@p</w:t>
      </w:r>
      <w:r>
        <w:t xml:space="preserve">0.18</w:t>
      </w:r>
      <w:r>
        <w:t xml:space="preserve">p</w:t>
      </w:r>
      <w:r>
        <w:t xml:space="preserve">0.78</w:t>
      </w:r>
      <w:r>
        <w:t xml:space="preserve">@</w:t>
      </w:r>
      <w:r>
        <w:t xml:space="preserve"> </w:t>
      </w:r>
      <w:r>
        <w:t xml:space="preserve">Field &amp; Adjudication rule</w:t>
      </w:r>
      <w:r>
        <w:br/>
      </w:r>
      <w:r>
        <w:br/>
      </w:r>
      <w:r>
        <w:rPr>
          <w:rStyle w:val="VerbatimChar"/>
        </w:rPr>
        <w:t xml:space="preserve">post_endo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excluded.post_endo_metastatic_any</w:t>
      </w:r>
      <w:r>
        <w:t xml:space="preserve"> </w:t>
      </w:r>
      <w:r>
        <w:t xml:space="preserve">&amp; "Must have progressed on prior endocrine therapy in the metastatic setting"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post_endo: true</w:t>
      </w:r>
      <w:r>
        <w:t xml:space="preserve">. "No prior systemic therapy in the metastatic setting"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excluded.post_endo_metastatic_any: true</w:t>
      </w:r>
      <w:r>
        <w:t xml:space="preserve">. Silent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br/>
      </w:r>
      <w:r>
        <w:rPr>
          <w:rStyle w:val="VerbatimChar"/>
        </w:rPr>
        <w:t xml:space="preserve">post_cdk46i</w:t>
      </w:r>
      <w:r>
        <w:t xml:space="preserve"> </w:t>
      </w:r>
      <w:r>
        <w:t xml:space="preserve">&amp; "Must have received prior CDK4/6i"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true</w:t>
      </w:r>
      <w:r>
        <w:t xml:space="preserve">. "Prior CDK4/6i is permitted"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(allowed, not required). "No prior CDK4/6i" or "CDK4/6i-naive"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excluded.post_cdk46i: true</w:t>
      </w:r>
      <w:r>
        <w:t xml:space="preserve">.</w:t>
      </w:r>
      <w:r>
        <w:br/>
      </w:r>
      <w:r>
        <w:rPr>
          <w:rStyle w:val="VerbatimChar"/>
        </w:rPr>
        <w:t xml:space="preserve">biomarker.hr_pos</w:t>
      </w:r>
      <w:r>
        <w:t xml:space="preserve"> </w:t>
      </w:r>
      <w:r>
        <w:t xml:space="preserve">&amp; Eligibility requires HR+ or ER+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true</w:t>
      </w:r>
      <w:r>
        <w:t xml:space="preserve">. Eligibility enrols all-comers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HR+ is a stratification;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if explicitly HR-.</w:t>
      </w:r>
      <w:r>
        <w:br/>
      </w:r>
      <w:r>
        <w:rPr>
          <w:rStyle w:val="VerbatimChar"/>
        </w:rPr>
        <w:t xml:space="preserve">biomarker.her2_neg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her2_low</w:t>
      </w:r>
      <w:r>
        <w:t xml:space="preserve"> </w:t>
      </w:r>
      <w:r>
        <w:t xml:space="preserve">&amp; "HER2-negative" (IHC 0/1+/2+ ISH-)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her2_neg: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her2_low: null</w:t>
      </w:r>
      <w:r>
        <w:t xml:space="preserve">. Specifically requires HER2-low (IHC 1+ or 2+/ISH-)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her2_neg: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her2_low: true</w:t>
      </w:r>
      <w:r>
        <w:t xml:space="preserve">. Requires HER2+ (IHC 3+ or ISH-amplified)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her2_neg: false</w:t>
      </w:r>
      <w:r>
        <w:t xml:space="preserve">; trial flagged out-of-scope.</w:t>
      </w:r>
      <w:r>
        <w:br/>
      </w:r>
      <w:r>
        <w:rPr>
          <w:rStyle w:val="VerbatimChar"/>
        </w:rPr>
        <w:t xml:space="preserve">biomarker.pik3camut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biomarker.esr1mut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biomarker.akt_path</w:t>
      </w:r>
      <w:r>
        <w:t xml:space="preserve"> </w:t>
      </w:r>
      <w:r>
        <w:t xml:space="preserve">&amp; Extracted only when explicitly required by trial eligibility;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otherwise.</w:t>
      </w:r>
      <w:r>
        <w:t xml:space="preserve"> </w:t>
      </w:r>
      <w:r>
        <w:rPr>
          <w:rStyle w:val="VerbatimChar"/>
        </w:rPr>
        <w:t xml:space="preserve">akt_path</w:t>
      </w:r>
      <w:r>
        <w:t xml:space="preserve"> </w:t>
      </w:r>
      <w:r>
        <w:t xml:space="preserve">adjudication kappa failed gate (PABAK pass) — disclosed in Methods.</w:t>
      </w:r>
      <w:r>
        <w:br/>
      </w:r>
      <w:r>
        <w:br/>
      </w:r>
      <w:r>
        <w:rPr>
          <w:rStyle w:val="VerbatimChar"/>
        </w:rPr>
        <w:t xml:space="preserve">tumor_type</w:t>
      </w:r>
      <w:r>
        <w:t xml:space="preserve"> </w:t>
      </w:r>
      <w:r>
        <w:t xml:space="preserve">&amp; "NSCLC-EGFR" if eligibility requires EGFR mutation; "NSCLC-ALK" if ALK rearrangement; "NSCLC-both" if multi-cohort; "NSCLC-other"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trial flagged out-of-scope (HER2-mut, KRAS G12C, ROS1, RET, MET, NTRK, BRAF, driver-negative).</w:t>
      </w:r>
      <w:r>
        <w:br/>
      </w:r>
      <w:r>
        <w:t xml:space="preserve">mBC-specific fields on NSCLC trials &amp; All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; never inferred.</w:t>
      </w:r>
      <w:r>
        <w:br/>
      </w:r>
      <w:r>
        <w:rPr>
          <w:rStyle w:val="VerbatimChar"/>
        </w:rPr>
        <w:t xml:space="preserve">post_egfr_tki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post_osimertinib</w:t>
      </w:r>
      <w:r>
        <w:t xml:space="preserve"> </w:t>
      </w:r>
      <w:r>
        <w:t xml:space="preserve">&amp; Post-1st/2nd-gen TKI progression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post_egfr_tki: true</w:t>
      </w:r>
      <w:r>
        <w:t xml:space="preserve">. Post-osimertinib (3rd-gen) progression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post_egfr_tki: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post_osimertinib: true</w:t>
      </w:r>
      <w:r>
        <w:t xml:space="preserve">. Silent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br/>
      </w:r>
      <w:r>
        <w:rPr>
          <w:rStyle w:val="VerbatimChar"/>
        </w:rPr>
        <w:t xml:space="preserve">alk_resistance_mut</w:t>
      </w:r>
      <w:r>
        <w:t xml:space="preserve"> </w:t>
      </w:r>
      <w:r>
        <w:t xml:space="preserve">&amp; If trial enrols patients with specific ALK resistance mutations (e.g., G1202R)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rPr>
          <w:rStyle w:val="VerbatimChar"/>
        </w:rPr>
        <w:t xml:space="preserve">true</w:t>
      </w:r>
      <w:r>
        <w:t xml:space="preserve">; else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br/>
      </w:r>
      <w:r>
        <w:rPr>
          <w:rStyle w:val="VerbatimChar"/>
        </w:rPr>
        <w:t xml:space="preserve">drug_class</w:t>
      </w:r>
      <w:r>
        <w:t xml:space="preserve"> </w:t>
      </w:r>
      <w:r>
        <w:t xml:space="preserve">&amp; Prefer most specific canonical string. For combination arms, use the experimental-arm class.</w:t>
      </w:r>
      <w:r>
        <w:br/>
      </w:r>
      <w:r>
        <w:rPr>
          <w:rStyle w:val="VerbatimChar"/>
        </w:rPr>
        <w:t xml:space="preserve">guideline_target_node</w:t>
      </w:r>
      <w:r>
        <w:t xml:space="preserve"> </w:t>
      </w:r>
      <w:r>
        <w:t xml:space="preserve">&amp; Format</w:t>
      </w:r>
      <w:r>
        <w:t xml:space="preserve"> </w:t>
      </w:r>
      <w:r>
        <w:rPr>
          <w:rStyle w:val="VerbatimChar"/>
        </w:rPr>
        <w:t xml:space="preserve">&lt;state&gt;|&lt;biomarker&gt;|NSCLC</w:t>
      </w:r>
      <w:r>
        <w:t xml:space="preserve">, e.g. </w:t>
      </w:r>
      <w:r>
        <w:rPr>
          <w:rStyle w:val="VerbatimChar"/>
        </w:rPr>
        <w:t xml:space="preserve">post-osimertinib|EGFR-mut|NSCLC</w:t>
      </w:r>
      <w:r>
        <w:t xml:space="preserve">.</w:t>
      </w:r>
      <w:r>
        <w:br/>
      </w:r>
      <w:r>
        <w:br/>
      </w:r>
      <w:r>
        <w:t xml:space="preserve">Out-of-scope handling</w:t>
      </w:r>
      <w:r>
        <w:t xml:space="preserve"> </w:t>
      </w:r>
      <w:r>
        <w:t xml:space="preserve">&amp; Out-of-scope trials are retained in the extraction record with</w:t>
      </w:r>
      <w:r>
        <w:t xml:space="preserve"> </w:t>
      </w:r>
      <w:r>
        <w:rPr>
          <w:rStyle w:val="VerbatimChar"/>
        </w:rPr>
        <w:t xml:space="preserve">confidence: "low"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notes: "Out of scope: &lt;reason&gt;"</w:t>
      </w:r>
      <w:r>
        <w:t xml:space="preserve"> </w:t>
      </w:r>
      <w:r>
        <w:t xml:space="preserve">for transparency; they do not enter the trial-DAG.</w:t>
      </w:r>
      <w:r>
        <w:br/>
      </w:r>
      <w:r>
        <w:t xml:space="preserve">Tie-breaking</w:t>
      </w:r>
      <w:r>
        <w:t xml:space="preserve"> </w:t>
      </w:r>
      <w:r>
        <w:t xml:space="preserve">&amp; When annotators disagreed on a Boolean field that flips trial inclusion, the adjudication outcome is determined by re-reading the verbatim eligibility text per the rules above. The two annotator outputs (pre-adjudication) and the adjudicated record (post-adjudication) are released side-by-side in</w:t>
      </w:r>
      <w:r>
        <w:t xml:space="preserve"> </w:t>
      </w:r>
      <w:r>
        <w:rPr>
          <w:rStyle w:val="VerbatimChar"/>
        </w:rPr>
        <w:t xml:space="preserve">v2_extraction_final.json</w:t>
      </w:r>
      <w:r>
        <w:t xml:space="preserve">.</w:t>
      </w:r>
      <w:r>
        <w:br/>
      </w:r>
      <w:r>
        <w:t xml:space="preserve">Round-1 audit corrections</w:t>
      </w:r>
      <w:r>
        <w:t xml:space="preserve"> </w:t>
      </w:r>
      <w:r>
        <w:t xml:space="preserve">&amp; Four NCT-misidentifications (AURA3, HERTHENA-Lung01, TROPION-Lung01, FLAURA-CNS) and six encoding bugs were caught during round-1 internal review and corrected with hand-curated records before final analysis. The audit trail is in commit history (</w:t>
      </w:r>
      <w:r>
        <w:rPr>
          <w:rStyle w:val="VerbatimChar"/>
        </w:rPr>
        <w:t xml:space="preserve">4ff3cdd</w:t>
      </w:r>
      <w:r>
        <w:t xml:space="preserve">,</w:t>
      </w:r>
      <w:r>
        <w:t xml:space="preserve"> </w:t>
      </w:r>
      <w:r>
        <w:rPr>
          <w:rStyle w:val="VerbatimChar"/>
        </w:rPr>
        <w:t xml:space="preserve">dadf797</w:t>
      </w:r>
      <w:r>
        <w:t xml:space="preserve">,</w:t>
      </w:r>
      <w:r>
        <w:t xml:space="preserve"> </w:t>
      </w:r>
      <w:r>
        <w:rPr>
          <w:rStyle w:val="VerbatimChar"/>
        </w:rPr>
        <w:t xml:space="preserve">123a461</w:t>
      </w:r>
      <w:r>
        <w:t xml:space="preserve">).</w:t>
      </w:r>
      <w:r>
        <w:br/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Supplementary Material for: Evidence-Free Decision Points in Biomarker-Driven Metastatic Cancer Guidelines</dc:title>
  <dc:creator>Hsieh-Ting Lin</dc:creator>
  <cp:keywords/>
  <dcterms:created xsi:type="dcterms:W3CDTF">2026-05-20T09:16:24Z</dcterms:created>
  <dcterms:modified xsi:type="dcterms:W3CDTF">2026-05-20T09:16:24Z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</vt:lpwstr>
  </property>
</Properties>
</file>