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Supplementary Material</w:t>
      </w:r>
      <w:r>
        <w:br/>
      </w:r>
      <w:r>
        <w:t xml:space="preserve">A Computable Map of Treatment-Sequencing Evidence in HR+/HER2- Metastatic Breast Cancer</w:t>
      </w:r>
    </w:p>
    <w:p>
      <w:pPr>
        <w:pStyle w:val="Author"/>
      </w:pPr>
      <w:r>
        <w:t xml:space="preserve">H.-T. Lin</w:t>
      </w:r>
    </w:p>
    <w:p>
      <w:pPr>
        <w:pStyle w:val="Date"/>
      </w:pPr>
      <w:r>
        <w:t xml:space="preserve">2026-05-16</w:t>
      </w:r>
    </w:p>
    <w:bookmarkStart w:id="9" w:name="Xf476b96503b4391802f19997d24a1b0632d2ce5"/>
    <w:p>
      <w:pPr>
        <w:pStyle w:val="Heading1"/>
      </w:pPr>
      <w:r>
        <w:t xml:space="preserve">Supplementary Table S1. Reporting Transparency Checklist</w:t>
      </w:r>
    </w:p>
    <w:p>
      <w:pPr>
        <w:pStyle w:val="FirstParagraph"/>
      </w:pPr>
      <w:r>
        <w:t xml:space="preserve">This study reports a graph-theoretic computational analysis of clinical trials</w:t>
      </w:r>
      <w:r>
        <w:t xml:space="preserve"> </w:t>
      </w:r>
      <w:r>
        <w:t xml:space="preserve">and guidelines. No standard reporting guideline (TRIPOD, STROBE, PRISMA, CONSORT,</w:t>
      </w:r>
      <w:r>
        <w:t xml:space="preserve"> </w:t>
      </w:r>
      <w:r>
        <w:t xml:space="preserve">STARD) is a perfect fit. We adopt a custom transparency checklist that combines</w:t>
      </w:r>
      <w:r>
        <w:t xml:space="preserve"> </w:t>
      </w:r>
      <w:r>
        <w:t xml:space="preserve">PRISMA-2020 reporting items (relevant to evidence synthesis) with a graph-encoding</w:t>
      </w:r>
      <w:r>
        <w:t xml:space="preserve"> </w:t>
      </w:r>
      <w:r>
        <w:t xml:space="preserve">addendum specific to the present method.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Reported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Title identifies study as evidence-synthesis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“treatment-sequencing evidence”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Structured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300-word JCO CCI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across non-overlapping trials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EFDPR + ODI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Eligibility criteria for 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2.1,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16-trial pilot drawn from ESMO/ASCO reference 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Information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ClinicalTrials.gov v2 + ESMO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Search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Per-NCT fetch list (Supplementary Table S2)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Selection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Hand-curated against canonical primary publications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Data extraction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v1.0 (frozen)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Data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fields per Table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Risk-of-bias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Reviewer-cycle-disclosed corpus-selection 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Effect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EFDPR; ODI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Synthesis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Reporting bias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Pilot-scale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Certainty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Pre-registered tolerance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Study selection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16/16 trials retrieved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Study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Hand-curated schema fills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Risk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 Results of individual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primary endpoint per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 Results of syntheses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3.2–3.5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EFDPR, ODI,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 Reporting biases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Reviewer-cycle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22. Certainty of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Pre-registered exact test failed to 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caveats + three positives +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24.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scale, hand-curation, single guideline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26. Registration and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2.6, prereg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docs/prereg.md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funding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 Competing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 Availability of data, code,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licence, GitHub URL, Zenodo DOI at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G1. Graph node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(prior-state, biomarker) tuples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G2. Graph edge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edge from required-state node to post-trial-state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G3. Guideline-tree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16-node encoding in Supplementary Table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G4. Concordance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State-superset + biomarker tolerance + drug match + temporal precedence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G5. Tolerance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/ ESCAT / liberal, all pre-registered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G6. Reproducibility (seed + commit hash)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20260516;</w:t>
            </w:r>
            <w:r>
              <w:t xml:space="preserve"> </w:t>
            </w:r>
            <w:r>
              <w:rPr>
                <w:rStyle w:val="VerbatimChar"/>
              </w:rPr>
              <w:t xml:space="preserve">v1.0.0</w:t>
            </w:r>
            <w:r>
              <w:t xml:space="preserve"> </w:t>
            </w:r>
            <w:r>
              <w:t xml:space="preserve">commit</w:t>
            </w:r>
          </w:p>
        </w:tc>
      </w:tr>
    </w:tbl>
    <w:bookmarkEnd w:id="9"/>
    <w:bookmarkStart w:id="10" w:name="X6f131577df6e324f0ec7016cf0e0cfbdfb02777"/>
    <w:p>
      <w:pPr>
        <w:pStyle w:val="Heading1"/>
      </w:pPr>
      <w:r>
        <w:t xml:space="preserve">Supplementary Table S2. Structured Trial Extractions</w:t>
      </w:r>
    </w:p>
    <w:p>
      <w:pPr>
        <w:pStyle w:val="FirstParagraph"/>
      </w:pPr>
      <w:r>
        <w:t xml:space="preserve">The hand-curated schema v1.0 mapping for each of the 16 pivotal trials is</w:t>
      </w:r>
      <w:r>
        <w:t xml:space="preserve"> </w:t>
      </w:r>
      <w:r>
        <w:t xml:space="preserve">released as the machine-readable file</w:t>
      </w:r>
      <w:r>
        <w:t xml:space="preserve"> </w:t>
      </w:r>
      <w:r>
        <w:rPr>
          <w:rStyle w:val="VerbatimChar"/>
        </w:rPr>
        <w:t xml:space="preserve">data/processed/trials_structured.json</w:t>
      </w:r>
      <w:r>
        <w:t xml:space="preserve"> </w:t>
      </w:r>
      <w:r>
        <w:t xml:space="preserve">in the repository. Each record contains the fields listed in Methods 2.2,</w:t>
      </w:r>
      <w:r>
        <w:t xml:space="preserve"> </w:t>
      </w:r>
      <w:r>
        <w:t xml:space="preserve">the source primary publication, and the canonical ClinicalTrials.gov NCT</w:t>
      </w:r>
      <w:r>
        <w:t xml:space="preserve"> </w:t>
      </w:r>
      <w:r>
        <w:t xml:space="preserve">identifier. The Round 1 internal review identified two NCT-misidentification</w:t>
      </w:r>
      <w:r>
        <w:t xml:space="preserve"> </w:t>
      </w:r>
      <w:r>
        <w:t xml:space="preserve">errors in the original draft (NCT03997123 was incorrectly labelled as</w:t>
      </w:r>
      <w:r>
        <w:t xml:space="preserve"> </w:t>
      </w:r>
      <w:r>
        <w:t xml:space="preserve">postMONARCH; NCT04032080 was incorrectly labelled as INAVO120); these were</w:t>
      </w:r>
      <w:r>
        <w:t xml:space="preserve"> </w:t>
      </w:r>
      <w:r>
        <w:t xml:space="preserve">corrected to NCT05169567 (postMONARCH) and NCT04191499 (INAVO120), with TROPiCS-02</w:t>
      </w:r>
      <w:r>
        <w:t xml:space="preserve"> </w:t>
      </w:r>
      <w:r>
        <w:t xml:space="preserve">(NCT03901339) and OlympiAD (NCT02000622) added to the corpus.</w:t>
      </w:r>
    </w:p>
    <w:bookmarkEnd w:id="10"/>
    <w:bookmarkStart w:id="11" w:name="Xf44f2a7e0f4ff612991643b9281d83507355293"/>
    <w:p>
      <w:pPr>
        <w:pStyle w:val="Heading1"/>
      </w:pPr>
      <w:r>
        <w:t xml:space="preserve">Supplementary Table S3. ESMO HR+/HER2- mBC Decision-Tree Encoding</w:t>
      </w:r>
    </w:p>
    <w:p>
      <w:pPr>
        <w:pStyle w:val="FirstParagraph"/>
      </w:pPr>
      <w:r>
        <w:t xml:space="preserve">The hand-curated 16-node encoding of the ESMO 2024 update HR+/HER2- subset</w:t>
      </w:r>
      <w:r>
        <w:t xml:space="preserve"> </w:t>
      </w:r>
      <w:r>
        <w:t xml:space="preserve">is released as</w:t>
      </w:r>
      <w:r>
        <w:t xml:space="preserve"> </w:t>
      </w:r>
      <w:r>
        <w:rPr>
          <w:rStyle w:val="VerbatimChar"/>
        </w:rPr>
        <w:t xml:space="preserve">data/processed/esmo_decision_tree.json</w:t>
      </w:r>
      <w:r>
        <w:t xml:space="preserve">. Each node</w:t>
      </w:r>
      <w:r>
        <w:t xml:space="preserve"> </w:t>
      </w:r>
      <w:r>
        <w:t xml:space="preserve">records: node identifier, patient sub-state, biomarker profile, recommended</w:t>
      </w:r>
      <w:r>
        <w:t xml:space="preserve"> </w:t>
      </w:r>
      <w:r>
        <w:t xml:space="preserve">drug classes with strength-of-recommendation grade, cited pivotal trials, and</w:t>
      </w:r>
      <w:r>
        <w:t xml:space="preserve"> </w:t>
      </w:r>
      <w:r>
        <w:t xml:space="preserve">year of decision-tree introduction.</w:t>
      </w:r>
    </w:p>
    <w:bookmarkEnd w:id="11"/>
    <w:bookmarkStart w:id="12" w:name="X423e3f921f24f7ce5fe24642f2fe8d9d193d50d"/>
    <w:p>
      <w:pPr>
        <w:pStyle w:val="Heading1"/>
      </w:pPr>
      <w:r>
        <w:t xml:space="preserve">Supplementary Table S4. ODI Biomarker-Token Vocabulary</w:t>
      </w:r>
    </w:p>
    <w:p>
      <w:pPr>
        <w:pStyle w:val="FirstParagraph"/>
      </w:pPr>
      <w:r>
        <w:t xml:space="preserve">The operational-token vocabulary used to compute the operationalization</w:t>
      </w:r>
      <w:r>
        <w:t xml:space="preserve"> </w:t>
      </w:r>
      <w:r>
        <w:t xml:space="preserve">discordance index is released as</w:t>
      </w:r>
      <w:r>
        <w:t xml:space="preserve"> </w:t>
      </w:r>
      <w:r>
        <w:rPr>
          <w:rStyle w:val="VerbatimChar"/>
        </w:rPr>
        <w:t xml:space="preserve">analysis/06_compute_odi.py</w:t>
      </w:r>
      <w:r>
        <w:t xml:space="preserve">. Each</w:t>
      </w:r>
      <w:r>
        <w:t xml:space="preserve"> </w:t>
      </w:r>
      <w:r>
        <w:t xml:space="preserve">biomarker variable (HER2-low, ESR1mut, PIK3CAmut, AKT-pathway, prior-CDK4/6i)</w:t>
      </w:r>
      <w:r>
        <w:t xml:space="preserve"> </w:t>
      </w:r>
      <w:r>
        <w:t xml:space="preserve">maps to a per-trial set of operational tokens drawn from the canonical primary</w:t>
      </w:r>
      <w:r>
        <w:t xml:space="preserve"> </w:t>
      </w:r>
      <w:r>
        <w:t xml:space="preserve">publication.</w:t>
      </w:r>
    </w:p>
    <w:bookmarkEnd w:id="12"/>
    <w:bookmarkStart w:id="13" w:name="X90a7f76e6f6d8b12e98094740bb61686fde306d"/>
    <w:p>
      <w:pPr>
        <w:pStyle w:val="Heading1"/>
      </w:pPr>
      <w:r>
        <w:t xml:space="preserve">Supplementary Text 1. Pre-registration deviations</w:t>
      </w:r>
    </w:p>
    <w:p>
      <w:pPr>
        <w:pStyle w:val="FirstParagraph"/>
      </w:pPr>
      <w:r>
        <w:t xml:space="preserve">The following pre-registration deviations are reported in the spirit of the</w:t>
      </w:r>
      <w:r>
        <w:t xml:space="preserve"> </w:t>
      </w:r>
      <w:r>
        <w:t xml:space="preserve">pre-registration commitment in</w:t>
      </w:r>
      <w:r>
        <w:t xml:space="preserve"> </w:t>
      </w:r>
      <w:r>
        <w:rPr>
          <w:rStyle w:val="VerbatimChar"/>
        </w:rPr>
        <w:t xml:space="preserve">docs/prereg.md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Corpus expansion from prototype (6 trials) to pilot (16 trials).</w:t>
      </w:r>
      <w:r>
        <w:t xml:space="preserve"> </w:t>
      </w:r>
      <w:r>
        <w:t xml:space="preserve">The pilot expansion was anticipated in the prereg and is not a deviation.</w:t>
      </w:r>
      <w:r>
        <w:t xml:space="preserve"> </w:t>
      </w:r>
      <w:r>
        <w:t xml:space="preserve">Trial selection was based on the ESMO/ASCO mBC guideline reference lists;</w:t>
      </w:r>
      <w:r>
        <w:t xml:space="preserve"> </w:t>
      </w:r>
      <w:r>
        <w:t xml:space="preserve">a systematic ClinicalTrials.gov search is deferred to the production extension.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Six NCT-identification corrections across Round 1 and Round 2 of</w:t>
      </w:r>
      <w:r>
        <w:rPr>
          <w:b/>
          <w:bCs/>
        </w:rPr>
        <w:t xml:space="preserve"> </w:t>
      </w:r>
      <w:r>
        <w:rPr>
          <w:b/>
          <w:bCs/>
        </w:rPr>
        <w:t xml:space="preserve">internal review.</w:t>
      </w:r>
      <w:r>
        <w:t xml:space="preserve"> </w:t>
      </w:r>
      <w:r>
        <w:t xml:space="preserve">Round 1 corrected NCT03997123 (CAPItello-290 TNBC,</w:t>
      </w:r>
      <w:r>
        <w:t xml:space="preserve"> </w:t>
      </w:r>
      <w:r>
        <w:t xml:space="preserve">misnamed postMONARCH) to NCT05169567 (real postMONARCH), and NCT04032080</w:t>
      </w:r>
      <w:r>
        <w:t xml:space="preserve"> </w:t>
      </w:r>
      <w:r>
        <w:t xml:space="preserve">(LY3023414+prexasertib TNBC, misnamed INAVO120) to NCT04191499 (real</w:t>
      </w:r>
      <w:r>
        <w:t xml:space="preserve"> </w:t>
      </w:r>
      <w:r>
        <w:t xml:space="preserve">INAVO120). Round 2 corrected NCT02513394 (PALLAS adjuvant, misnamed PALOMA-2)</w:t>
      </w:r>
      <w:r>
        <w:t xml:space="preserve"> </w:t>
      </w:r>
      <w:r>
        <w:t xml:space="preserve">to NCT01740427 (real PALOMA-2); NCT02675231 (monarcHER HR+/HER2+, misnamed</w:t>
      </w:r>
      <w:r>
        <w:t xml:space="preserve"> </w:t>
      </w:r>
      <w:r>
        <w:t xml:space="preserve">MONARCH-3) was removed as out-of-scope and MONARCH-3 was instead encoded</w:t>
      </w:r>
      <w:r>
        <w:t xml:space="preserve"> </w:t>
      </w:r>
      <w:r>
        <w:t xml:space="preserve">at NCT02246621 (whose previous label, MONALEESA-3, was itself wrong);</w:t>
      </w:r>
      <w:r>
        <w:t xml:space="preserve"> </w:t>
      </w:r>
      <w:r>
        <w:t xml:space="preserve">MONALEESA-3 was added at NCT02422615 (real MONALEESA-3); and NCT02763566</w:t>
      </w:r>
      <w:r>
        <w:t xml:space="preserve"> </w:t>
      </w:r>
      <w:r>
        <w:t xml:space="preserve">(MONARCH plus postmenopausal, misnamed MONALEESA-7) was replaced with</w:t>
      </w:r>
      <w:r>
        <w:t xml:space="preserve"> </w:t>
      </w:r>
      <w:r>
        <w:t xml:space="preserve">NCT02278120 (real MONALEESA-7). All NCT identifications in the present</w:t>
      </w:r>
      <w:r>
        <w:t xml:space="preserve"> </w:t>
      </w:r>
      <w:r>
        <w:t xml:space="preserve">draft were verified against the ClinicalTrials.gov</w:t>
      </w:r>
      <w:r>
        <w:t xml:space="preserve"> </w:t>
      </w:r>
      <w:r>
        <w:rPr>
          <w:rStyle w:val="VerbatimChar"/>
        </w:rPr>
        <w:t xml:space="preserve">briefTitle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conditionsModule</w:t>
      </w:r>
      <w:r>
        <w:t xml:space="preserve"> </w:t>
      </w:r>
      <w:r>
        <w:t xml:space="preserve">fields at the freeze date 2026-05-16. The full</w:t>
      </w:r>
      <w:r>
        <w:t xml:space="preserve"> </w:t>
      </w:r>
      <w:r>
        <w:t xml:space="preserve">correction history is in the repository commit log.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TROPiCS-02 (NCT03901339) and OlympiAD (NCT02000622) added.</w:t>
      </w:r>
      <w:r>
        <w:t xml:space="preserve"> </w:t>
      </w:r>
      <w:r>
        <w:t xml:space="preserve">Two trials were added during the correction passes to populate</w:t>
      </w:r>
      <w:r>
        <w:t xml:space="preserve"> </w:t>
      </w:r>
      <w:r>
        <w:t xml:space="preserve">decision nodes that the prereg’s narrative implied but the prototype</w:t>
      </w:r>
      <w:r>
        <w:t xml:space="preserve"> </w:t>
      </w:r>
      <w:r>
        <w:t xml:space="preserve">did not include: G14 (post-CDK4/6i+post-chemo sacituzumab) and G16</w:t>
      </w:r>
      <w:r>
        <w:t xml:space="preserve"> </w:t>
      </w:r>
      <w:r>
        <w:t xml:space="preserve">(gBRCAm PARPi). EMBRACA (talazoparib, NCT01945775), the parallel</w:t>
      </w:r>
      <w:r>
        <w:t xml:space="preserve"> </w:t>
      </w:r>
      <w:r>
        <w:t xml:space="preserve">registrational trial for the gBRCAm node, is acknowledged in the</w:t>
      </w:r>
      <w:r>
        <w:t xml:space="preserve"> </w:t>
      </w:r>
      <w:r>
        <w:t xml:space="preserve">guideline encoding but not included in this pilot corpus; it is queued</w:t>
      </w:r>
      <w:r>
        <w:t xml:space="preserve"> </w:t>
      </w:r>
      <w:r>
        <w:t xml:space="preserve">for the production extension.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Scope deviation: G16 (gBRCAm) is line-agnostic and not strictly</w:t>
      </w:r>
      <w:r>
        <w:rPr>
          <w:b/>
          <w:bCs/>
        </w:rPr>
        <w:t xml:space="preserve"> </w:t>
      </w:r>
      <w:r>
        <w:rPr>
          <w:b/>
          <w:bCs/>
        </w:rPr>
        <w:t xml:space="preserve">HR+/HER2-.</w:t>
      </w:r>
      <w:r>
        <w:t xml:space="preserve"> </w:t>
      </w:r>
      <w:r>
        <w:t xml:space="preserve">OlympiAD enrolled gBRCAm metastatic breast cancer regardless</w:t>
      </w:r>
      <w:r>
        <w:t xml:space="preserve"> </w:t>
      </w:r>
      <w:r>
        <w:t xml:space="preserve">of HR or HER2 status, so G16 sits outside the prereg’s strict HR+/HER2-</w:t>
      </w:r>
      <w:r>
        <w:t xml:space="preserve"> </w:t>
      </w:r>
      <w:r>
        <w:t xml:space="preserve">inclusion. The primary analysis includes G16 with the line-agnostic state</w:t>
      </w:r>
      <w:r>
        <w:t xml:space="preserve"> </w:t>
      </w:r>
      <w:r>
        <w:t xml:space="preserve">token</w:t>
      </w:r>
      <w:r>
        <w:t xml:space="preserve"> </w:t>
      </w:r>
      <w:r>
        <w:rPr>
          <w:rStyle w:val="VerbatimChar"/>
        </w:rPr>
        <w:t xml:space="preserve">metastatic</w:t>
      </w:r>
      <w:r>
        <w:t xml:space="preserve"> </w:t>
      </w:r>
      <w:r>
        <w:t xml:space="preserve">handled as a wildcard; a 15-node sensitivity</w:t>
      </w:r>
      <w:r>
        <w:t xml:space="preserve"> </w:t>
      </w:r>
      <w:r>
        <w:t xml:space="preserve">analysis (Results 3.5) confirms that the EFDPR finding is robust to G16</w:t>
      </w:r>
      <w:r>
        <w:t xml:space="preserve"> </w:t>
      </w:r>
      <w:r>
        <w:t xml:space="preserve">removal.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Secondary outcomes S2, S3 reported descriptively.</w:t>
      </w:r>
      <w:r>
        <w:t xml:space="preserve"> </w:t>
      </w:r>
      <w:r>
        <w:t xml:space="preserve">The prereg</w:t>
      </w:r>
      <w:r>
        <w:t xml:space="preserve"> </w:t>
      </w:r>
      <w:r>
        <w:t xml:space="preserve">commits to a Benjamini-Hochberg correction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across S1, S2, S3.</w:t>
      </w:r>
      <w:r>
        <w:t xml:space="preserve"> </w:t>
      </w:r>
      <w:r>
        <w:t xml:space="preserve">In the present pilot S1 (ODI) is reported as a per-biomarker mean Jaccard</w:t>
      </w:r>
      <w:r>
        <w:t xml:space="preserve"> </w:t>
      </w:r>
      <w:r>
        <w:t xml:space="preserve">distance with bootstrap CI; S2 (temporal lag) and S3 (subgroup coverage)</w:t>
      </w:r>
      <w:r>
        <w:t xml:space="preserve"> </w:t>
      </w:r>
      <w:r>
        <w:t xml:space="preserve">are reported descriptively because the small corpus precludes a meaningful</w:t>
      </w:r>
      <w:r>
        <w:t xml:space="preserve"> </w:t>
      </w:r>
      <w:r>
        <w:t xml:space="preserve">formal test.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Primary CI: Clopper-Pearson alongside bootstrap.</w:t>
      </w:r>
      <w:r>
        <w:t xml:space="preserve"> </w:t>
      </w:r>
      <w:r>
        <w:t xml:space="preserve">The prereg</w:t>
      </w:r>
      <w:r>
        <w:t xml:space="preserve"> </w:t>
      </w:r>
      <w:r>
        <w:t xml:space="preserve">specified a 1,000-iteration bootstrap CI. We additionally report the</w:t>
      </w:r>
      <w:r>
        <w:t xml:space="preserve"> </w:t>
      </w:r>
      <w:r>
        <w:t xml:space="preserve">Clopper-Pearson exact CI, which is the recommended primary CI in this</w:t>
      </w:r>
      <w:r>
        <w:t xml:space="preserve"> </w:t>
      </w:r>
      <w:r>
        <w:t xml:space="preserve">small-</w:t>
      </w:r>
      <m:oMath>
        <m:r>
          <m:t>n</m:t>
        </m:r>
      </m:oMath>
      <w:r>
        <w:t xml:space="preserve"> </w:t>
      </w:r>
      <w:r>
        <w:t xml:space="preserve">regime; both CIs are reported in Table 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Pre-registered exact-binomial test added as the formal primary</w:t>
      </w:r>
      <w:r>
        <w:rPr>
          <w:b/>
          <w:bCs/>
        </w:rPr>
        <w:t xml:space="preserve"> </w:t>
      </w:r>
      <w:r>
        <w:rPr>
          <w:b/>
          <w:bCs/>
        </w:rPr>
        <w:t xml:space="preserve">test.</w:t>
      </w:r>
      <w:r>
        <w:t xml:space="preserve"> </w:t>
      </w:r>
      <w:r>
        <w:t xml:space="preserve">The prereg specified a one-sided exact-binomial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; an earlier internal draft incorrectly substituted</w:t>
      </w:r>
      <w:r>
        <w:t xml:space="preserve"> </w:t>
      </w:r>
      <w:r>
        <w:t xml:space="preserve">a CI-overlap rule. The current draft reports the exact-binomial test as the</w:t>
      </w:r>
      <w:r>
        <w:t xml:space="preserve"> </w:t>
      </w:r>
      <w:r>
        <w:t xml:space="preserve">primary test, and the CI-overlap rule has been removed.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Drug-class equivalence is an explicit table, not a prefix rule.</w:t>
      </w:r>
      <w:r>
        <w:t xml:space="preserve"> </w:t>
      </w:r>
      <w:r>
        <w:t xml:space="preserve">An earlier internal draft used a prefix-match rule for drug classes that was</w:t>
      </w:r>
      <w:r>
        <w:t xml:space="preserve"> </w:t>
      </w:r>
      <w:r>
        <w:t xml:space="preserve">flagged as over-permissive in internal review; the current draft uses the</w:t>
      </w:r>
      <w:r>
        <w:t xml:space="preserve"> </w:t>
      </w:r>
      <w:r>
        <w:t xml:space="preserve">explicit equivalence table in</w:t>
      </w:r>
      <w:r>
        <w:t xml:space="preserve"> </w:t>
      </w:r>
      <w:r>
        <w:rPr>
          <w:rStyle w:val="VerbatimChar"/>
        </w:rPr>
        <w:t xml:space="preserve">analysis/05_compute_efdpr.py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NCCN sensitivity analysis deferred.</w:t>
      </w:r>
      <w:r>
        <w:t xml:space="preserve"> </w:t>
      </w:r>
      <w:r>
        <w:t xml:space="preserve">The prereg flagged NCCN</w:t>
      </w:r>
      <w:r>
        <w:t xml:space="preserve"> </w:t>
      </w:r>
      <w:r>
        <w:t xml:space="preserve">as a sensitivity-analysis source; this was deferred to the production</w:t>
      </w:r>
      <w:r>
        <w:t xml:space="preserve"> </w:t>
      </w:r>
      <w:r>
        <w:t xml:space="preserve">extension and is disclosed 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Selection bias from guideline-list seeding.</w:t>
      </w:r>
      <w:r>
        <w:t xml:space="preserve"> </w:t>
      </w:r>
      <w:r>
        <w:t xml:space="preserve">The 16-trial pilot</w:t>
      </w:r>
      <w:r>
        <w:t xml:space="preserve"> </w:t>
      </w:r>
      <w:r>
        <w:t xml:space="preserve">was seeded from the ESMO and ASCO guideline reference lists, which biases</w:t>
      </w:r>
      <w:r>
        <w:t xml:space="preserve"> </w:t>
      </w:r>
      <w:r>
        <w:t xml:space="preserve">inclusion toward trials the guidelines already cite. The production extension</w:t>
      </w:r>
      <w:r>
        <w:t xml:space="preserve"> </w:t>
      </w:r>
      <w:r>
        <w:t xml:space="preserve">will replace this seed with a systematic ClinicalTrials.gov query covering</w:t>
      </w:r>
      <w:r>
        <w:t xml:space="preserve"> </w:t>
      </w:r>
      <w:r>
        <w:t xml:space="preserve">every phase 2/3 HR+/HER2- mBC trial registered between 2015 and 2026.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G6 state recoding between Round 3 and Round 4 of internal review.</w:t>
      </w:r>
      <w:r>
        <w:t xml:space="preserve"> </w:t>
      </w:r>
      <w:r>
        <w:t xml:space="preserve">The Round 1 and Round 2 drafts coded G6 (AKT-pathway recommendation) at</w:t>
      </w:r>
      <w:r>
        <w:t xml:space="preserve"> </w:t>
      </w:r>
      <w:r>
        <w:rPr>
          <w:rStyle w:val="VerbatimChar"/>
        </w:rPr>
        <w:t xml:space="preserve">state="post-CDK46i"</w:t>
      </w:r>
      <w:r>
        <w:t xml:space="preserve">; the Round 3 clinical-review pass flagged this</w:t>
      </w:r>
      <w:r>
        <w:t xml:space="preserve"> </w:t>
      </w:r>
      <w:r>
        <w:t xml:space="preserve">as over-narrow relative to ESMO 2024’s actual placement of capivasertib at</w:t>
      </w:r>
      <w:r>
        <w:t xml:space="preserve"> </w:t>
      </w:r>
      <w:r>
        <w:t xml:space="preserve">the post-endocrine line with prior CDK4/6i permitted but not required, and</w:t>
      </w:r>
      <w:r>
        <w:t xml:space="preserve"> </w:t>
      </w:r>
      <w:r>
        <w:t xml:space="preserve">the current draft codes G6 at</w:t>
      </w:r>
      <w:r>
        <w:t xml:space="preserve"> </w:t>
      </w:r>
      <w:r>
        <w:rPr>
          <w:rStyle w:val="VerbatimChar"/>
        </w:rPr>
        <w:t xml:space="preserve">state="post-endo"</w:t>
      </w:r>
      <w:r>
        <w:t xml:space="preserve">. Effect on numbers:</w:t>
      </w:r>
      <w:r>
        <w:t xml:space="preserve"> </w:t>
      </w:r>
      <w:r>
        <w:t xml:space="preserve">strict EFDPR unchanged at 0.31 (G6 stays evidence-free under strict because</w:t>
      </w:r>
      <w:r>
        <w:t xml:space="preserve"> </w:t>
      </w:r>
      <w:r>
        <w:t xml:space="preserve">CAPItello-291’s AKT-pathway enters as a subgroup readout, not a biomarker</w:t>
      </w:r>
      <w:r>
        <w:t xml:space="preserve"> </w:t>
      </w:r>
      <w:r>
        <w:t xml:space="preserve">inclusion criterion); liberal EFDPR fell from 0.25 to 0.19 because G6 is</w:t>
      </w:r>
      <w:r>
        <w:t xml:space="preserve"> </w:t>
      </w:r>
      <w:r>
        <w:t xml:space="preserve">now liberal-supported by CAPItello-291’s subgroup readout. The 15-node</w:t>
      </w:r>
      <w:r>
        <w:t xml:space="preserve"> </w:t>
      </w:r>
      <w:r>
        <w:t xml:space="preserve">sensitivity tracked the change: liberal 0.27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0.20.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A Computable Map of Treatment-Sequencing Evidence in HR+/HER2- Metastatic Breast Cancer</dc:title>
  <dc:creator>H.-T. Lin</dc:creator>
  <cp:keywords/>
  <dcterms:created xsi:type="dcterms:W3CDTF">2026-05-15T17:51:55Z</dcterms:created>
  <dcterms:modified xsi:type="dcterms:W3CDTF">2026-05-15T17:51:55Z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2026-05-16</vt:lpwstr>
  </property>
</Properties>
</file>