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</w:rPr>
        <w:t xml:space="preserve">Supplementary Material (v2.0.0)</w:t>
      </w:r>
      <w:r>
        <w:br/>
      </w:r>
      <w:r>
        <w:t xml:space="preserve">A Computable Map of Treatment-Sequencing Evidence in HR+/HER2- Metastatic Breast Cancer:</w:t>
      </w:r>
      <w:r>
        <w:br/>
      </w:r>
      <w:r>
        <w:t xml:space="preserve">A 64-Trial, Pre-Registered Graph-Theoretic Analysis of ESMO, ASCO, and NCCN Decision-Tree Concordance</w:t>
      </w:r>
    </w:p>
    <w:p>
      <w:pPr>
        <w:pStyle w:val="Author"/>
      </w:pPr>
      <w:r>
        <w:t xml:space="preserve">H.-T. Lin</w:t>
      </w:r>
    </w:p>
    <w:p>
      <w:pPr>
        <w:pStyle w:val="Date"/>
      </w:pPr>
      <w:r>
        <w:t xml:space="preserve">2026-05-16</w:t>
      </w:r>
    </w:p>
    <w:bookmarkStart w:id="9" w:name="Xf476b96503b4391802f19997d24a1b0632d2ce5"/>
    <w:p>
      <w:pPr>
        <w:pStyle w:val="Heading1"/>
      </w:pPr>
      <w:r>
        <w:t xml:space="preserve">Supplementary Table S1. Reporting Transparency Checklist</w:t>
      </w:r>
    </w:p>
    <w:p>
      <w:pPr>
        <w:pStyle w:val="FirstParagraph"/>
      </w:pPr>
      <w:r>
        <w:t xml:space="preserve">This study reports a pre-registered graph-theoretic computational analysis. We adopt a custom transparency checklist combining PRISMA-2020 reporting items (relevant to evidence synthesis) with a graph-encoding addendum specific to the present method.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Reported 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Title identifies evidence 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“Computable Map of Treatment-Sequencing Evidence”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Structured abstract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268-word JCO CCI 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Rationale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Composition across non-overlapping trials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Objectives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EFDPR + ODI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Eligibility criteria for trials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2.1, 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Eight pre-specified filters (</w:t>
            </w:r>
            <w:r>
              <w:rPr>
                <w:rStyle w:val="VerbatimChar"/>
              </w:rPr>
              <w:t xml:space="preserve">v2_02_filter_corpus.py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Information 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ClinicalTrials.gov v2 + ESMO 2024 + ASCO 2022 + NCCN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Search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Frozen API query at</w:t>
            </w:r>
            <w:r>
              <w:t xml:space="preserve"> </w:t>
            </w:r>
            <w:r>
              <w:rPr>
                <w:rStyle w:val="VerbatimChar"/>
              </w:rPr>
              <w:t xml:space="preserve">v2_01_systematic_search.py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Selection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Eight pre-specified filters; 874 candidates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82 trials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 Data extraction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Dual-annotator LLM (Claude + Codex/GPT-5) + protocol adjudication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 Data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Frozen schema v1.0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 Risk-of-bias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Selection bias disclosed; multi-round internal review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 Effect measures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EFDPR; ODI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13. Synthesis 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Concordance algorithm; tolerance grid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14. Reporting bias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 date; corpus expansion disclosed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 Certainty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Pre-registered tolerance levels; sensitivity by guideline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16. Study selection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 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 systematic + 6 supplementary + 2 round-1-added = 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17. Study characteristics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1 + 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Per-trial schema fills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18. Risk of 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19. Results of individual studies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DAG edges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Trial primary endpoint per edge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20. Results of syntheses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 3.3–3.6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EFDPR, ODI, sensitivity, secondary outcomes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21. Reporting biases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Reviewer-cycle history disclosed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22. Certainty of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Pre-registered exact test rejected at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0.011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23. Discussion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caveats + three positives + outlook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24. Limitations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Pilot-to-production scaling honestly framed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25. Implications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Outlook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26. Registration and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2.1, prereg-v2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docs/prereg-v2.md</w:t>
            </w:r>
            <w:r>
              <w:t xml:space="preserve"> </w:t>
            </w:r>
            <w:r>
              <w:t xml:space="preserve">at commit</w:t>
            </w:r>
            <w:r>
              <w:t xml:space="preserve"> </w:t>
            </w:r>
            <w:r>
              <w:rPr>
                <w:rStyle w:val="VerbatimChar"/>
              </w:rPr>
              <w:t xml:space="preserve">085ae54</w:t>
            </w:r>
            <w:r>
              <w:t xml:space="preserve"> </w:t>
            </w:r>
            <w:r>
              <w:t xml:space="preserve">+ amendment</w:t>
            </w:r>
            <w:r>
              <w:t xml:space="preserve"> </w:t>
            </w:r>
            <w:r>
              <w:rPr>
                <w:rStyle w:val="VerbatimChar"/>
              </w:rPr>
              <w:t xml:space="preserve">079b540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27.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specific funding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28. Competing interests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Conflicts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declared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29. Availability of data, code,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 licence, GitHub URL, Zenodo DOI at v2.0.0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G1. Graph node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(prior-state, biomarker) tuples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G2. Graph edge construction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Trial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edge from required-state 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G3. Guideline-tree encoding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25-node ESMO+ASCO+NCCN unified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G4. Concordance algorithm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State-superset + biomarker tolerance + drug match + temporal precedence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G5. Tolerance 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 / ESCAT / liberal, pre-registered sensitivity grid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G6. Reproducibility (seed + commit hash)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 20260516;</w:t>
            </w:r>
            <w:r>
              <w:t xml:space="preserve"> </w:t>
            </w:r>
            <w:r>
              <w:rPr>
                <w:rStyle w:val="VerbatimChar"/>
              </w:rPr>
              <w:t xml:space="preserve">v2.0.0</w:t>
            </w:r>
            <w:r>
              <w:t xml:space="preserve"> </w:t>
            </w:r>
            <w:r>
              <w:t xml:space="preserve">commit</w:t>
            </w:r>
          </w:p>
        </w:tc>
      </w:tr>
    </w:tbl>
    <w:bookmarkEnd w:id="9"/>
    <w:bookmarkStart w:id="10" w:name="Xa78c1c6dde95ad5c2fd3392ea6674eb58948552"/>
    <w:p>
      <w:pPr>
        <w:pStyle w:val="Heading1"/>
      </w:pPr>
      <w:r>
        <w:t xml:space="preserve">Supplementary Table S2. Inter-annotator Agreement (Cohen’s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and PABAK)</w:t>
      </w:r>
    </w:p>
    <w:p>
      <w:pPr>
        <w:pStyle w:val="FirstParagraph"/>
      </w:pPr>
      <w:r>
        <w:t xml:space="preserve">Cohen’s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and the prevalence-adjusted bias-adjusted kappa (PABAK</w:t>
      </w:r>
      <w:r>
        <w:t xml:space="preserve"> </w:t>
      </w:r>
      <m:oMath>
        <m:r>
          <m:rPr>
            <m:sty m:val="p"/>
          </m:rPr>
          <m:t>=</m:t>
        </m:r>
        <m:r>
          <m:t>2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) on the 20-trial validation subset (pre- and post-adjudication). Adjudication rules (17) applied per the protocol’s decision-rule hierarchy.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Pre-adj</w:t>
            </w:r>
            <w:r>
              <w:t xml:space="preserve"> </w:t>
            </w:r>
            <m:oMath>
              <m:r>
                <m:t>κ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Post-adj</w:t>
            </w:r>
            <w:r>
              <w:t xml:space="preserve"> </w:t>
            </w:r>
            <m:oMath>
              <m:r>
                <m:t>κ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Post-adj agreement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PABAK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  <m:r>
                <m:t>0.70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prior_state.post_endo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 (Cohen + PABAK)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prior_state.post_cdk46i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 (Cohen + PABAK)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biomarker.hr_pos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 (Cohen + PABAK)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biomarker.her2_neg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 (Cohen + PABAK)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biomarker.her2_low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 (Cohen + PABAK)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biomarker.pik3ca_mut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 (Cohen + PABAK)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biomarker.esr1_mut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 (Cohen + PABAK)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biomarker.akt_path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Fail Cohen, Pass PABAK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 on the kappa paradox for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akt_path</w:t>
      </w:r>
      <w:r>
        <w:rPr>
          <w:b/>
          <w:bCs/>
        </w:rPr>
        <w:t xml:space="preserve">.</w:t>
      </w:r>
      <w:r>
        <w:t xml:space="preserve"> </w:t>
      </w:r>
      <w:r>
        <w:t xml:space="preserve">When two annotators agree on a category that is rare in the marginal distribution (both annotators rate the field as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on 19 of 20 trials), Cohen’s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is suppressed despite high raw agreement. This is the well-documented kappa paradox; PABAK is the standard adjustment. We report both metrics and explicitly disclose that the pre-registered Cohen’s</w:t>
      </w:r>
      <w:r>
        <w:t xml:space="preserve"> </w:t>
      </w:r>
      <m:oMath>
        <m:r>
          <m:t>κ</m:t>
        </m:r>
        <m:r>
          <m:rPr>
            <m:sty m:val="p"/>
          </m:rPr>
          <m:t>≥</m:t>
        </m:r>
        <m:r>
          <m:t>0.70</m:t>
        </m:r>
      </m:oMath>
      <w:r>
        <w:t xml:space="preserve"> </w:t>
      </w:r>
      <w:r>
        <w:t xml:space="preserve">gate fails on</w:t>
      </w:r>
      <w:r>
        <w:t xml:space="preserve"> </w:t>
      </w:r>
      <w:r>
        <w:rPr>
          <w:rStyle w:val="VerbatimChar"/>
        </w:rPr>
        <w:t xml:space="preserve">akt_path</w:t>
      </w:r>
      <w:r>
        <w:t xml:space="preserve"> </w:t>
      </w:r>
      <w:r>
        <w:t xml:space="preserve">alone (due to the paradox, not substantive disagreement); under PABAK the gate passes on every key field.</w:t>
      </w:r>
    </w:p>
    <w:bookmarkEnd w:id="10"/>
    <w:bookmarkStart w:id="11" w:name="X9896a55465dbb9b19d33b8a930797ec74dceade"/>
    <w:p>
      <w:pPr>
        <w:pStyle w:val="Heading1"/>
      </w:pPr>
      <w:r>
        <w:t xml:space="preserve">Supplementary Text 1. Pre-registration trail and v2 deviations</w:t>
      </w:r>
    </w:p>
    <w:p>
      <w:pPr>
        <w:pStyle w:val="FirstParagraph"/>
      </w:pPr>
      <w:r>
        <w:t xml:space="preserve">The v2 pre-registration is in two commits: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docs/prereg-v2.md</w:t>
      </w:r>
      <w:r>
        <w:t xml:space="preserve"> </w:t>
      </w:r>
      <w:r>
        <w:t xml:space="preserve">at commit</w:t>
      </w:r>
      <w:r>
        <w:t xml:space="preserve"> </w:t>
      </w:r>
      <w:r>
        <w:rPr>
          <w:rStyle w:val="VerbatimChar"/>
        </w:rPr>
        <w:t xml:space="preserve">085ae54</w:t>
      </w:r>
      <w:r>
        <w:t xml:space="preserve"> </w:t>
      </w:r>
      <w:r>
        <w:t xml:space="preserve">(initial freeze, before any v2 outcome data observed).</w:t>
      </w:r>
    </w:p>
    <w:p>
      <w:pPr>
        <w:numPr>
          <w:ilvl w:val="0"/>
          <w:numId w:val="1001"/>
        </w:numPr>
      </w:pPr>
      <w:r>
        <w:t xml:space="preserve">Amendment v2.1 at commit</w:t>
      </w:r>
      <w:r>
        <w:t xml:space="preserve"> </w:t>
      </w:r>
      <w:r>
        <w:rPr>
          <w:rStyle w:val="VerbatimChar"/>
        </w:rPr>
        <w:t xml:space="preserve">079b540</w:t>
      </w:r>
      <w:r>
        <w:t xml:space="preserve"> </w:t>
      </w:r>
      <w:r>
        <w:t xml:space="preserve">(widened date filter to 2013–2026; tightened enrolment</w:t>
      </w:r>
      <w:r>
        <w:t xml:space="preserve"> </w:t>
      </w:r>
      <m:oMath>
        <m:r>
          <m:rPr>
            <m:sty m:val="p"/>
          </m:rPr>
          <m:t>≥</m:t>
        </m:r>
        <m:r>
          <m:t>200</m:t>
        </m:r>
      </m:oMath>
      <w:r>
        <w:t xml:space="preserve">; disclosed before any LLM extraction).</w:t>
      </w:r>
    </w:p>
    <w:p>
      <w:pPr>
        <w:pStyle w:val="FirstParagraph"/>
      </w:pPr>
      <w:r>
        <w:rPr>
          <w:b/>
          <w:bCs/>
        </w:rPr>
        <w:t xml:space="preserve">v2 deviations disclosed: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Two trials added in round-1 internal review (BYLieve NCT03056755, SERENA-6 NCT04964934).</w:t>
      </w:r>
      <w:r>
        <w:t xml:space="preserve"> </w:t>
      </w:r>
      <w:r>
        <w:t xml:space="preserve">The systematic search and supplementary inclusion produced 80 trials; internal review surfaced two pivotal trials missing from the corpus that are guideline-cited and clinically pivotal. Added before primary-test computation was finalised; the addition is documented in the repository commit log.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Three extraction errors corrected in round-1.</w:t>
      </w:r>
      <w:r>
        <w:t xml:space="preserve"> </w:t>
      </w:r>
      <w:r>
        <w:t xml:space="preserve">CAPItello-291 and DESTINY-Breast06 post-CDK4/6i subgroup-readout flags were missing; TROPION-Breast01 HER2-low subgroup-readout flag was missing. All three corrections were applied to the final extraction file with explicit rationale.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17 adjudication rules (not 14 as initially reported)</w:t>
      </w:r>
      <w:r>
        <w:t xml:space="preserve"> </w:t>
      </w:r>
      <w:r>
        <w:t xml:space="preserve">were applied per the protocol’s decision-rule hierarchy.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Cohen’s</w:t>
      </w:r>
      <w:r>
        <w:rPr>
          <w:b/>
          <w:bCs/>
        </w:rPr>
        <w:t xml:space="preserve"> </w:t>
      </w:r>
      <m:oMath>
        <m:r>
          <m:t>κ</m:t>
        </m:r>
        <m:r>
          <m:rPr>
            <m:sty m:val="p"/>
          </m:rPr>
          <m:t>≥</m:t>
        </m:r>
        <m:r>
          <m:t>0.70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gate failed pre-adjudication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post_endo</w:t>
      </w:r>
      <w:r>
        <w:t xml:space="preserve"> </w:t>
      </w:r>
      <w:r>
        <w:t xml:space="preserve">(</w:t>
      </w:r>
      <m:oMath>
        <m:r>
          <m:t>κ</m:t>
        </m:r>
        <m:r>
          <m:rPr>
            <m:sty m:val="p"/>
          </m:rPr>
          <m:t>=</m:t>
        </m:r>
        <m:r>
          <m:t>0.40</m:t>
        </m:r>
      </m:oMath>
      <w:r>
        <w:t xml:space="preserve">) and</w:t>
      </w:r>
      <w:r>
        <w:t xml:space="preserve"> </w:t>
      </w:r>
      <w:r>
        <w:rPr>
          <w:rStyle w:val="VerbatimChar"/>
        </w:rPr>
        <w:t xml:space="preserve">akt_path</w:t>
      </w:r>
      <w:r>
        <w:t xml:space="preserve"> </w:t>
      </w:r>
      <w:r>
        <w:t xml:space="preserve">(</w:t>
      </w:r>
      <m:oMath>
        <m:r>
          <m:t>κ</m:t>
        </m:r>
        <m:r>
          <m:rPr>
            <m:sty m:val="p"/>
          </m:rPr>
          <m:t>=</m:t>
        </m:r>
        <m:r>
          <m:t>0.00</m:t>
        </m:r>
      </m:oMath>
      <w:r>
        <w:t xml:space="preserve">); post-adjudication all fields pass under PABAK but</w:t>
      </w:r>
      <w:r>
        <w:t xml:space="preserve"> </w:t>
      </w:r>
      <w:r>
        <w:rPr>
          <w:rStyle w:val="VerbatimChar"/>
        </w:rPr>
        <w:t xml:space="preserve">akt_path</w:t>
      </w:r>
      <w:r>
        <w:t xml:space="preserve"> </w:t>
      </w:r>
      <w:r>
        <w:t xml:space="preserve">still fails Cohen’s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due to the kappa paradox. Both metrics reported.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Pre-registered S2 and S3 reported descriptively</w:t>
      </w:r>
      <w:r>
        <w:t xml:space="preserve"> </w:t>
      </w:r>
      <w:r>
        <w:t xml:space="preserve">rather than with formal hypothesis tests, due to small corpus and the realistic null distribution for temporal lag.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By-guideline-source sensitivity (E1)</w:t>
      </w:r>
      <w:r>
        <w:t xml:space="preserve"> </w:t>
      </w:r>
      <w:r>
        <w:t xml:space="preserve">promoted from exploratory to pre-specified sensitivity reporting; not re-classified as confirmatory.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G6 (AKT-pathway) state coding</w:t>
      </w:r>
      <w:r>
        <w:t xml:space="preserve"> </w:t>
      </w:r>
      <w:r>
        <w:t xml:space="preserve">retained as</w:t>
      </w:r>
      <w:r>
        <w:t xml:space="preserve"> </w:t>
      </w:r>
      <w:r>
        <w:rPr>
          <w:rStyle w:val="VerbatimChar"/>
        </w:rPr>
        <w:t xml:space="preserve">post-endo</w:t>
      </w:r>
      <w:r>
        <w:t xml:space="preserve"> </w:t>
      </w:r>
      <w:r>
        <w:t xml:space="preserve">(per v1.0.0 Round 4 review); not re-deviating.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NCT-label correction.</w:t>
      </w:r>
      <w:r>
        <w:t xml:space="preserve"> </w:t>
      </w:r>
      <w:r>
        <w:t xml:space="preserve">An earlier internal draft confused NCT04711252 (SERENA-4, first-line) with NCT04964934 (SERENA-6, ctDNA-detected ESR1mut switch); corrected to the latter.</w:t>
      </w:r>
    </w:p>
    <w:bookmarkEnd w:id="11"/>
    <w:bookmarkStart w:id="12" w:name="X70ba4e2facc5f04e4218389851fb85a719b8195"/>
    <w:p>
      <w:pPr>
        <w:pStyle w:val="Heading1"/>
      </w:pPr>
      <w:r>
        <w:t xml:space="preserve">Supplementary Table S3. Trial Corpus (provided as JSON in repository)</w:t>
      </w:r>
    </w:p>
    <w:p>
      <w:pPr>
        <w:pStyle w:val="FirstParagraph"/>
      </w:pPr>
      <w:r>
        <w:t xml:space="preserve">The full 82-trial structured extraction (post-adjudication) is released as</w:t>
      </w:r>
      <w:r>
        <w:t xml:space="preserve"> </w:t>
      </w:r>
      <w:r>
        <w:rPr>
          <w:rStyle w:val="VerbatimChar"/>
        </w:rPr>
        <w:t xml:space="preserve">data/processed/v2_extraction_final.json</w:t>
      </w:r>
      <w:r>
        <w:t xml:space="preserve"> </w:t>
      </w:r>
      <w:r>
        <w:t xml:space="preserve">in the repository; the per-trial fields include nct_id, trial_name, prior_state, biomarker, subgroup_readouts, drug_class, year_pc, guideline_target_node, confidence, notes, and provenance (</w:t>
      </w:r>
      <w:r>
        <w:rPr>
          <w:rStyle w:val="VerbatimChar"/>
        </w:rPr>
        <w:t xml:space="preserve">systematic_search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v1_supplementary</w:t>
      </w:r>
      <w:r>
        <w:t xml:space="preserve">, or</w:t>
      </w:r>
      <w:r>
        <w:t xml:space="preserve"> </w:t>
      </w:r>
      <w:r>
        <w:rPr>
          <w:rStyle w:val="VerbatimChar"/>
        </w:rPr>
        <w:t xml:space="preserve">v2_round1_added</w:t>
      </w:r>
      <w:r>
        <w:t xml:space="preserve">).</w:t>
      </w:r>
    </w:p>
    <w:bookmarkEnd w:id="12"/>
    <w:bookmarkStart w:id="13" w:name="Xf790064e9902ee5b64502b9ce6ab1880d0065d9"/>
    <w:p>
      <w:pPr>
        <w:pStyle w:val="Heading1"/>
      </w:pPr>
      <w:r>
        <w:t xml:space="preserve">Supplementary Table S4. Guideline Decision Tree Encoding</w:t>
      </w:r>
    </w:p>
    <w:p>
      <w:pPr>
        <w:pStyle w:val="FirstParagraph"/>
      </w:pPr>
      <w:r>
        <w:t xml:space="preserve">The 25-node ESMO+ASCO+NCCN HR+/HER2- mBC decision-tree encoding is released as</w:t>
      </w:r>
      <w:r>
        <w:t xml:space="preserve"> </w:t>
      </w:r>
      <w:r>
        <w:rPr>
          <w:rStyle w:val="VerbatimChar"/>
        </w:rPr>
        <w:t xml:space="preserve">data/processed/v2_decision_tree.json</w:t>
      </w:r>
      <w:r>
        <w:t xml:space="preserve"> </w:t>
      </w:r>
      <w:r>
        <w:t xml:space="preserve">with each node carrying (node_id, state, biomarker, recommended_classes with grade, cited_trials, year, source).</w:t>
      </w:r>
    </w:p>
    <w:bookmarkEnd w:id="13"/>
    <w:bookmarkStart w:id="14" w:name="Xe8b5621c9826ebe1ee08e1104f06c356553fae9"/>
    <w:p>
      <w:pPr>
        <w:pStyle w:val="Heading1"/>
      </w:pPr>
      <w:r>
        <w:t xml:space="preserve">Supplementary Table S5. Operationalization Discordance Tokens</w:t>
      </w:r>
    </w:p>
    <w:p>
      <w:pPr>
        <w:pStyle w:val="FirstParagraph"/>
      </w:pPr>
      <w:r>
        <w:t xml:space="preserve">Biomarker-token vocabulary for the ODI computation is in</w:t>
      </w:r>
      <w:r>
        <w:t xml:space="preserve"> </w:t>
      </w:r>
      <w:r>
        <w:rPr>
          <w:rStyle w:val="VerbatimChar"/>
        </w:rPr>
        <w:t xml:space="preserve">analysis/v2_10_compute_odi.py</w:t>
      </w:r>
      <w:r>
        <w:t xml:space="preserve">.</w:t>
      </w:r>
    </w:p>
    <w:bookmarkEnd w:id="14"/>
    <w:bookmarkStart w:id="15" w:name="Xaa2f62c98bb759676a439d9c92c335e8382680c"/>
    <w:p>
      <w:pPr>
        <w:pStyle w:val="Heading1"/>
      </w:pPr>
      <w:r>
        <w:t xml:space="preserve">Supplementary Table S6. Reviewer-Cycle History</w:t>
      </w:r>
    </w:p>
    <w:p>
      <w:pPr>
        <w:pStyle w:val="FirstParagraph"/>
      </w:pPr>
      <w:r>
        <w:t xml:space="preserve">Four-round v1 review cycle (16 review passes) is in</w:t>
      </w:r>
      <w:r>
        <w:t xml:space="preserve"> </w:t>
      </w:r>
      <w:r>
        <w:rPr>
          <w:rStyle w:val="VerbatimChar"/>
        </w:rPr>
        <w:t xml:space="preserve">reviews/round[1-4]/</w:t>
      </w:r>
      <w:r>
        <w:t xml:space="preserve">; one-round v2 review cycle (4 review passes) is in</w:t>
      </w:r>
      <w:r>
        <w:t xml:space="preserve"> </w:t>
      </w:r>
      <w:r>
        <w:rPr>
          <w:rStyle w:val="VerbatimChar"/>
        </w:rPr>
        <w:t xml:space="preserve">reviews/v2_round1/</w:t>
      </w:r>
      <w:r>
        <w:t xml:space="preserve">; integration commits are in the repository git log.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Material (v2.0.0) A Computable Map of Treatment-Sequencing Evidence in HR+/HER2- Metastatic Breast Cancer: A 64-Trial, Pre-Registered Graph-Theoretic Analysis of ESMO, ASCO, and NCCN Decision-Tree Concordance</dc:title>
  <dc:creator>H.-T. Lin</dc:creator>
  <cp:keywords/>
  <dcterms:created xsi:type="dcterms:W3CDTF">2026-05-15T18:57:34Z</dcterms:created>
  <dcterms:modified xsi:type="dcterms:W3CDTF">2026-05-15T18:57:34Z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2026-05-16</vt:lpwstr>
  </property>
</Properties>
</file>