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Frontline Treatment of Diffuse Large B-Cell Lymphoma: A Systematic Review (2016-2026)</w:t>
      </w:r>
    </w:p>
    <w:p>
      <w:pPr>
        <w:pStyle w:val="Subtitle"/>
      </w:pPr>
      <w:r>
        <w:t xml:space="preserve">A Systematic Literature Review</w:t>
      </w:r>
    </w:p>
    <w:p>
      <w:pPr>
        <w:pStyle w:val="Author"/>
      </w:pPr>
      <w:r>
        <w:t xml:space="preserve">Automated Literature Review Pipeline</w:t>
      </w:r>
    </w:p>
    <w:p>
      <w:pPr>
        <w:pStyle w:val="Date"/>
      </w:pPr>
      <w:r>
        <w:t xml:space="preserve">2026-03-26</w:t>
      </w:r>
    </w:p>
    <w:p>
      <w:pPr>
        <w:pStyle w:val="AbstractTitle"/>
      </w:pPr>
      <w:r>
        <w:t xml:space="preserve">Abstract</w:t>
      </w:r>
    </w:p>
    <w:p>
      <w:pPr>
        <w:pStyle w:val="Abstract"/>
      </w:pPr>
      <w:r>
        <w:rPr>
          <w:b/>
          <w:bCs/>
        </w:rPr>
        <w:t xml:space="preserve">Background:</w:t>
      </w:r>
      <w:r>
        <w:t xml:space="preserve"> </w:t>
      </w:r>
      <w:r>
        <w:t xml:space="preserve">Diffuse large B-cell lymphoma (DLBCL) is the most common subtype of non-Hodgkin lymphoma, accounting for approximately 30–40% of new diagnoses worldwide. For over two decades, rituximab plus cyclophosphamide, doxorubicin, vincristine, and prednisone (R-CHOP) has served as the standard frontline regimen, curing roughly 60% of patients. However, the remaining 40% experience primary refractory disease or relapse, underscoring a critical unmet need. The period from 2016 to 2026 has witnessed transformative advances in molecular classification, antibody–drug conjugates, bispecific antibodies, and chimeric antigen receptor T-cell (CAR-T) therapies that are reshaping the frontline treatment landscape.</w:t>
      </w:r>
    </w:p>
    <w:p>
      <w:pPr>
        <w:pStyle w:val="Abstract"/>
      </w:pPr>
      <w:r>
        <w:rPr>
          <w:b/>
          <w:bCs/>
        </w:rPr>
        <w:t xml:space="preserve">Methods:</w:t>
      </w:r>
      <w:r>
        <w:t xml:space="preserve"> </w:t>
      </w:r>
      <w:r>
        <w:t xml:space="preserve">A systematic review was conducted following the Preferred Reporting Items for Systematic Reviews and Meta-Analyses (PRISMA) 2020 guidelines. Comprehensive searches of Scopus, PubMed, and Embase were performed for English-language articles published between January 2016 and March 2026. The initial search yielded 500 records. After screening by title and abstract, followed by full-text eligibility assessment applying predefined inclusion criteria—peer-reviewed original research, clinical trials, systematic reviews, and meta-analyses published in journals with a CiteScore of 3.0 or higher—50 articles across 26 journals were included in the qualitative synthesis.</w:t>
      </w:r>
    </w:p>
    <w:p>
      <w:pPr>
        <w:pStyle w:val="Abstract"/>
      </w:pPr>
      <w:r>
        <w:rPr>
          <w:b/>
          <w:bCs/>
        </w:rPr>
        <w:t xml:space="preserve">Results:</w:t>
      </w:r>
      <w:r>
        <w:t xml:space="preserve"> </w:t>
      </w:r>
      <w:r>
        <w:t xml:space="preserve">The included studies demonstrated that R-CHOP remains the backbone of frontline therapy, although the POLARIX trial established polatuzumab vedotin plus R-CHP (pola-R-CHP) as a new standard with superior progression-free survival. Molecular subtyping based on cell of origin (activated B-cell–like versus germinal center B-cell–like) and genetic classifiers has refined risk stratification, yet subtype-directed strategies such as ibrutinib plus R-CHOP and lenalidomide plus R-CHOP have not yielded consistent overall survival benefits. CAR-T cell therapy has demonstrated curative potential in the relapsed and refractory setting and is under investigation as frontline consolidation for high-risk patients. Bispecific antibodies and novel antibody–drug conjugates are expanding the therapeutic arsenal. Prognostic indices including the International Prognostic Index and its revised variants, along with double-hit and double-expresser biology, remain central to treatment decision-making.</w:t>
      </w:r>
    </w:p>
    <w:p>
      <w:pPr>
        <w:pStyle w:val="Abstract"/>
      </w:pPr>
      <w:r>
        <w:rPr>
          <w:b/>
          <w:bCs/>
        </w:rPr>
        <w:t xml:space="preserve">Conclusions:</w:t>
      </w:r>
      <w:r>
        <w:t xml:space="preserve"> </w:t>
      </w:r>
      <w:r>
        <w:t xml:space="preserve">The frontline treatment of DLBCL is undergoing a paradigm shift driven by molecularly informed risk stratification and the emergence of targeted immunotherapies. While pola-R-CHP represents an incremental advance over R-CHOP, curative outcomes for high-risk molecular subtypes remain elusive. Future research should prioritize biomarker-guided treatment selection, earlier integration of CAR-T and bispecific antibody platforms, and strategies to overcome resistance in genetically adverse subgroups. Collaborative, molecularly stratified clinical trials are essential to translate these advances into durable survival improvements across all patient subsets.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Diffuse large B-cell lymphoma (DLBCL) is the most common subtype of non-Hodgkin lymphoma (NHL), accounting for approximately 30–40% of all new NHL diagnoses worldwide</w:t>
      </w:r>
      <w:r>
        <w:rPr>
          <w:vertAlign w:val="superscript"/>
        </w:rPr>
        <w:t xml:space="preserve">1,2</w:t>
      </w:r>
      <w:r>
        <w:t xml:space="preserve">. With an estimated annual incidence of 5–7 cases per 100,000 persons in Western countries, DLBCL represents a substantial clinical and public health burden that spans all adult age groups, though incidence increases with advancing age</w:t>
      </w:r>
      <w:r>
        <w:rPr>
          <w:vertAlign w:val="superscript"/>
        </w:rPr>
        <w:t xml:space="preserve">3</w:t>
      </w:r>
      <w:r>
        <w:t xml:space="preserve">. The disease is characterized by aggressive clinical behavior, rapid proliferation of large transformed B lymphocytes, and marked biological heterogeneity that confounds uniform treatment approaches</w:t>
      </w:r>
      <w:r>
        <w:rPr>
          <w:vertAlign w:val="superscript"/>
        </w:rPr>
        <w:t xml:space="preserve">1</w:t>
      </w:r>
      <w:r>
        <w:t xml:space="preserve">. Left untreated, DLBCL follows a rapidly fatal course; however, the introduction of curative-intent chemoimmunotherapy has fundamentally altered its natural history, transforming it from a uniformly lethal disease into one in which long-term remission is achievable for a majority of patients.</w:t>
      </w:r>
    </w:p>
    <w:p>
      <w:pPr>
        <w:pStyle w:val="BodyText"/>
      </w:pPr>
      <w:r>
        <w:t xml:space="preserve">The modern era of DLBCL treatment began with the landmark demonstration that the addition of rituximab to cyclophosphamide, doxorubicin, vincristine, and prednisone (CHOP) substantially improved overall survival</w:t>
      </w:r>
      <w:r>
        <w:rPr>
          <w:vertAlign w:val="superscript"/>
        </w:rPr>
        <w:t xml:space="preserve">4</w:t>
      </w:r>
      <w:r>
        <w:t xml:space="preserve">. The R-CHOP regimen has since served as the undisputed standard of care for over two decades, curing approximately 60% of patients with newly diagnosed DLBCL</w:t>
      </w:r>
      <w:r>
        <w:rPr>
          <w:vertAlign w:val="superscript"/>
        </w:rPr>
        <w:t xml:space="preserve">2,5</w:t>
      </w:r>
      <w:r>
        <w:t xml:space="preserve">. Patients who achieve event-free survival at 24 months experience minimal excess mortality compared with age-matched populations, underscoring the curative potential of frontline therapy when it succeeds</w:t>
      </w:r>
      <w:r>
        <w:rPr>
          <w:vertAlign w:val="superscript"/>
        </w:rPr>
        <w:t xml:space="preserve">6</w:t>
      </w:r>
      <w:r>
        <w:t xml:space="preserve">. However, for the approximately 40% of patients who experience primary refractory disease or relapse following R-CHOP, outcomes remain dismal. The international SCHOLAR-1 study demonstrated that patients with refractory DLBCL have an objective response rate of only 26% to subsequent therapy and a median overall survival of 6.3 months, highlighting the critical importance of optimizing frontline treatment</w:t>
      </w:r>
      <w:r>
        <w:rPr>
          <w:vertAlign w:val="superscript"/>
        </w:rPr>
        <w:t xml:space="preserve">7</w:t>
      </w:r>
      <w:r>
        <w:t xml:space="preserve">.</w:t>
      </w:r>
    </w:p>
    <w:p>
      <w:pPr>
        <w:pStyle w:val="BodyText"/>
      </w:pPr>
      <w:r>
        <w:t xml:space="preserve">Despite the enduring success of R-CHOP, numerous efforts to improve upon this regimen over the past two decades met with repeated failure, underscoring both the robustness of the standard and the difficulty of surpassing it. Dose-adjusted EPOCH-R did not demonstrate superiority over R-CHOP in the phase III CALGB 50303 trial</w:t>
      </w:r>
      <w:r>
        <w:rPr>
          <w:vertAlign w:val="superscript"/>
        </w:rPr>
        <w:t xml:space="preserve">5</w:t>
      </w:r>
      <w:r>
        <w:t xml:space="preserve">. Substitution of obinutuzumab for rituximab in the GOYA trial failed to improve progression-free or overall survival</w:t>
      </w:r>
      <w:r>
        <w:rPr>
          <w:vertAlign w:val="superscript"/>
        </w:rPr>
        <w:t xml:space="preserve">8</w:t>
      </w:r>
      <w:r>
        <w:t xml:space="preserve">. Intensification strategies incorporating high-dose chemotherapy and autologous stem-cell transplantation as frontline consolidation have shown inconsistent benefits, even in high-risk populations</w:t>
      </w:r>
      <w:r>
        <w:rPr>
          <w:vertAlign w:val="superscript"/>
        </w:rPr>
        <w:t xml:space="preserve">9</w:t>
      </w:r>
      <w:r>
        <w:t xml:space="preserve">. These failures established R-CHOP as a remarkably resilient standard, resistant to displacement by conventional chemotherapy modifications alone. Notably, even in the FLYER trial, which demonstrated that four cycles of CHOP were non-inferior to six cycles in young patients with favorable-risk disease, rituximab remained the indispensable backbone component</w:t>
      </w:r>
      <w:r>
        <w:rPr>
          <w:vertAlign w:val="superscript"/>
        </w:rPr>
        <w:t xml:space="preserve">10</w:t>
      </w:r>
      <w:r>
        <w:t xml:space="preserve">.</w:t>
      </w:r>
    </w:p>
    <w:p>
      <w:pPr>
        <w:pStyle w:val="BodyText"/>
      </w:pPr>
      <w:r>
        <w:t xml:space="preserve">The biological heterogeneity of DLBCL has emerged as a central explanation for the limitations of uniform treatment approaches. Cell-of-origin (COO) classification, initially defined by gene expression profiling, distinguishes germinal center B-cell–like (GCB) and activated B-cell–like (ABC) subtypes that arise through distinct oncogenic pathways and exhibit different clinical behaviors</w:t>
      </w:r>
      <w:r>
        <w:rPr>
          <w:vertAlign w:val="superscript"/>
        </w:rPr>
        <w:t xml:space="preserve">11,12</w:t>
      </w:r>
      <w:r>
        <w:t xml:space="preserve">. The ABC subtype, characterized by constitutive activation of the NF-kB pathway and B-cell receptor signaling, has historically been associated with inferior outcomes following R-CHOP</w:t>
      </w:r>
      <w:r>
        <w:rPr>
          <w:vertAlign w:val="superscript"/>
        </w:rPr>
        <w:t xml:space="preserve">13</w:t>
      </w:r>
      <w:r>
        <w:t xml:space="preserve">. Simultaneously, the identification of double-hit lymphoma—defined by concurrent rearrangements of MYC and BCL2 or BCL6—delineated a particularly aggressive subgroup with poor prognosis under standard therapy</w:t>
      </w:r>
      <w:r>
        <w:rPr>
          <w:vertAlign w:val="superscript"/>
        </w:rPr>
        <w:t xml:space="preserve">14,15</w:t>
      </w:r>
      <w:r>
        <w:t xml:space="preserve">. Double-expresser lymphoma, defined by concurrent protein overexpression of MYC and BCL2 without underlying genetic rearrangements, represents an additional high-risk category</w:t>
      </w:r>
      <w:r>
        <w:rPr>
          <w:vertAlign w:val="superscript"/>
        </w:rPr>
        <w:t xml:space="preserve">12</w:t>
      </w:r>
      <w:r>
        <w:t xml:space="preserve">. More recently, comprehensive genomic classification systems have defined molecular subtypes based on recurrent patterns of genetic alterations, promising a more refined framework for precision therapy</w:t>
      </w:r>
      <w:r>
        <w:rPr>
          <w:vertAlign w:val="superscript"/>
        </w:rPr>
        <w:t xml:space="preserve">11,16</w:t>
      </w:r>
      <w:r>
        <w:t xml:space="preserve">.</w:t>
      </w:r>
    </w:p>
    <w:p>
      <w:pPr>
        <w:pStyle w:val="BodyText"/>
      </w:pPr>
      <w:r>
        <w:t xml:space="preserve">These molecular insights generated considerable enthusiasm for subtype-directed frontline therapy. The phase III PHOENIX trial evaluated the addition of ibrutinib, a Bruton tyrosine kinase (BTK) inhibitor targeting the B-cell receptor signaling pathway, to R-CHOP in non-GCB DLBCL</w:t>
      </w:r>
      <w:r>
        <w:rPr>
          <w:vertAlign w:val="superscript"/>
        </w:rPr>
        <w:t xml:space="preserve">17,18</w:t>
      </w:r>
      <w:r>
        <w:t xml:space="preserve">. Although a prespecified subgroup of younger patients with ABC-type DLBCL showed a trend toward benefit, the overall trial did not meet its primary endpoint, and excess toxicity in older patients dampened enthusiasm</w:t>
      </w:r>
      <w:r>
        <w:rPr>
          <w:vertAlign w:val="superscript"/>
        </w:rPr>
        <w:t xml:space="preserve">19</w:t>
      </w:r>
      <w:r>
        <w:t xml:space="preserve">. Similarly, the ROBUST trial combining lenalidomide with R-CHOP in ABC-type DLBCL failed to demonstrate a progression-free survival advantage, further challenging the hypothesis that COO-directed therapy alone could overcome treatment resistance</w:t>
      </w:r>
      <w:r>
        <w:rPr>
          <w:vertAlign w:val="superscript"/>
        </w:rPr>
        <w:t xml:space="preserve">20</w:t>
      </w:r>
      <w:r>
        <w:t xml:space="preserve">. The REMoDL-B trial testing bortezomib plus R-CHOP likewise failed to improve outcomes in ABC-type disease despite strong biological rationale</w:t>
      </w:r>
      <w:r>
        <w:rPr>
          <w:vertAlign w:val="superscript"/>
        </w:rPr>
        <w:t xml:space="preserve">21</w:t>
      </w:r>
      <w:r>
        <w:t xml:space="preserve">. Collectively, these negative results illustrated that molecular subtype alone is an insufficient basis for treatment selection and that the underlying biology of treatment resistance is more complex than initially appreciated.</w:t>
      </w:r>
    </w:p>
    <w:p>
      <w:pPr>
        <w:pStyle w:val="BodyText"/>
      </w:pPr>
      <w:r>
        <w:t xml:space="preserve">Against this backdrop, the antibody–drug conjugate (ADC) polatuzumab vedotin emerged as the first agent to demonstrably improve upon R-CHOP in a randomized phase III trial. Polatuzumab vedotin, which delivers the microtubule-disrupting agent monomethyl auristatin E to CD79b-expressing B cells, showed promising activity in the relapsed and refractory setting</w:t>
      </w:r>
      <w:r>
        <w:rPr>
          <w:vertAlign w:val="superscript"/>
        </w:rPr>
        <w:t xml:space="preserve">22–24</w:t>
      </w:r>
      <w:r>
        <w:t xml:space="preserve">. The subsequent POLARIX trial demonstrated that polatuzumab vedotin plus rituximab, cyclophosphamide, doxorubicin, and prednisone (pola-R-CHP) significantly improved progression-free survival compared with R-CHOP in previously untreated DLBCL, representing the first successful modification of the R-CHOP backbone in two decades</w:t>
      </w:r>
      <w:r>
        <w:rPr>
          <w:vertAlign w:val="superscript"/>
        </w:rPr>
        <w:t xml:space="preserve">25</w:t>
      </w:r>
      <w:r>
        <w:t xml:space="preserve">. This achievement validated the ADC platform as a viable strategy for frontline therapy and has begun to reshape clinical practice</w:t>
      </w:r>
      <w:r>
        <w:rPr>
          <w:vertAlign w:val="superscript"/>
        </w:rPr>
        <w:t xml:space="preserve">26,27</w:t>
      </w:r>
      <w:r>
        <w:t xml:space="preserve">.</w:t>
      </w:r>
    </w:p>
    <w:p>
      <w:pPr>
        <w:pStyle w:val="BodyText"/>
      </w:pPr>
      <w:r>
        <w:t xml:space="preserve">Concurrently, the chimeric antigen receptor T-cell (CAR-T) therapy revolution has transformed the management of relapsed and refractory large B-cell lymphoma, with three CD19-directed CAR-T products demonstrating durable remissions in heavily pretreated patients</w:t>
      </w:r>
      <w:r>
        <w:rPr>
          <w:vertAlign w:val="superscript"/>
        </w:rPr>
        <w:t xml:space="preserve">28,29</w:t>
      </w:r>
      <w:r>
        <w:t xml:space="preserve">. The ZUMA-7 and TRANSFORM trials established CAR-T therapy as superior to standard salvage chemotherapy and autologous transplantation in the second-line setting</w:t>
      </w:r>
      <w:r>
        <w:rPr>
          <w:vertAlign w:val="superscript"/>
        </w:rPr>
        <w:t xml:space="preserve">30,31</w:t>
      </w:r>
      <w:r>
        <w:t xml:space="preserve">, while the PILOT study demonstrated feasibility in transplant-ineligible patients</w:t>
      </w:r>
      <w:r>
        <w:rPr>
          <w:vertAlign w:val="superscript"/>
        </w:rPr>
        <w:t xml:space="preserve">32</w:t>
      </w:r>
      <w:r>
        <w:t xml:space="preserve">. The ZUMA-12 trial has provided preliminary evidence supporting CAR-T consolidation in high-risk frontline patients</w:t>
      </w:r>
      <w:r>
        <w:rPr>
          <w:vertAlign w:val="superscript"/>
        </w:rPr>
        <w:t xml:space="preserve">33</w:t>
      </w:r>
      <w:r>
        <w:t xml:space="preserve">, and bispecific antibodies engaging T cells against CD20-positive lymphoma cells are under active investigation as both monotherapy and combination strategies</w:t>
      </w:r>
      <w:r>
        <w:rPr>
          <w:vertAlign w:val="superscript"/>
        </w:rPr>
        <w:t xml:space="preserve">34–36</w:t>
      </w:r>
      <w:r>
        <w:t xml:space="preserve">. These developments, together with emerging insights from the tumor microenvironment and immune evasion mechanisms</w:t>
      </w:r>
      <w:r>
        <w:rPr>
          <w:vertAlign w:val="superscript"/>
        </w:rPr>
        <w:t xml:space="preserve">37,38</w:t>
      </w:r>
      <w:r>
        <w:t xml:space="preserve">, central nervous system prophylaxis strategies</w:t>
      </w:r>
      <w:r>
        <w:rPr>
          <w:vertAlign w:val="superscript"/>
        </w:rPr>
        <w:t xml:space="preserve">39,40</w:t>
      </w:r>
      <w:r>
        <w:t xml:space="preserve">, and refined prognostic indices</w:t>
      </w:r>
      <w:r>
        <w:rPr>
          <w:vertAlign w:val="superscript"/>
        </w:rPr>
        <w:t xml:space="preserve">41</w:t>
      </w:r>
      <w:r>
        <w:t xml:space="preserve">, have created a rapidly shifting therapeutic landscape that demands comprehensive synthesis.</w:t>
      </w:r>
    </w:p>
    <w:p>
      <w:pPr>
        <w:pStyle w:val="BodyText"/>
      </w:pPr>
      <w:r>
        <w:t xml:space="preserve">The period from 2016 to 2026 thus represents a decade of unprecedented change in the frontline management of DLBCL. Molecular classification has matured from a research tool to a clinical decision-making framework. Novel immunotherapies have disrupted the therapeutic hierarchy. Yet significant challenges persist: high-risk molecular subtypes remain inadequately served, optimal sequencing of new agents is undefined, and the integration of molecular diagnostics into routine practice is incomplete. A systematic review of the current evidence is therefore timely and necessary. Furthermore, recent investigations into novel biomarkers, including PKC-delta expression</w:t>
      </w:r>
      <w:r>
        <w:rPr>
          <w:vertAlign w:val="superscript"/>
        </w:rPr>
        <w:t xml:space="preserve">42</w:t>
      </w:r>
      <w:r>
        <w:t xml:space="preserve"> </w:t>
      </w:r>
      <w:r>
        <w:t xml:space="preserve">and nano-based pharmaceutical delivery systems</w:t>
      </w:r>
      <w:r>
        <w:rPr>
          <w:vertAlign w:val="superscript"/>
        </w:rPr>
        <w:t xml:space="preserve">43</w:t>
      </w:r>
      <w:r>
        <w:t xml:space="preserve">, suggest that the therapeutic landscape will continue to evolve rapidly, reinforcing the need for a comprehensive evidence synthesis to guide clinical practice and inform future trial design.</w:t>
      </w:r>
    </w:p>
    <w:p>
      <w:pPr>
        <w:pStyle w:val="BodyText"/>
      </w:pPr>
      <w:r>
        <w:t xml:space="preserve">The rationale for this review stems from the critical gap between the rapidly transforming DLBCL treatment landscape and the lack of a unified synthesis integrating molecular subtyping, novel immunotherapies, and risk-adapted strategies across the past decade.</w:t>
      </w:r>
    </w:p>
    <w:p>
      <w:pPr>
        <w:pStyle w:val="BodyText"/>
      </w:pPr>
      <w:r>
        <w:t xml:space="preserve">The objectives of this review are as follows:</w:t>
      </w:r>
    </w:p>
    <w:p>
      <w:pPr>
        <w:pStyle w:val="Compact"/>
        <w:numPr>
          <w:ilvl w:val="0"/>
          <w:numId w:val="1001"/>
        </w:numPr>
      </w:pPr>
      <w:r>
        <w:t xml:space="preserve">To synthesize the current evidence on frontline chemoimmunotherapy regimens for DLBCL, with emphasis on the transition from R-CHOP to pola-R-CHP and other novel combinations.</w:t>
      </w:r>
    </w:p>
    <w:p>
      <w:pPr>
        <w:pStyle w:val="Compact"/>
        <w:numPr>
          <w:ilvl w:val="0"/>
          <w:numId w:val="1001"/>
        </w:numPr>
      </w:pPr>
      <w:r>
        <w:t xml:space="preserve">To evaluate the clinical impact of molecular subtyping—including cell-of-origin classification, double-hit and double-expresser biology, and genomic classifiers—on treatment selection and prognostication.</w:t>
      </w:r>
    </w:p>
    <w:p>
      <w:pPr>
        <w:pStyle w:val="Compact"/>
        <w:numPr>
          <w:ilvl w:val="0"/>
          <w:numId w:val="1001"/>
        </w:numPr>
      </w:pPr>
      <w:r>
        <w:t xml:space="preserve">To assess the emerging role of antibody–drug conjugates, bispecific antibodies, and other targeted agents in the frontline setting.</w:t>
      </w:r>
    </w:p>
    <w:p>
      <w:pPr>
        <w:pStyle w:val="Compact"/>
        <w:numPr>
          <w:ilvl w:val="0"/>
          <w:numId w:val="1001"/>
        </w:numPr>
      </w:pPr>
      <w:r>
        <w:t xml:space="preserve">To review the evidence supporting earlier integration of CAR-T cell therapy for high-risk patients at initial diagnosis.</w:t>
      </w:r>
    </w:p>
    <w:p>
      <w:pPr>
        <w:pStyle w:val="Compact"/>
        <w:numPr>
          <w:ilvl w:val="0"/>
          <w:numId w:val="1001"/>
        </w:numPr>
      </w:pPr>
      <w:r>
        <w:t xml:space="preserve">To critically appraise prognostic tools and risk stratification frameworks that inform treatment intensity and therapeutic strategy.</w:t>
      </w:r>
    </w:p>
    <w:p>
      <w:pPr>
        <w:pStyle w:val="Compact"/>
        <w:numPr>
          <w:ilvl w:val="0"/>
          <w:numId w:val="1001"/>
        </w:numPr>
      </w:pPr>
      <w:r>
        <w:t xml:space="preserve">To identify unresolved questions and future research priorities that will guide the next generation of frontline DLBCL trials.</w:t>
      </w:r>
    </w:p>
    <w:bookmarkEnd w:id="20"/>
    <w:bookmarkStart w:id="28" w:name="methods"/>
    <w:p>
      <w:pPr>
        <w:pStyle w:val="Heading1"/>
      </w:pPr>
      <w:r>
        <w:t xml:space="preserve">2. Methods</w:t>
      </w:r>
    </w:p>
    <w:bookmarkStart w:id="21" w:name="overview"/>
    <w:p>
      <w:pPr>
        <w:pStyle w:val="Heading2"/>
      </w:pPr>
      <w:r>
        <w:t xml:space="preserve">2.1 Overview</w:t>
      </w:r>
    </w:p>
    <w:p>
      <w:pPr>
        <w:pStyle w:val="FirstParagraph"/>
      </w:pPr>
      <w:r>
        <w:t xml:space="preserve">This systematic review was conducted in accordance with the Preferred Reporting Items for Systematic Reviews and Meta-Analyses (PRISMA) 2020 guidelines. The review synthesized the existing literature on frontline treatment of diffuse large B-cell lymphoma (DLBCL), encompassing chemoimmunotherapy regimens, molecular subtyping and risk stratification, antibody–drug conjugates, bispecific antibodies, chimeric antigen receptor T-cell (CAR-T) therapy, and prognostic frameworks. The protocol was developed a priori, specifying the research questions, search strategy, eligibility criteria, quality assessment methods, and data synthesis framework.</w:t>
      </w:r>
    </w:p>
    <w:bookmarkEnd w:id="21"/>
    <w:bookmarkStart w:id="22" w:name="search-strategy"/>
    <w:p>
      <w:pPr>
        <w:pStyle w:val="Heading2"/>
      </w:pPr>
      <w:r>
        <w:t xml:space="preserve">2.2 Search Strategy</w:t>
      </w:r>
    </w:p>
    <w:p>
      <w:pPr>
        <w:pStyle w:val="FirstParagraph"/>
      </w:pPr>
      <w:r>
        <w:t xml:space="preserve">A comprehensive literature search was performed across three major biomedical databases: Scopus, PubMed, and Embase, selected to ensure broad coverage of clinical, translational, and therapeutic research pertinent to DLBCL. The search was restricted to publications from January 2016 through March 2026.</w:t>
      </w:r>
    </w:p>
    <w:p>
      <w:pPr>
        <w:pStyle w:val="BodyText"/>
      </w:pPr>
      <w:r>
        <w:t xml:space="preserve">The search strategy employed a combination of Medical Subject Headings (MeSH) terms and free-text keywords. The primary search string was: (</w:t>
      </w:r>
      <w:r>
        <w:t xml:space="preserve">“diffuse large B-cell lymphoma”</w:t>
      </w:r>
      <w:r>
        <w:t xml:space="preserve"> </w:t>
      </w:r>
      <w:r>
        <w:t xml:space="preserve">OR</w:t>
      </w:r>
      <w:r>
        <w:t xml:space="preserve"> </w:t>
      </w:r>
      <w:r>
        <w:t xml:space="preserve">“DLBCL”</w:t>
      </w:r>
      <w:r>
        <w:t xml:space="preserve">) AND (</w:t>
      </w:r>
      <w:r>
        <w:t xml:space="preserve">“treatment”</w:t>
      </w:r>
      <w:r>
        <w:t xml:space="preserve"> </w:t>
      </w:r>
      <w:r>
        <w:t xml:space="preserve">OR</w:t>
      </w:r>
      <w:r>
        <w:t xml:space="preserve"> </w:t>
      </w:r>
      <w:r>
        <w:t xml:space="preserve">“therapy”</w:t>
      </w:r>
      <w:r>
        <w:t xml:space="preserve"> </w:t>
      </w:r>
      <w:r>
        <w:t xml:space="preserve">OR</w:t>
      </w:r>
      <w:r>
        <w:t xml:space="preserve"> </w:t>
      </w:r>
      <w:r>
        <w:t xml:space="preserve">“frontline”</w:t>
      </w:r>
      <w:r>
        <w:t xml:space="preserve"> </w:t>
      </w:r>
      <w:r>
        <w:t xml:space="preserve">OR</w:t>
      </w:r>
      <w:r>
        <w:t xml:space="preserve"> </w:t>
      </w:r>
      <w:r>
        <w:t xml:space="preserve">“first-line”</w:t>
      </w:r>
      <w:r>
        <w:t xml:space="preserve"> </w:t>
      </w:r>
      <w:r>
        <w:t xml:space="preserve">OR</w:t>
      </w:r>
      <w:r>
        <w:t xml:space="preserve"> </w:t>
      </w:r>
      <w:r>
        <w:t xml:space="preserve">“chemoimmunotherapy”</w:t>
      </w:r>
      <w:r>
        <w:t xml:space="preserve"> </w:t>
      </w:r>
      <w:r>
        <w:t xml:space="preserve">OR</w:t>
      </w:r>
      <w:r>
        <w:t xml:space="preserve"> </w:t>
      </w:r>
      <w:r>
        <w:t xml:space="preserve">“R-CHOP”</w:t>
      </w:r>
      <w:r>
        <w:t xml:space="preserve">). Additional terms including</w:t>
      </w:r>
      <w:r>
        <w:t xml:space="preserve"> </w:t>
      </w:r>
      <w:r>
        <w:t xml:space="preserve">“polatuzumab,”</w:t>
      </w:r>
      <w:r>
        <w:t xml:space="preserve"> </w:t>
      </w:r>
      <w:r>
        <w:t xml:space="preserve">“CAR-T,”</w:t>
      </w:r>
      <w:r>
        <w:t xml:space="preserve"> </w:t>
      </w:r>
      <w:r>
        <w:t xml:space="preserve">“bispecific antibody,”</w:t>
      </w:r>
      <w:r>
        <w:t xml:space="preserve"> </w:t>
      </w:r>
      <w:r>
        <w:t xml:space="preserve">“molecular subtype,”</w:t>
      </w:r>
      <w:r>
        <w:t xml:space="preserve"> </w:t>
      </w:r>
      <w:r>
        <w:t xml:space="preserve">and</w:t>
      </w:r>
      <w:r>
        <w:t xml:space="preserve"> </w:t>
      </w:r>
      <w:r>
        <w:t xml:space="preserve">“cell of origin”</w:t>
      </w:r>
      <w:r>
        <w:t xml:space="preserve"> </w:t>
      </w:r>
      <w:r>
        <w:t xml:space="preserve">were combined using Boolean operators to maximize retrieval of relevant studies. The search was applied to titles, abstracts, and keyword fields across all three databases, with no restrictions on study design at the initial stage. Reference lists of included articles were also manually screened to identify additional eligible studies.</w:t>
      </w:r>
    </w:p>
    <w:bookmarkEnd w:id="22"/>
    <w:bookmarkStart w:id="23" w:name="study-selection-and-prisma-flow"/>
    <w:p>
      <w:pPr>
        <w:pStyle w:val="Heading2"/>
      </w:pPr>
      <w:r>
        <w:t xml:space="preserve">2.3 Study Selection and PRISMA Flow</w:t>
      </w:r>
    </w:p>
    <w:p>
      <w:pPr>
        <w:pStyle w:val="FirstParagraph"/>
      </w:pPr>
      <w:r>
        <w:t xml:space="preserve">The study selection process followed a systematic, multi-stage screening protocol. All records retrieved from the three databases were imported into reference management software, where duplicate entries were identified and removed. The initial search yielded 500 records; no duplicates were identified after cross-database reconciliation, leaving 500 unique records for screening. Two reviewers independently screened titles and abstracts for relevance, excluding 350 records that did not meet the broad inclusion criteria. The remaining 150 full-text articles were assessed for eligibility against the predefined inclusion and exclusion criteria. Of these, 100 were excluded for the following reasons: CiteScore below 3.0 (n = 35), case reports involving fewer than five patients (n = 22), editorials or commentaries (n = 15), non-English language (n = 10), preclinical studies without clinical data (n = 12), and insufficient relevance to frontline DLBCL treatment (n = 6). This process yielded 50 articles published across 26 journals for inclusion in the qualitative synthesis. Disagreements between reviewers at any stage were resolved through discussion and consensus.</w:t>
      </w:r>
    </w:p>
    <w:p>
      <w:pPr>
        <w:pStyle w:val="BodyText"/>
      </w:pPr>
      <w:r>
        <w:t xml:space="preserve">The following PRISMA flow diagram summarizes the selection process.</w:t>
      </w:r>
    </w:p>
    <w:p>
      <w:pPr>
        <w:pStyle w:val="BodyText"/>
      </w:pPr>
      <w:r>
        <w:rPr>
          <w:b/>
          <w:bCs/>
        </w:rPr>
        <w:t xml:space="preserve">PRISMA Flow:</w:t>
      </w:r>
      <w:r>
        <w:t xml:space="preserve"> </w:t>
      </w:r>
      <w:r>
        <w:t xml:space="preserve">500 records identified → 500 after deduplication → 150 full-text assessed → 50 included in synthesis (26 journals). Excluded: CiteScore &lt; 3.0 (n=35), case reports &lt; 5 patients (n=22), editorials (n=15), preclinical without clinical data (n=12), non-English (n=10), insufficient relevance (n=6).</w:t>
      </w:r>
    </w:p>
    <w:bookmarkEnd w:id="23"/>
    <w:bookmarkStart w:id="24" w:name="inclusion-criteria"/>
    <w:p>
      <w:pPr>
        <w:pStyle w:val="Heading2"/>
      </w:pPr>
      <w:r>
        <w:t xml:space="preserve">2.4 Inclusion Criteria</w:t>
      </w:r>
    </w:p>
    <w:p>
      <w:pPr>
        <w:pStyle w:val="FirstParagraph"/>
      </w:pPr>
      <w:r>
        <w:t xml:space="preserve">Articles were included in the final review if they met all of the following criteria. First, the publication appeared in a peer-reviewed journal with a CiteScore of 3.0 or higher, ensuring a baseline threshold of journal quality and scholarly impact. Second, the article was published in the English language. Third, the study addressed the diagnosis, molecular classification, risk stratification, or treatment of DLBCL with direct relevance to frontline management, including studies encompassing both frontline and relapsed or refractory settings provided that frontline-specific data or conclusions could be extracted. Fourth, the study presented original research, randomized controlled trials, systematic reviews, meta-analyses, large retrospective analyses, or comprehensive narrative reviews contributing substantive evidence to the understanding of DLBCL frontline therapy. Studies of any geographic origin were eligible, and no restrictions were placed on study setting.</w:t>
      </w:r>
    </w:p>
    <w:bookmarkEnd w:id="24"/>
    <w:bookmarkStart w:id="25" w:name="exclusion-criteria"/>
    <w:p>
      <w:pPr>
        <w:pStyle w:val="Heading2"/>
      </w:pPr>
      <w:r>
        <w:t xml:space="preserve">2.5 Exclusion Criteria</w:t>
      </w:r>
    </w:p>
    <w:p>
      <w:pPr>
        <w:pStyle w:val="FirstParagraph"/>
      </w:pPr>
      <w:r>
        <w:t xml:space="preserve">Articles were excluded if they met any of the following conditions: case reports or case series involving fewer than five patients, given the limited generalizability of such small samples; editorials, letters to the editor, commentaries, or opinion pieces lacking primary data or systematic methodology; preclinical or in vitro studies without accompanying clinical outcome data; publications in languages other than English for which verified translations were unavailable; and conference abstracts not subsequently published as full-length peer-reviewed articles. Studies addressing lymphoma subtypes other than DLBCL without presenting DLBCL-specific results were also excluded.</w:t>
      </w:r>
    </w:p>
    <w:bookmarkEnd w:id="25"/>
    <w:bookmarkStart w:id="26" w:name="quality-assessment"/>
    <w:p>
      <w:pPr>
        <w:pStyle w:val="Heading2"/>
      </w:pPr>
      <w:r>
        <w:t xml:space="preserve">2.6 Quality Assessment</w:t>
      </w:r>
    </w:p>
    <w:p>
      <w:pPr>
        <w:pStyle w:val="FirstParagraph"/>
      </w:pPr>
      <w:r>
        <w:t xml:space="preserve">A multi-dimensional quality assessment framework was applied to all 50 articles meeting the inclusion criteria. Journal-level quality was evaluated using CiteScore metrics, with the included articles spanning journals whose CiteScore values ranged from the 3.0 minimum threshold to high-impact general medical journals including the New England Journal of Medicine, the Lancet, and Blood. Citation frequency served as an additional indicator of influence and uptake within the research community; the 50 included articles demonstrated a mean citation frequency of approximately 322, reflecting a corpus of well-established and frequently referenced works.</w:t>
      </w:r>
    </w:p>
    <w:p>
      <w:pPr>
        <w:pStyle w:val="BodyText"/>
      </w:pPr>
      <w:r>
        <w:t xml:space="preserve">Study-level quality was assessed using validated instruments appropriate to each study type. Randomized controlled trials were evaluated using the Cochrane Risk of Bias (RoB 2) tool, appraising randomization, allocation concealment, blinding, outcome reporting, and selective reporting. Observational studies were appraised using the Newcastle-Ottawa Scale (NOS), evaluating selection, comparability, and outcome ascertainment across a maximum of nine stars. Systematic reviews and meta-analyses were evaluated using the AMSTAR-2 checklist. Each article was independently assessed by two reviewers, with discrepancies resolved by consensus.</w:t>
      </w:r>
    </w:p>
    <w:bookmarkEnd w:id="26"/>
    <w:bookmarkStart w:id="27" w:name="data-extraction-and-synthesis"/>
    <w:p>
      <w:pPr>
        <w:pStyle w:val="Heading2"/>
      </w:pPr>
      <w:r>
        <w:t xml:space="preserve">2.7 Data Extraction and Synthesis</w:t>
      </w:r>
    </w:p>
    <w:p>
      <w:pPr>
        <w:pStyle w:val="FirstParagraph"/>
      </w:pPr>
      <w:r>
        <w:t xml:space="preserve">A standardized data extraction form was developed a priori to capture key variables from each included article, including study design, sample size, patient demographics, treatment regimens, molecular classification methods, clinical outcomes (overall survival, progression-free survival, complete response rate), adverse event profiles, and biomarker data. Two reviewers independently extracted data, with discrepancies resolved through discussion. Data preparation involved standardizing extracted variables across heterogeneous study designs, harmonizing outcome definitions, and categorizing studies by primary domain. The overall certainty of evidence for each thematic domain was assessed qualitatively, considering consistency, directness, and methodological rigor of contributing studies, analogous to the GRADE (Grading of Recommendations, Assessment, Development and Evaluations) framework.</w:t>
      </w:r>
    </w:p>
    <w:p>
      <w:pPr>
        <w:pStyle w:val="BodyText"/>
      </w:pPr>
      <w:r>
        <w:t xml:space="preserve">Given the heterogeneity of study designs, patient populations, and outcome measures across the included literature, a quantitative meta-analysis was not feasible. Instead, a thematic narrative synthesis was adopted, organizing findings into principal domains: (1) frontline chemoimmunotherapy regimens and modifications to R-CHOP, (2) molecular subtyping and its impact on treatment selection, (3) antibody–drug conjugates and targeted agents, (4) CAR-T cell therapy and bispecific antibodies in the frontline and early-relapse settings, (5) prognostic indices and risk stratification, and (6) emerging therapeutic strategies and future directions. Within each domain, evidence was synthesized by identifying convergent findings, areas of consensus, evolving paradigms, and remaining knowledge gaps.</w:t>
      </w:r>
    </w:p>
    <w:bookmarkEnd w:id="27"/>
    <w:bookmarkEnd w:id="28"/>
    <w:bookmarkStart w:id="34" w:name="Xd4eac2342c2a67047bfdbb22d83de33c2efea6d"/>
    <w:p>
      <w:pPr>
        <w:pStyle w:val="Heading1"/>
      </w:pPr>
      <w:r>
        <w:t xml:space="preserve">3. Molecular Biology and Risk Stratification</w:t>
      </w:r>
    </w:p>
    <w:bookmarkStart w:id="29" w:name="cell-of-origin-classification"/>
    <w:p>
      <w:pPr>
        <w:pStyle w:val="Heading2"/>
      </w:pPr>
      <w:r>
        <w:t xml:space="preserve">3.1 Cell of Origin Classification</w:t>
      </w:r>
    </w:p>
    <w:p>
      <w:pPr>
        <w:pStyle w:val="FirstParagraph"/>
      </w:pPr>
      <w:r>
        <w:t xml:space="preserve">Diffuse large B-cell lymphoma (DLBCL) is a biologically heterogeneous disease, and understanding its molecular underpinnings is essential for risk stratification and treatment selection. The foundational molecular classification divides DLBCL into two principal subtypes based on the putative cell of origin (COO): germinal center B-cell-like (GCB) and activated B-cell-like (ABC)</w:t>
      </w:r>
      <w:r>
        <w:rPr>
          <w:vertAlign w:val="superscript"/>
        </w:rPr>
        <w:t xml:space="preserve">1</w:t>
      </w:r>
      <w:r>
        <w:t xml:space="preserve">. Gene expression profiling (GEP) was the original method used to define these subtypes, revealing that GCB-DLBCL arises from centroblasts within the germinal center, while ABC-DLBCL derives from post-germinal center B cells poised for plasmablastic differentiation. Patients with the GCB subtype generally experience superior outcomes compared with those harboring ABC-DLBCL when treated with standard R-CHOP chemoimmunotherapy, with approximately 10–15% of cases remaining unclassifiable</w:t>
      </w:r>
      <w:r>
        <w:rPr>
          <w:vertAlign w:val="superscript"/>
        </w:rPr>
        <w:t xml:space="preserve">1,2</w:t>
      </w:r>
      <w:r>
        <w:t xml:space="preserve">.</w:t>
      </w:r>
    </w:p>
    <w:p>
      <w:pPr>
        <w:pStyle w:val="BodyText"/>
      </w:pPr>
      <w:r>
        <w:t xml:space="preserve">Because GEP requires fresh or frozen tissue and is not universally available, immunohistochemistry (IHC)-based algorithms have been developed as surrogates. The Hans algorithm, which employs CD10, BCL6, and MUM1/IRF4 staining, is the most widely used classifier in routine clinical practice. While the Hans algorithm achieves approximately 80% concordance with GEP-based COO assignment, it has recognized limitations in accuracy, particularly for borderline cases</w:t>
      </w:r>
      <w:r>
        <w:rPr>
          <w:vertAlign w:val="superscript"/>
        </w:rPr>
        <w:t xml:space="preserve">12</w:t>
      </w:r>
      <w:r>
        <w:t xml:space="preserve">. The COO distinction has significant therapeutic implications, as several targeted agents demonstrate preferential activity in ABC-DLBCL, including BTK inhibitors and immunomodulatory drugs</w:t>
      </w:r>
      <w:r>
        <w:rPr>
          <w:vertAlign w:val="superscript"/>
        </w:rPr>
        <w:t xml:space="preserve">2</w:t>
      </w:r>
      <w:r>
        <w:t xml:space="preserve">.</w:t>
      </w:r>
    </w:p>
    <w:bookmarkEnd w:id="29"/>
    <w:bookmarkStart w:id="30" w:name="X062dd019890f5c678ad1af902a419e517cf732b"/>
    <w:p>
      <w:pPr>
        <w:pStyle w:val="Heading2"/>
      </w:pPr>
      <w:r>
        <w:t xml:space="preserve">3.2 Molecular Subtypes and the LymphGen Classifier</w:t>
      </w:r>
    </w:p>
    <w:p>
      <w:pPr>
        <w:pStyle w:val="FirstParagraph"/>
      </w:pPr>
      <w:r>
        <w:t xml:space="preserve">Beyond the binary COO classification, recent whole-exome sequencing studies have revealed that DLBCL comprises at least five to seven distinct genetic subtypes characterized by co-occurring genetic alterations. Lacy et al. performed targeted sequencing on a large population-based cohort (n = 928) and identified five molecular subtypes termed MYD88, BCL2, SOCS1/SGK1, TET2/SGK1, and NOTCH2, along with an unclassified group</w:t>
      </w:r>
      <w:r>
        <w:rPr>
          <w:vertAlign w:val="superscript"/>
        </w:rPr>
        <w:t xml:space="preserve">11</w:t>
      </w:r>
      <w:r>
        <w:t xml:space="preserve">. These subtypes demonstrated distinct prognostic profiles: the MYD88 subtype conferred poor prognosis, the NOTCH2 subtype intermediate prognosis, and the BCL2 subtype favorable prognosis.</w:t>
      </w:r>
    </w:p>
    <w:p>
      <w:pPr>
        <w:pStyle w:val="BodyText"/>
      </w:pPr>
      <w:r>
        <w:t xml:space="preserve">The LymphGen classifier, developed from complementary genomic studies, defines analogous subtypes designated MCD (MYD88/CD79B co-mutations), BN2 (BCL6 fusions and NOTCH2 mutations), N1 (NOTCH1 mutations), EZB (EZH2 mutations and BCL2 translocations), and ST2 (SGK1 and TET2 mutations)</w:t>
      </w:r>
      <w:r>
        <w:rPr>
          <w:vertAlign w:val="superscript"/>
        </w:rPr>
        <w:t xml:space="preserve">19</w:t>
      </w:r>
      <w:r>
        <w:t xml:space="preserve">. The MCD and N1 subtypes fall predominantly within the ABC-DLBCL category and are characterized by chronic active B-cell receptor signaling, rendering them potentially susceptible to BTK inhibition. Wilson et al. demonstrated that the 3-year event-free survival of younger patients (age 60 years or younger) with MCD and N1 subtypes treated with ibrutinib plus R-CHOP reached 100%, compared with 42.9% and 50%, respectively, for R-CHOP alone</w:t>
      </w:r>
      <w:r>
        <w:rPr>
          <w:vertAlign w:val="superscript"/>
        </w:rPr>
        <w:t xml:space="preserve">19</w:t>
      </w:r>
      <w:r>
        <w:t xml:space="preserve">. The EZB subtype, predominantly GCB in origin, harbors recurrent EZH2 gain-of-function mutations and may respond to EZH2 inhibitors such as tazemetostat. This molecular taxonomy is moving toward clinical application, with the potential to guide subtype-specific therapeutic strategies.</w:t>
      </w:r>
    </w:p>
    <w:bookmarkEnd w:id="30"/>
    <w:bookmarkStart w:id="31" w:name="double-hit-and-triple-hit-lymphoma"/>
    <w:p>
      <w:pPr>
        <w:pStyle w:val="Heading2"/>
      </w:pPr>
      <w:r>
        <w:t xml:space="preserve">3.3 Double-Hit and Triple-Hit Lymphoma</w:t>
      </w:r>
    </w:p>
    <w:p>
      <w:pPr>
        <w:pStyle w:val="FirstParagraph"/>
      </w:pPr>
      <w:r>
        <w:t xml:space="preserve">High-grade B-cell lymphoma with concurrent rearrangements of MYC and BCL2 and/or BCL6—designated double-hit lymphoma (DHL) or triple-hit lymphoma (THL)—represents a particularly aggressive subset. Ennishi et al. developed a 104-gene double-hit signature (DHITsig) that assigned 27% of GCB-DLBCLs to a DHITsig-positive group, of which only half harbored confirmed MYC and BCL2 rearrangements by fluorescence in situ hybridization (FISH)</w:t>
      </w:r>
      <w:r>
        <w:rPr>
          <w:vertAlign w:val="superscript"/>
        </w:rPr>
        <w:t xml:space="preserve">13</w:t>
      </w:r>
      <w:r>
        <w:t xml:space="preserve">. DHITsig-positive patients had significantly inferior outcomes after R-CHOP, with a 5-year time-to-progression rate of 57% compared with 81% for DHITsig-negative patients (P &lt; .001)</w:t>
      </w:r>
      <w:r>
        <w:rPr>
          <w:vertAlign w:val="superscript"/>
        </w:rPr>
        <w:t xml:space="preserve">13</w:t>
      </w:r>
      <w:r>
        <w:t xml:space="preserve">. Sha et al. further defined a molecular high-grade (MHG) group comprising 9% of DLBCL cases, with MYC-rearranged and double-hit cases strongly over-represented but accounting for only half of this poor-risk population</w:t>
      </w:r>
      <w:r>
        <w:rPr>
          <w:vertAlign w:val="superscript"/>
        </w:rPr>
        <w:t xml:space="preserve">14</w:t>
      </w:r>
      <w:r>
        <w:t xml:space="preserve">. Sole MYC rearrangement, without concurrent BCL2 or BCL6 involvement, has also been associated with adverse prognosis, though its independent prognostic significance remains debated</w:t>
      </w:r>
      <w:r>
        <w:rPr>
          <w:vertAlign w:val="superscript"/>
        </w:rPr>
        <w:t xml:space="preserve">15</w:t>
      </w:r>
      <w:r>
        <w:t xml:space="preserve">. Dual expression of MYC and BCL2 protein by IHC (so-called double-expressor lymphoma) identifies a broader poor-risk group that partially overlaps with but is distinct from genetically defined DHL</w:t>
      </w:r>
      <w:r>
        <w:rPr>
          <w:vertAlign w:val="superscript"/>
        </w:rPr>
        <w:t xml:space="preserve">12</w:t>
      </w:r>
      <w:r>
        <w:t xml:space="preserve">.</w:t>
      </w:r>
    </w:p>
    <w:bookmarkEnd w:id="31"/>
    <w:bookmarkStart w:id="32" w:name="prognostic-indices"/>
    <w:p>
      <w:pPr>
        <w:pStyle w:val="Heading2"/>
      </w:pPr>
      <w:r>
        <w:t xml:space="preserve">3.4 Prognostic Indices</w:t>
      </w:r>
    </w:p>
    <w:p>
      <w:pPr>
        <w:pStyle w:val="FirstParagraph"/>
      </w:pPr>
      <w:r>
        <w:t xml:space="preserve">Clinical risk stratification in DLBCL relies primarily on the International Prognostic Index (IPI), which incorporates age, serum lactate dehydrogenase (LDH), Ann Arbor stage, number of extranodal sites, and Eastern Cooperative Oncology Group (ECOG) performance status. Ruppert et al. evaluated 2,124 DLBCL patients treated with frontline R-CHOP across seven randomized trials and compared the IPI, revised IPI (R-IPI), and NCCN-IPI</w:t>
      </w:r>
      <w:r>
        <w:rPr>
          <w:vertAlign w:val="superscript"/>
        </w:rPr>
        <w:t xml:space="preserve">41</w:t>
      </w:r>
      <w:r>
        <w:t xml:space="preserve">. Five-year overall survival estimates ranged from 49% to 92% using the NCCN-IPI, which demonstrated the greatest discriminatory power (concordance index = 0.632) compared with the standard IPI (0.626) and R-IPI (0.590)</w:t>
      </w:r>
      <w:r>
        <w:rPr>
          <w:vertAlign w:val="superscript"/>
        </w:rPr>
        <w:t xml:space="preserve">41</w:t>
      </w:r>
      <w:r>
        <w:t xml:space="preserve">.</w:t>
      </w:r>
    </w:p>
    <w:p>
      <w:pPr>
        <w:pStyle w:val="BodyText"/>
      </w:pPr>
      <w:r>
        <w:t xml:space="preserve">The CNS-IPI, developed by Schmitz et al. from analysis of 2,164 patients with aggressive B-cell lymphoma, adds kidney and/or adrenal gland involvement to the standard IPI factors to predict central nervous system (CNS) relapse</w:t>
      </w:r>
      <w:r>
        <w:rPr>
          <w:vertAlign w:val="superscript"/>
        </w:rPr>
        <w:t xml:space="preserve">39</w:t>
      </w:r>
      <w:r>
        <w:t xml:space="preserve">. The model defines three risk groups with 2-year CNS disease rates of 0.6% (low risk, 46% of patients), 3.4% (intermediate risk, 41%), and 10.2% (high risk, 12%)</w:t>
      </w:r>
      <w:r>
        <w:rPr>
          <w:vertAlign w:val="superscript"/>
        </w:rPr>
        <w:t xml:space="preserve">39</w:t>
      </w:r>
      <w:r>
        <w:t xml:space="preserve">. This tool is now widely used to identify patients who may benefit from CNS-directed prophylaxis.</w:t>
      </w:r>
    </w:p>
    <w:bookmarkEnd w:id="32"/>
    <w:bookmarkStart w:id="33" w:name="key-genetic-mutations"/>
    <w:p>
      <w:pPr>
        <w:pStyle w:val="Heading2"/>
      </w:pPr>
      <w:r>
        <w:t xml:space="preserve">3.5 Key Genetic Mutations</w:t>
      </w:r>
    </w:p>
    <w:p>
      <w:pPr>
        <w:pStyle w:val="FirstParagraph"/>
      </w:pPr>
      <w:r>
        <w:t xml:space="preserve">Recurrent somatic mutations provide further biologic and prognostic insight. TP53 mutations, found in approximately 20% of DLBCL cases, are associated with adverse outcomes across COO subtypes. MYD88 L265P and CD79B mutations are hallmarks of the MCD subtype and activate NF-kB signaling through the toll-like receptor and B-cell receptor pathways, respectively</w:t>
      </w:r>
      <w:r>
        <w:rPr>
          <w:vertAlign w:val="superscript"/>
        </w:rPr>
        <w:t xml:space="preserve">18</w:t>
      </w:r>
      <w:r>
        <w:t xml:space="preserve">. EZH2 gain-of-function mutations characterize the EZB subtype and promote aberrant epigenetic silencing of tumor suppressor genes. CREBBP mutations, which impair histone acetyltransferase activity and disrupt the germinal center reaction, occur in approximately 15–20% of GCB-DLBCL cases. Liquid biopsy approaches using cell-free DNA (cfDNA) have emerged as a promising tool for non-invasive genotyping, with ultra-deep targeted sequencing detecting DLBCL-associated mutations present in greater than 20% of tumor alleles with over 90% sensitivity and near-perfect specificity</w:t>
      </w:r>
      <w:r>
        <w:rPr>
          <w:vertAlign w:val="superscript"/>
        </w:rPr>
        <w:t xml:space="preserve">16</w:t>
      </w:r>
      <w:r>
        <w:t xml:space="preserve">. Longitudinal monitoring of cfDNA during R-CHOP treatment has demonstrated rapid mutation clearance in responding patients, suggesting potential utility for minimal residual disease assessment</w:t>
      </w:r>
      <w:r>
        <w:rPr>
          <w:vertAlign w:val="superscript"/>
        </w:rPr>
        <w:t xml:space="preserve">16</w:t>
      </w:r>
      <w:r>
        <w:t xml:space="preserve">.</w:t>
      </w:r>
    </w:p>
    <w:bookmarkEnd w:id="33"/>
    <w:bookmarkEnd w:id="34"/>
    <w:bookmarkStart w:id="39" w:name="X5c7ce4761bfbf6afef7a3c4584ec978ff3626db"/>
    <w:p>
      <w:pPr>
        <w:pStyle w:val="Heading1"/>
      </w:pPr>
      <w:r>
        <w:t xml:space="preserve">4. Standard Frontline Treatment: R-CHOP and Beyond</w:t>
      </w:r>
    </w:p>
    <w:bookmarkStart w:id="35" w:name="the-r-chop-backbone"/>
    <w:p>
      <w:pPr>
        <w:pStyle w:val="Heading2"/>
      </w:pPr>
      <w:r>
        <w:t xml:space="preserve">4.1 The R-CHOP Backbone</w:t>
      </w:r>
    </w:p>
    <w:p>
      <w:pPr>
        <w:pStyle w:val="FirstParagraph"/>
      </w:pPr>
      <w:r>
        <w:t xml:space="preserve">Rituximab combined with cyclophosphamide, doxorubicin, vincristine, and prednisone (R-CHOP) has remained the standard frontline therapy for DLBCL for over two decades. The regimen consists of rituximab 375 mg/m</w:t>
      </w:r>
      <w:r>
        <w:rPr>
          <w:vertAlign w:val="superscript"/>
        </w:rPr>
        <w:t xml:space="preserve">2</w:t>
      </w:r>
      <w:r>
        <w:t xml:space="preserve">, cyclophosphamide 750 mg/m</w:t>
      </w:r>
      <w:r>
        <w:rPr>
          <w:vertAlign w:val="superscript"/>
        </w:rPr>
        <w:t xml:space="preserve">2</w:t>
      </w:r>
      <w:r>
        <w:t xml:space="preserve">, doxorubicin 50 mg/m</w:t>
      </w:r>
      <w:r>
        <w:rPr>
          <w:vertAlign w:val="superscript"/>
        </w:rPr>
        <w:t xml:space="preserve">2</w:t>
      </w:r>
      <w:r>
        <w:t xml:space="preserve">, and vincristine 1.4 mg/m</w:t>
      </w:r>
      <w:r>
        <w:rPr>
          <w:vertAlign w:val="superscript"/>
        </w:rPr>
        <w:t xml:space="preserve">2</w:t>
      </w:r>
      <w:r>
        <w:t xml:space="preserve"> </w:t>
      </w:r>
      <w:r>
        <w:t xml:space="preserve">(capped at 2 mg) administered intravenously on day 1, plus prednisone 100 mg orally on days 1–5, repeated every 21 days for six to eight cycles</w:t>
      </w:r>
      <w:r>
        <w:rPr>
          <w:vertAlign w:val="superscript"/>
        </w:rPr>
        <w:t xml:space="preserve">1,2</w:t>
      </w:r>
      <w:r>
        <w:t xml:space="preserve">. The addition of rituximab to CHOP chemotherapy represented a landmark advance, improving cure rates substantially. However, despite this progress, approximately 30–40% of patients are not cured with R-CHOP. Five-year overall survival (OS) rates range from 60% to 65%, with progression-free survival (PFS) of approximately 55–60%, and up to 50% of patients ultimately become refractory to or relapse after treatment</w:t>
      </w:r>
      <w:r>
        <w:rPr>
          <w:vertAlign w:val="superscript"/>
        </w:rPr>
        <w:t xml:space="preserve">2,7</w:t>
      </w:r>
      <w:r>
        <w:t xml:space="preserve">. Patients who achieve event-free survival at 24 months (EFS24) have near-normal life expectancy, with minimal loss of lifetime compared with age-matched controls</w:t>
      </w:r>
      <w:r>
        <w:rPr>
          <w:vertAlign w:val="superscript"/>
        </w:rPr>
        <w:t xml:space="preserve">6</w:t>
      </w:r>
      <w:r>
        <w:t xml:space="preserve">. This observation underscores the importance of achieving durable first remission.</w:t>
      </w:r>
    </w:p>
    <w:p>
      <w:pPr>
        <w:pStyle w:val="BodyText"/>
      </w:pPr>
      <w:r>
        <w:t xml:space="preserve">Outcomes with R-CHOP vary substantially by risk group. In the SCHOLAR-1 retrospective analysis of 636 patients with refractory DLBCL, the objective response rate to next-line therapy was only 26% (complete response rate, 7%), with a median OS of 6.3 months and only 20% alive at 2 years</w:t>
      </w:r>
      <w:r>
        <w:rPr>
          <w:vertAlign w:val="superscript"/>
        </w:rPr>
        <w:t xml:space="preserve">7</w:t>
      </w:r>
      <w:r>
        <w:t xml:space="preserve">. These sobering figures highlight the critical need for effective frontline therapy and the poor salvageability of primary refractory disease.</w:t>
      </w:r>
    </w:p>
    <w:bookmarkEnd w:id="35"/>
    <w:bookmarkStart w:id="36" w:name="attempts-to-improve-upon-r-chop"/>
    <w:p>
      <w:pPr>
        <w:pStyle w:val="Heading2"/>
      </w:pPr>
      <w:r>
        <w:t xml:space="preserve">4.2 Attempts to Improve Upon R-CHOP</w:t>
      </w:r>
    </w:p>
    <w:p>
      <w:pPr>
        <w:pStyle w:val="FirstParagraph"/>
      </w:pPr>
      <w:r>
        <w:t xml:space="preserve">Multiple strategies have been evaluated to improve upon R-CHOP in the frontline setting, with largely disappointing results. The Alliance/CALGB 50303 phase III intergroup trial compared dose-adjusted EPOCH-R (etoposide, prednisone, vincristine, cyclophosphamide, doxorubicin, and rituximab) with standard R-CHOP in 491 evaluable patients</w:t>
      </w:r>
      <w:r>
        <w:rPr>
          <w:vertAlign w:val="superscript"/>
        </w:rPr>
        <w:t xml:space="preserve">5</w:t>
      </w:r>
      <w:r>
        <w:t xml:space="preserve">. At a median follow-up of 5 years, PFS was not statistically different between arms (hazard ratio [HR], 0.93; 95% CI, 0.68–1.27), and DA-EPOCH-R was associated with greater toxicity without improvement in PFS or OS</w:t>
      </w:r>
      <w:r>
        <w:rPr>
          <w:vertAlign w:val="superscript"/>
        </w:rPr>
        <w:t xml:space="preserve">5</w:t>
      </w:r>
      <w:r>
        <w:t xml:space="preserve">. The study concluded that the more intensive infusional regimen offered no benefit over R-CHOP in an unselected DLBCL population.</w:t>
      </w:r>
    </w:p>
    <w:p>
      <w:pPr>
        <w:pStyle w:val="BodyText"/>
      </w:pPr>
      <w:r>
        <w:t xml:space="preserve">Substitution of rituximab with the glycoengineered type II anti-CD20 antibody obinutuzumab was tested in the GOYA phase III trial, which randomized 1,418 previously untreated patients to G-CHOP versus R-CHOP</w:t>
      </w:r>
      <w:r>
        <w:rPr>
          <w:vertAlign w:val="superscript"/>
        </w:rPr>
        <w:t xml:space="preserve">8</w:t>
      </w:r>
      <w:r>
        <w:t xml:space="preserve">. After a median observation of 29 months, investigator-assessed PFS events were similar between arms (stratified HR, 0.92; 95% CI, 0.76–1.11; P = .39), with 3-year PFS rates of 70% and 67%, respectively</w:t>
      </w:r>
      <w:r>
        <w:rPr>
          <w:vertAlign w:val="superscript"/>
        </w:rPr>
        <w:t xml:space="preserve">8</w:t>
      </w:r>
      <w:r>
        <w:t xml:space="preserve">. The addition of bortezomib to R-CHOP was evaluated in the REMoDL-B phase III trial, which incorporated prospective gene expression profiling, but similarly failed to demonstrate a PFS advantage</w:t>
      </w:r>
      <w:r>
        <w:rPr>
          <w:vertAlign w:val="superscript"/>
        </w:rPr>
        <w:t xml:space="preserve">21</w:t>
      </w:r>
      <w:r>
        <w:t xml:space="preserve">. Intensification with high-dose chemotherapy and autologous stem cell transplantation (ASCT) as consolidation in high-risk young patients (age-adjusted IPI 2–3) was investigated in the DLCL04 phase III trial but did not improve outcomes over a full course of rituximab-dose-dense chemotherapy</w:t>
      </w:r>
      <w:r>
        <w:rPr>
          <w:vertAlign w:val="superscript"/>
        </w:rPr>
        <w:t xml:space="preserve">9</w:t>
      </w:r>
      <w:r>
        <w:t xml:space="preserve">.</w:t>
      </w:r>
    </w:p>
    <w:bookmarkEnd w:id="36"/>
    <w:bookmarkStart w:id="37" w:name="limited-stage-disease"/>
    <w:p>
      <w:pPr>
        <w:pStyle w:val="Heading2"/>
      </w:pPr>
      <w:r>
        <w:t xml:space="preserve">4.3 Limited-Stage Disease</w:t>
      </w:r>
    </w:p>
    <w:p>
      <w:pPr>
        <w:pStyle w:val="FirstParagraph"/>
      </w:pPr>
      <w:r>
        <w:t xml:space="preserve">For patients with limited-stage (stage I–II) DLBCL with favorable prognostic features, de-escalation strategies have been successfully pursued. The FLYER phase III non-inferiority trial enrolled 592 patients aged 18–60 years with stage I–II disease, normal LDH, ECOG 0–1, and no bulky disease, randomizing them to six cycles of R-CHOP versus four cycles of R-CHOP plus two additional doses of rituximab</w:t>
      </w:r>
      <w:r>
        <w:rPr>
          <w:vertAlign w:val="superscript"/>
        </w:rPr>
        <w:t xml:space="preserve">10</w:t>
      </w:r>
      <w:r>
        <w:t xml:space="preserve">. After a median follow-up of 66 months, four cycles of CHOP with six applications of rituximab was non-inferior to six cycles of R-CHOP, establishing a reduced-chemotherapy approach as standard for this favorable-risk population</w:t>
      </w:r>
      <w:r>
        <w:rPr>
          <w:vertAlign w:val="superscript"/>
        </w:rPr>
        <w:t xml:space="preserve">10</w:t>
      </w:r>
      <w:r>
        <w:t xml:space="preserve">. For patients with limited-stage disease and adverse risk factors (bulky disease, elevated LDH), the optimal approach remains debated, with options including abbreviated chemotherapy (three to four cycles of R-CHOP) followed by involved-field radiation therapy versus a full course of six cycles of R-CHOP without radiation. The choice between these strategies depends on disease bulk, anatomic site, and patient preference, with ongoing trials seeking to clarify the role of PET-adapted approaches in this setting.</w:t>
      </w:r>
    </w:p>
    <w:bookmarkEnd w:id="37"/>
    <w:bookmarkStart w:id="38" w:name="the-polarix-trial-pola-r-chp"/>
    <w:p>
      <w:pPr>
        <w:pStyle w:val="Heading2"/>
      </w:pPr>
      <w:r>
        <w:t xml:space="preserve">4.4 The POLARIX Trial: Pola-R-CHP</w:t>
      </w:r>
    </w:p>
    <w:p>
      <w:pPr>
        <w:pStyle w:val="FirstParagraph"/>
      </w:pPr>
      <w:r>
        <w:t xml:space="preserve">The POLARIX trial represents the first phase III study to demonstrate a statistically significant PFS improvement over R-CHOP in previously untreated DLBCL</w:t>
      </w:r>
      <w:r>
        <w:rPr>
          <w:vertAlign w:val="superscript"/>
        </w:rPr>
        <w:t xml:space="preserve">25</w:t>
      </w:r>
      <w:r>
        <w:t xml:space="preserve">. This double-blind, placebo-controlled, international trial randomized 879 patients with intermediate-risk or high-risk DLBCL (IPI score 2–5) to receive six cycles of pola-R-CHP (in which polatuzumab vedotin, an antibody-drug conjugate targeting CD79b, replaced vincristine) or standard R-CHOP, each followed by two cycles of rituximab alone</w:t>
      </w:r>
      <w:r>
        <w:rPr>
          <w:vertAlign w:val="superscript"/>
        </w:rPr>
        <w:t xml:space="preserve">25</w:t>
      </w:r>
      <w:r>
        <w:t xml:space="preserve">. After a median follow-up of 28.2 months, the 2-year PFS was significantly higher in the pola-R-CHP group compared with R-CHOP (76.7% [95% CI, 72.7–80.8] vs. 70.2% [95% CI, 65.8–74.6]; stratified HR for progression, relapse, or death, 0.73; 95% CI, 0.57–0.95; P = 0.02)</w:t>
      </w:r>
      <w:r>
        <w:rPr>
          <w:vertAlign w:val="superscript"/>
        </w:rPr>
        <w:t xml:space="preserve">25</w:t>
      </w:r>
      <w:r>
        <w:t xml:space="preserve">. However, OS at 2 years did not differ significantly between groups (88.7% vs. 88.6%; HR for death, 0.94; 95% CI, 0.65–1.37; P = 0.75), and the safety profiles were comparable</w:t>
      </w:r>
      <w:r>
        <w:rPr>
          <w:vertAlign w:val="superscript"/>
        </w:rPr>
        <w:t xml:space="preserve">25</w:t>
      </w:r>
      <w:r>
        <w:t xml:space="preserve">.</w:t>
      </w:r>
    </w:p>
    <w:p>
      <w:pPr>
        <w:pStyle w:val="BodyText"/>
      </w:pPr>
      <w:r>
        <w:t xml:space="preserve">Polatuzumab vedotin is a CD79b-directed antibody conjugated to the microtubule-disrupting agent monomethyl auristatin E (MMAE). Earlier phase II data from the ROMULUS study had demonstrated its activity in relapsed/refractory DLBCL, with an objective response rate of 54% (complete response, 21%) when combined with rituximab</w:t>
      </w:r>
      <w:r>
        <w:rPr>
          <w:vertAlign w:val="superscript"/>
        </w:rPr>
        <w:t xml:space="preserve">23</w:t>
      </w:r>
      <w:r>
        <w:t xml:space="preserve">. The POLARIX results led to regulatory approval of pola-R-CHP as a frontline option for intermediate- and high-risk DLBCL, representing the first meaningful modification to the R-CHOP backbone in over 20 years. Whether the PFS benefit will translate into an OS advantage with longer follow-up remains an important question, and updated analyses are eagerly anticipated. Subgroup analyses suggest that the benefit of pola-R-CHP may be most pronounced in patients with ABC-DLBCL and those with higher IPI scores, though these exploratory findings require prospective validation</w:t>
      </w:r>
      <w:r>
        <w:rPr>
          <w:vertAlign w:val="superscript"/>
        </w:rPr>
        <w:t xml:space="preserve">25</w:t>
      </w:r>
      <w:r>
        <w:t xml:space="preserve">.</w:t>
      </w:r>
    </w:p>
    <w:bookmarkEnd w:id="38"/>
    <w:bookmarkEnd w:id="39"/>
    <w:bookmarkStart w:id="45" w:name="novel-frontline-approaches"/>
    <w:p>
      <w:pPr>
        <w:pStyle w:val="Heading1"/>
      </w:pPr>
      <w:r>
        <w:t xml:space="preserve">5. Novel Frontline Approaches</w:t>
      </w:r>
    </w:p>
    <w:bookmarkStart w:id="40" w:name="Xa1d8d75cb0a8a5e9bc8fbb6928ab6dcfce6dff7"/>
    <w:p>
      <w:pPr>
        <w:pStyle w:val="Heading2"/>
      </w:pPr>
      <w:r>
        <w:t xml:space="preserve">5.1 Bispecific Antibodies: From Relapsed/Refractory to Frontline</w:t>
      </w:r>
    </w:p>
    <w:p>
      <w:pPr>
        <w:pStyle w:val="FirstParagraph"/>
      </w:pPr>
      <w:r>
        <w:t xml:space="preserve">Bispecific antibodies (BsAbs), which simultaneously engage a tumor-associated antigen (typically CD20) and the CD3 receptor on T cells to redirect cytotoxic T-cell activity against malignant B cells, have emerged as transformative agents in DLBCL. Several BsAbs—including glofitamab, epcoritamab, and mosunetuzumab—have received regulatory approval for relapsed or refractory (R/R) DLBCL and are now being actively investigated in the frontline setting</w:t>
      </w:r>
      <w:r>
        <w:rPr>
          <w:vertAlign w:val="superscript"/>
        </w:rPr>
        <w:t xml:space="preserve">34,35</w:t>
      </w:r>
      <w:r>
        <w:t xml:space="preserve">.</w:t>
      </w:r>
    </w:p>
    <w:p>
      <w:pPr>
        <w:pStyle w:val="BodyText"/>
      </w:pPr>
      <w:r>
        <w:t xml:space="preserve">Glofitamab, a 2:1 CD20xCD3 bispecific antibody with bivalent binding to CD20, has demonstrated remarkable single-agent activity in heavily pretreated R/R DLBCL, with complete response rates exceeding 35% in patients who had failed prior CAR-T therapy. Its fixed-duration treatment course (12 cycles) and off-the-shelf availability represent practical advantages over cellular therapies. Epcoritamab, a subcutaneously administered CD20xCD3 bispecific antibody, has similarly shown high complete response rates in the R/R setting and offers convenience advantages with its subcutaneous delivery route. Mosunetuzumab was the first BsAb approved for relapsed follicular lymphoma and has demonstrated activity across B-cell malignancies. Frontline trials combining these BsAbs with chemotherapy backbones (such as R-CHOP or pola-R-CHP) are currently enrolling, with the goal of deepening responses and potentially eliminating the need for prolonged maintenance. The integration of BsAbs into first-line treatment could fundamentally reshape the therapeutic landscape, particularly for patients with high-risk disease features who are inadequately served by current chemoimmunotherapy</w:t>
      </w:r>
      <w:r>
        <w:rPr>
          <w:vertAlign w:val="superscript"/>
        </w:rPr>
        <w:t xml:space="preserve">2</w:t>
      </w:r>
      <w:r>
        <w:t xml:space="preserve">.</w:t>
      </w:r>
    </w:p>
    <w:bookmarkEnd w:id="40"/>
    <w:bookmarkStart w:id="41" w:name="Xb3db4d3a2e7f5e0c408a8125ff361d42003b88c"/>
    <w:p>
      <w:pPr>
        <w:pStyle w:val="Heading2"/>
      </w:pPr>
      <w:r>
        <w:t xml:space="preserve">5.2 CAR-T Cell Therapy: Moving Earlier in the Treatment Paradigm</w:t>
      </w:r>
    </w:p>
    <w:p>
      <w:pPr>
        <w:pStyle w:val="FirstParagraph"/>
      </w:pPr>
      <w:r>
        <w:t xml:space="preserve">Chimeric antigen receptor T-cell (CAR-T) therapy, initially approved for third-line and subsequent treatment of R/R large B-cell lymphoma, has progressively moved to earlier lines of therapy. The ZUMA-12 phase II trial evaluated axicabtagene ciloleucel (axi-cel) as part of first-line treatment in 40 patients with high-risk large B-cell lymphoma</w:t>
      </w:r>
      <w:r>
        <w:rPr>
          <w:vertAlign w:val="superscript"/>
        </w:rPr>
        <w:t xml:space="preserve">33</w:t>
      </w:r>
      <w:r>
        <w:t xml:space="preserve">. The primary endpoint was met, with a complete response rate of 78% (95% CI, 62–90) and an objective response rate of 89% (95% CI, 75–97) in the 37 efficacy-evaluable patients. At a median follow-up of 15.9 months, 73% of patients remained in objective response, and median duration of response, event-free survival, and PFS were not reached</w:t>
      </w:r>
      <w:r>
        <w:rPr>
          <w:vertAlign w:val="superscript"/>
        </w:rPr>
        <w:t xml:space="preserve">33</w:t>
      </w:r>
      <w:r>
        <w:t xml:space="preserve">. Grade 3 or higher cytokine release syndrome (CRS) and neurologic events occurred in 8% and 23% of patients, respectively, with no treatment-related deaths.</w:t>
      </w:r>
    </w:p>
    <w:p>
      <w:pPr>
        <w:pStyle w:val="BodyText"/>
      </w:pPr>
      <w:r>
        <w:t xml:space="preserve">The success of second-line CAR-T trials has further supported the rationale for frontline investigation. The TRANSFORM phase III trial demonstrated that lisocabtagene maraleucel (liso-cel) significantly improved event-free survival compared with standard salvage chemotherapy followed by ASCT as second-line treatment for primary refractory or early relapsed LBCL (median EFS, 10.1 months vs. 2.3 months; P &lt; .001)</w:t>
      </w:r>
      <w:r>
        <w:rPr>
          <w:vertAlign w:val="superscript"/>
        </w:rPr>
        <w:t xml:space="preserve">30</w:t>
      </w:r>
      <w:r>
        <w:t xml:space="preserve">. The ZUMA-23 trial is a pivotal phase III study evaluating axi-cel versus standard chemoimmunotherapy as first-line treatment in high-risk LBCL, and results are eagerly anticipated. Similarly, the BELINDA trial (tisagenlecleucel vs. standard of care in the second-line setting) did not meet its primary endpoint, highlighting the complexity of optimal CAR-T deployment and the importance of trial design, bridging therapy, and patient selection</w:t>
      </w:r>
      <w:r>
        <w:rPr>
          <w:vertAlign w:val="superscript"/>
        </w:rPr>
        <w:t xml:space="preserve">31,36</w:t>
      </w:r>
      <w:r>
        <w:t xml:space="preserve">. Real-world data from registry analyses have confirmed the efficacy and safety of CAR-T therapies outside clinical trial settings, with the GLA/DRST German registry reporting outcomes consistent with pivotal studies</w:t>
      </w:r>
      <w:r>
        <w:rPr>
          <w:vertAlign w:val="superscript"/>
        </w:rPr>
        <w:t xml:space="preserve">29</w:t>
      </w:r>
      <w:r>
        <w:t xml:space="preserve">.</w:t>
      </w:r>
    </w:p>
    <w:bookmarkEnd w:id="41"/>
    <w:bookmarkStart w:id="42" w:name="targeted-agents-by-molecular-subtype"/>
    <w:p>
      <w:pPr>
        <w:pStyle w:val="Heading2"/>
      </w:pPr>
      <w:r>
        <w:t xml:space="preserve">5.3 Targeted Agents by Molecular Subtype</w:t>
      </w:r>
    </w:p>
    <w:p>
      <w:pPr>
        <w:pStyle w:val="FirstParagraph"/>
      </w:pPr>
      <w:r>
        <w:t xml:space="preserve">The identification of actionable molecular subtypes has catalyzed efforts to develop subtype-directed frontline strategies. BTK inhibitors represent the most extensively studied class in this context. The Phoenix phase III trial randomized 838 patients with non-GCB DLBCL to ibrutinib (560 mg/day) plus R-CHOP versus placebo plus R-CHOP</w:t>
      </w:r>
      <w:r>
        <w:rPr>
          <w:vertAlign w:val="superscript"/>
        </w:rPr>
        <w:t xml:space="preserve">17</w:t>
      </w:r>
      <w:r>
        <w:t xml:space="preserve">. Although the study did not meet its primary endpoint of improved event-free survival in the intent-to-treat (HR, 0.934) or ABC populations (HR, 0.949), a preplanned age-stratified analysis revealed a significant treatment-by-age interaction. In patients aged 60 years or younger, ibrutinib plus R-CHOP improved EFS (HR, 0.579), PFS (HR, 0.556), and OS (HR, 0.330), whereas in patients older than 60 years, increased toxicity compromised R-CHOP delivery and worsened outcomes</w:t>
      </w:r>
      <w:r>
        <w:rPr>
          <w:vertAlign w:val="superscript"/>
        </w:rPr>
        <w:t xml:space="preserve">17</w:t>
      </w:r>
      <w:r>
        <w:t xml:space="preserve">. A subsequent genetic subtype analysis demonstrated that the benefit was concentrated in the MCD and N1 subtypes, with 3-year EFS of 100% for younger patients with these subtypes receiving ibrutinib plus R-CHOP compared with 42.9% and 50% for R-CHOP alone</w:t>
      </w:r>
      <w:r>
        <w:rPr>
          <w:vertAlign w:val="superscript"/>
        </w:rPr>
        <w:t xml:space="preserve">19</w:t>
      </w:r>
      <w:r>
        <w:t xml:space="preserve">.</w:t>
      </w:r>
    </w:p>
    <w:p>
      <w:pPr>
        <w:pStyle w:val="BodyText"/>
      </w:pPr>
      <w:r>
        <w:t xml:space="preserve">EZH2 inhibitors, exemplified by tazemetostat, target the EZB subtype characterized by EZH2 gain-of-function mutations and BCL2 translocations. While tazemetostat is approved for relapsed/refractory follicular lymphoma with EZH2 mutations, frontline trials combining EZH2 inhibition with chemoimmunotherapy in EZB-DLBCL are in early development. The BTK signaling pathway also plays a role in primary CNS lymphoma, with ibrutinib monotherapy showing activity in relapsed/refractory disease</w:t>
      </w:r>
      <w:r>
        <w:rPr>
          <w:vertAlign w:val="superscript"/>
        </w:rPr>
        <w:t xml:space="preserve">18,44</w:t>
      </w:r>
      <w:r>
        <w:t xml:space="preserve">.</w:t>
      </w:r>
    </w:p>
    <w:bookmarkEnd w:id="42"/>
    <w:bookmarkStart w:id="43" w:name="lenalidomide-plus-r-chop-r2-chop"/>
    <w:p>
      <w:pPr>
        <w:pStyle w:val="Heading2"/>
      </w:pPr>
      <w:r>
        <w:t xml:space="preserve">5.4 Lenalidomide Plus R-CHOP (R2-CHOP)</w:t>
      </w:r>
    </w:p>
    <w:p>
      <w:pPr>
        <w:pStyle w:val="FirstParagraph"/>
      </w:pPr>
      <w:r>
        <w:t xml:space="preserve">The immunomodulatory agent lenalidomide was hypothesized to preferentially benefit patients with ABC-DLBCL based on phase II data suggesting improved outcomes when combined with R-CHOP. The ROBUST phase III trial tested this hypothesis prospectively, randomizing 570 patients with centrally confirmed ABC-DLBCL to lenalidomide (15 mg/day, days 1–14) plus R-CHOP versus placebo plus R-CHOP for six cycles</w:t>
      </w:r>
      <w:r>
        <w:rPr>
          <w:vertAlign w:val="superscript"/>
        </w:rPr>
        <w:t xml:space="preserve">20</w:t>
      </w:r>
      <w:r>
        <w:t xml:space="preserve">. Despite being the first DLBCL phase III study to integrate biomarker-driven patient selection, ROBUST did not meet its primary endpoint of improved PFS. The most common grade 3/4 adverse event was neutropenia, occurring in 60% of the R2-CHOP arm, and treatment completion rates were lower in the lenalidomide arm (74% vs. 84%)</w:t>
      </w:r>
      <w:r>
        <w:rPr>
          <w:vertAlign w:val="superscript"/>
        </w:rPr>
        <w:t xml:space="preserve">20</w:t>
      </w:r>
      <w:r>
        <w:t xml:space="preserve">. The negative result of ROBUST, combined with the Phoenix trial findings, highlights the challenge of translating biologically rational combinations into clinically meaningful improvements in unselected or broadly defined molecular subgroups.</w:t>
      </w:r>
    </w:p>
    <w:bookmarkEnd w:id="43"/>
    <w:bookmarkStart w:id="44" w:name="Xd97394cd72620c19dcc71e45edb6a01e23236c1"/>
    <w:p>
      <w:pPr>
        <w:pStyle w:val="Heading2"/>
      </w:pPr>
      <w:r>
        <w:t xml:space="preserve">5.5 Antibody-Drug Conjugates Beyond Polatuzumab</w:t>
      </w:r>
    </w:p>
    <w:p>
      <w:pPr>
        <w:pStyle w:val="FirstParagraph"/>
      </w:pPr>
      <w:r>
        <w:t xml:space="preserve">The clinical success of polatuzumab vedotin in the POLARIX trial has invigorated the development of additional antibody-drug conjugates (ADCs) for DLBCL</w:t>
      </w:r>
      <w:r>
        <w:rPr>
          <w:vertAlign w:val="superscript"/>
        </w:rPr>
        <w:t xml:space="preserve">25</w:t>
      </w:r>
      <w:r>
        <w:t xml:space="preserve">. ADCs combine the target specificity of monoclonal antibodies with the cytotoxic potency of small-molecule payloads, delivering chemotherapy directly to antigen-expressing tumor cells while limiting systemic exposure</w:t>
      </w:r>
      <w:r>
        <w:rPr>
          <w:vertAlign w:val="superscript"/>
        </w:rPr>
        <w:t xml:space="preserve">26,27</w:t>
      </w:r>
      <w:r>
        <w:t xml:space="preserve">. The technology has evolved considerably, with advances in linker chemistry, payload selection, and antibody engineering improving therapeutic indices</w:t>
      </w:r>
      <w:r>
        <w:rPr>
          <w:vertAlign w:val="superscript"/>
        </w:rPr>
        <w:t xml:space="preserve">24</w:t>
      </w:r>
      <w:r>
        <w:t xml:space="preserve">.</w:t>
      </w:r>
    </w:p>
    <w:p>
      <w:pPr>
        <w:pStyle w:val="BodyText"/>
      </w:pPr>
      <w:r>
        <w:t xml:space="preserve">Novel ADC targets under investigation in B-cell lymphomas include CD19, CD22, and ROR1. Loncastuximab tesirine, a CD19-directed ADC carrying a pyrrolobenzodiazepine dimer payload, is approved for R/R DLBCL after two or more prior lines of therapy and is being evaluated in earlier treatment settings. The optimization of ADC design continues to address challenges including on-target off-tumor toxicity, payload resistance, and antigen heterogeneity</w:t>
      </w:r>
      <w:r>
        <w:rPr>
          <w:vertAlign w:val="superscript"/>
        </w:rPr>
        <w:t xml:space="preserve">45</w:t>
      </w:r>
      <w:r>
        <w:t xml:space="preserve">. Combination strategies pairing ADCs with checkpoint inhibitors, bispecific antibodies, or targeted agents represent an active area of investigation, with the potential to create synergistic anti-tumor activity while managing overlapping toxicities</w:t>
      </w:r>
      <w:r>
        <w:rPr>
          <w:vertAlign w:val="superscript"/>
        </w:rPr>
        <w:t xml:space="preserve">22</w:t>
      </w:r>
      <w:r>
        <w:t xml:space="preserve">. The convergence of multiple novel drug classes—BsAbs, CAR-T cells, ADCs, and molecularly targeted agents—into the frontline treatment paradigm promises to fundamentally transform the management of DLBCL in the coming decade.</w:t>
      </w:r>
    </w:p>
    <w:bookmarkEnd w:id="44"/>
    <w:bookmarkEnd w:id="45"/>
    <w:bookmarkStart w:id="51" w:name="X7e26cb6f462a4ac3f1f33b99cbb94ac3ebd1b1e"/>
    <w:p>
      <w:pPr>
        <w:pStyle w:val="Heading1"/>
      </w:pPr>
      <w:r>
        <w:t xml:space="preserve">6. Management of High-Risk and Special Populations</w:t>
      </w:r>
    </w:p>
    <w:bookmarkStart w:id="46" w:name="X00faef28bb29b0439749c20888e35b43c5a200d"/>
    <w:p>
      <w:pPr>
        <w:pStyle w:val="Heading2"/>
      </w:pPr>
      <w:r>
        <w:t xml:space="preserve">6.1 Double-Hit Lymphoma: DA-EPOCH-R Versus R-CHOP</w:t>
      </w:r>
    </w:p>
    <w:p>
      <w:pPr>
        <w:pStyle w:val="FirstParagraph"/>
      </w:pPr>
      <w:r>
        <w:t xml:space="preserve">High-grade B-cell lymphoma with MYC and BCL2 and/or BCL6 rearrangements (double-hit lymphoma, DHL) represents one of the most challenging frontline treatment dilemmas. Patients with DHL experience significantly inferior outcomes with standard R-CHOP, with 5-year time-to-progression rates of approximately 57% for DHITsig-positive patients compared with 81% for DHITsig-negative patients (P &lt; .001)</w:t>
      </w:r>
      <w:r>
        <w:rPr>
          <w:vertAlign w:val="superscript"/>
        </w:rPr>
        <w:t xml:space="preserve">13</w:t>
      </w:r>
      <w:r>
        <w:t xml:space="preserve">. The molecular high-grade (MHG) group, comprising approximately 9% of DLBCL cases and overlapping substantially with DHL, carries a particularly poor prognosis that is independent of the International Prognostic Index</w:t>
      </w:r>
      <w:r>
        <w:rPr>
          <w:vertAlign w:val="superscript"/>
        </w:rPr>
        <w:t xml:space="preserve">14</w:t>
      </w:r>
      <w:r>
        <w:t xml:space="preserve">.</w:t>
      </w:r>
    </w:p>
    <w:p>
      <w:pPr>
        <w:pStyle w:val="BodyText"/>
      </w:pPr>
      <w:r>
        <w:t xml:space="preserve">Dose-adjusted EPOCH-R (DA-EPOCH-R) has been widely adopted as the preferred regimen for DHL based on retrospective and single-arm prospective data, despite the absence of randomized evidence demonstrating superiority over R-CHOP in this specific population. The Alliance/CALGB 50303 trial, which compared DA-EPOCH-R with R-CHOP in unselected DLBCL (n = 491), showed no PFS advantage for the intensive regimen (HR, 0.93; 95% CI, 0.68–1.27) but was not powered to detect differences in the DHL subgroup</w:t>
      </w:r>
      <w:r>
        <w:rPr>
          <w:vertAlign w:val="superscript"/>
        </w:rPr>
        <w:t xml:space="preserve">5</w:t>
      </w:r>
      <w:r>
        <w:t xml:space="preserve">. Retrospective series have suggested improved outcomes with DA-EPOCH-R in DHL, with complete response rates of 68–80% and 2-year PFS of approximately 60–65%, but selection bias and small sample sizes limit the strength of these conclusions. The POLARIX trial included patients with DHL, and subgroup analyses suggested that pola-R-CHP may offer benefit in this population, though dedicated prospective studies are needed</w:t>
      </w:r>
      <w:r>
        <w:rPr>
          <w:vertAlign w:val="superscript"/>
        </w:rPr>
        <w:t xml:space="preserve">25</w:t>
      </w:r>
      <w:r>
        <w:t xml:space="preserve">. More recently, frontline CAR-T therapy has been explored in high-risk DHL/THL as part of the ZUMA-12 trial, with encouraging early results showing a 78% complete response rate in the overall high-risk population</w:t>
      </w:r>
      <w:r>
        <w:rPr>
          <w:vertAlign w:val="superscript"/>
        </w:rPr>
        <w:t xml:space="preserve">33</w:t>
      </w:r>
      <w:r>
        <w:t xml:space="preserve">.</w:t>
      </w:r>
    </w:p>
    <w:bookmarkEnd w:id="46"/>
    <w:bookmarkStart w:id="47" w:name="cns-prophylaxis"/>
    <w:p>
      <w:pPr>
        <w:pStyle w:val="Heading2"/>
      </w:pPr>
      <w:r>
        <w:t xml:space="preserve">6.2 CNS Prophylaxis</w:t>
      </w:r>
    </w:p>
    <w:p>
      <w:pPr>
        <w:pStyle w:val="FirstParagraph"/>
      </w:pPr>
      <w:r>
        <w:t xml:space="preserve">Central nervous system (CNS) relapse occurs in 2–5% of DLBCL patients overall but reaches 10% or higher in high-risk subgroups, with devastating consequences including a median survival of only 2–6 months after CNS relapse</w:t>
      </w:r>
      <w:r>
        <w:rPr>
          <w:vertAlign w:val="superscript"/>
        </w:rPr>
        <w:t xml:space="preserve">39</w:t>
      </w:r>
      <w:r>
        <w:t xml:space="preserve">. The CNS-IPI risk model, developed from a cohort of 2,164 patients treated with R-CHOP, stratifies patients into three risk categories based on the five standard IPI factors plus kidney and/or adrenal gland involvement</w:t>
      </w:r>
      <w:r>
        <w:rPr>
          <w:vertAlign w:val="superscript"/>
        </w:rPr>
        <w:t xml:space="preserve">39</w:t>
      </w:r>
      <w:r>
        <w:t xml:space="preserve">. Two-year CNS disease rates are 0.6% for low-risk (46% of patients), 3.4% for intermediate-risk (41%), and 10.2% for high-risk (12%) patients</w:t>
      </w:r>
      <w:r>
        <w:rPr>
          <w:vertAlign w:val="superscript"/>
        </w:rPr>
        <w:t xml:space="preserve">39</w:t>
      </w:r>
      <w:r>
        <w:t xml:space="preserve">.</w:t>
      </w:r>
    </w:p>
    <w:p>
      <w:pPr>
        <w:pStyle w:val="BodyText"/>
      </w:pPr>
      <w:r>
        <w:t xml:space="preserve">The optimal approach to CNS prophylaxis remains contentious. Intrathecal methotrexate (IT-MTX), typically administered with each R-CHOP cycle, is the most widely used strategy due to its simplicity and low systemic toxicity. However, IT-MTX achieves limited penetration into brain parenchyma, and retrospective data have questioned its efficacy in preventing parenchymal relapse. High-dose systemic methotrexate (HD-MTX, typically 3–3.5 g/m</w:t>
      </w:r>
      <w:r>
        <w:rPr>
          <w:vertAlign w:val="superscript"/>
        </w:rPr>
        <w:t xml:space="preserve">2</w:t>
      </w:r>
      <w:r>
        <w:t xml:space="preserve">), which achieves therapeutic CNS concentrations, has emerged as an alternative, often administered as an intercalation between R-CHOP cycles or as consolidation after completing chemoimmunotherapy</w:t>
      </w:r>
      <w:r>
        <w:rPr>
          <w:vertAlign w:val="superscript"/>
        </w:rPr>
        <w:t xml:space="preserve">40</w:t>
      </w:r>
      <w:r>
        <w:t xml:space="preserve">. The primary challenge with HD-MTX is its significant toxicity profile, including nephrotoxicity and mucositis, which may compromise delivery of the primary chemotherapy regimen. No randomized trial has definitively compared IT-MTX with HD-MTX for CNS prophylaxis in DLBCL, and practice patterns vary considerably across institutions. Current guidelines recommend CNS prophylaxis for patients with CNS-IPI high-risk features and those with specific high-risk extranodal sites (testis, breast, adrenal, kidney) or double-hit biology</w:t>
      </w:r>
      <w:r>
        <w:rPr>
          <w:vertAlign w:val="superscript"/>
        </w:rPr>
        <w:t xml:space="preserve">2</w:t>
      </w:r>
      <w:r>
        <w:t xml:space="preserve">.</w:t>
      </w:r>
    </w:p>
    <w:bookmarkEnd w:id="47"/>
    <w:bookmarkStart w:id="48" w:name="elderly-and-unfit-patients"/>
    <w:p>
      <w:pPr>
        <w:pStyle w:val="Heading2"/>
      </w:pPr>
      <w:r>
        <w:t xml:space="preserve">6.3 Elderly and Unfit Patients</w:t>
      </w:r>
    </w:p>
    <w:p>
      <w:pPr>
        <w:pStyle w:val="FirstParagraph"/>
      </w:pPr>
      <w:r>
        <w:t xml:space="preserve">DLBCL is predominantly a disease of older adults, with a median age at diagnosis of approximately 65 years. Elderly patients (typically defined as age 80 years or older) and those with significant comorbidities frequently cannot tolerate full-dose R-CHOP due to increased risks of treatment-related morbidity and mortality, particularly cardiac toxicity from doxorubicin and infectious complications from myelosuppression</w:t>
      </w:r>
      <w:r>
        <w:rPr>
          <w:vertAlign w:val="superscript"/>
        </w:rPr>
        <w:t xml:space="preserve">4</w:t>
      </w:r>
      <w:r>
        <w:t xml:space="preserve">.</w:t>
      </w:r>
    </w:p>
    <w:p>
      <w:pPr>
        <w:pStyle w:val="BodyText"/>
      </w:pPr>
      <w:r>
        <w:t xml:space="preserve">R-miniCHOP, a dose-attenuated regimen reducing doxorubicin to 25 mg/m</w:t>
      </w:r>
      <w:r>
        <w:rPr>
          <w:vertAlign w:val="superscript"/>
        </w:rPr>
        <w:t xml:space="preserve">2</w:t>
      </w:r>
      <w:r>
        <w:t xml:space="preserve">, cyclophosphamide to 400 mg/m</w:t>
      </w:r>
      <w:r>
        <w:rPr>
          <w:vertAlign w:val="superscript"/>
        </w:rPr>
        <w:t xml:space="preserve">2</w:t>
      </w:r>
      <w:r>
        <w:t xml:space="preserve">, and vincristine to 1 mg, with standard-dose rituximab and prednisone, has become a widely adopted approach for patients older than 80 years. Seminal studies demonstrated median overall survival exceeding 2 years with R-miniCHOP in this population, substantially outperforming best supportive care.</w:t>
      </w:r>
    </w:p>
    <w:p>
      <w:pPr>
        <w:pStyle w:val="BodyText"/>
      </w:pPr>
      <w:r>
        <w:t xml:space="preserve">The POLARIX trial enrolled patients aged 18–80 years, and the favorable toxicity profile of pola-R-CHP (with elimination of vincristine-associated neuropathy) may offer particular advantages in older patients</w:t>
      </w:r>
      <w:r>
        <w:rPr>
          <w:vertAlign w:val="superscript"/>
        </w:rPr>
        <w:t xml:space="preserve">25</w:t>
      </w:r>
      <w:r>
        <w:t xml:space="preserve">. Post-hoc analyses have suggested that pola-R-CHP may be especially beneficial in patients aged 60 years or older, where the peripheral neuropathy of vincristine is most problematic. For patients truly unfit for anthracycline-based chemotherapy, alternative approaches including bendamustine-rituximab, lenalidomide-rituximab, or single-agent therapies remain options, though cure rates are significantly lower</w:t>
      </w:r>
      <w:r>
        <w:rPr>
          <w:vertAlign w:val="superscript"/>
        </w:rPr>
        <w:t xml:space="preserve">46,47</w:t>
      </w:r>
      <w:r>
        <w:t xml:space="preserve">.</w:t>
      </w:r>
    </w:p>
    <w:bookmarkEnd w:id="48"/>
    <w:bookmarkStart w:id="49" w:name="X06844ac3db30dcf3a368bfdadb547b6a817d539"/>
    <w:p>
      <w:pPr>
        <w:pStyle w:val="Heading2"/>
      </w:pPr>
      <w:r>
        <w:t xml:space="preserve">6.4 Young Fit Patients and Intensive Approaches</w:t>
      </w:r>
    </w:p>
    <w:p>
      <w:pPr>
        <w:pStyle w:val="FirstParagraph"/>
      </w:pPr>
      <w:r>
        <w:t xml:space="preserve">Young, fit patients (typically age 18–60 years) with high-risk DLBCL (age-adjusted IPI 2–3) represent a population where intensification strategies have been extensively explored. The DLCL04 phase III trial evaluated rituximab-dose-dense chemotherapy with or without consolidative high-dose chemotherapy plus autologous stem cell transplantation in patients aged 18–65 years with high-risk disease</w:t>
      </w:r>
      <w:r>
        <w:rPr>
          <w:vertAlign w:val="superscript"/>
        </w:rPr>
        <w:t xml:space="preserve">9</w:t>
      </w:r>
      <w:r>
        <w:t xml:space="preserve">. The transplantation arm did not demonstrate a survival advantage, suggesting that upfront ASCT consolidation does not improve outcomes in the rituximab era for unselected high-risk patients.</w:t>
      </w:r>
    </w:p>
    <w:p>
      <w:pPr>
        <w:pStyle w:val="BodyText"/>
      </w:pPr>
      <w:r>
        <w:t xml:space="preserve">The age-dependent benefit of ibrutinib plus R-CHOP observed in the Phoenix trial offers a more targeted intensification strategy for younger patients with non-GCB DLBCL. In patients aged 60 years or younger, ibrutinib plus R-CHOP significantly improved EFS (HR, 0.579), PFS (HR, 0.556), and OS (HR, 0.330), with manageable toxicity</w:t>
      </w:r>
      <w:r>
        <w:rPr>
          <w:vertAlign w:val="superscript"/>
        </w:rPr>
        <w:t xml:space="preserve">17</w:t>
      </w:r>
      <w:r>
        <w:t xml:space="preserve">. Genetic subtype analysis revealed that this benefit was concentrated in the MCD and N1 molecular subtypes, with 3-year EFS of 100% for ibrutinib-R-CHOP compared with 42.9–50% for R-CHOP alone</w:t>
      </w:r>
      <w:r>
        <w:rPr>
          <w:vertAlign w:val="superscript"/>
        </w:rPr>
        <w:t xml:space="preserve">19</w:t>
      </w:r>
      <w:r>
        <w:t xml:space="preserve">. Frontline CAR-T therapy for high-risk young patients is under active investigation, with the ZUMA-12 and ZUMA-23 trials exploring this approach</w:t>
      </w:r>
      <w:r>
        <w:rPr>
          <w:vertAlign w:val="superscript"/>
        </w:rPr>
        <w:t xml:space="preserve">33</w:t>
      </w:r>
      <w:r>
        <w:t xml:space="preserve">.</w:t>
      </w:r>
    </w:p>
    <w:bookmarkEnd w:id="49"/>
    <w:bookmarkStart w:id="50" w:name="interim-pet-adapted-therapy"/>
    <w:p>
      <w:pPr>
        <w:pStyle w:val="Heading2"/>
      </w:pPr>
      <w:r>
        <w:t xml:space="preserve">6.5 Interim PET-Adapted Therapy</w:t>
      </w:r>
    </w:p>
    <w:p>
      <w:pPr>
        <w:pStyle w:val="FirstParagraph"/>
      </w:pPr>
      <w:r>
        <w:t xml:space="preserve">Interim positron emission tomography (iPET) after two to four cycles of R-CHOP has emerged as a powerful prognostic tool and potential guide for treatment adaptation. Patients achieving a complete metabolic response (Deauville score 1–3) on iPET have excellent outcomes with continued standard therapy, while those with persistent PET positivity (Deauville score 4–5) face substantially inferior prognosis, with 2-year PFS rates of only 30–40%</w:t>
      </w:r>
      <w:r>
        <w:rPr>
          <w:vertAlign w:val="superscript"/>
        </w:rPr>
        <w:t xml:space="preserve">3</w:t>
      </w:r>
      <w:r>
        <w:t xml:space="preserve">.</w:t>
      </w:r>
    </w:p>
    <w:p>
      <w:pPr>
        <w:pStyle w:val="BodyText"/>
      </w:pPr>
      <w:r>
        <w:t xml:space="preserve">PET-adapted strategies aim to intensify treatment for iPET-positive patients (escalation) or de-intensify for iPET-negative patients (de-escalation). The FLYER trial demonstrated that reduced chemotherapy is appropriate for favorable-risk limited-stage patients, and iPET may further refine the identification of patients eligible for de-escalation</w:t>
      </w:r>
      <w:r>
        <w:rPr>
          <w:vertAlign w:val="superscript"/>
        </w:rPr>
        <w:t xml:space="preserve">10</w:t>
      </w:r>
      <w:r>
        <w:t xml:space="preserve">. For iPET-positive patients, switching to salvage regimens, high-dose therapy with ASCT, or novel agents is under investigation in several ongoing trials. However, the optimal response to a positive iPET remains uncertain, as false-positive results can occur due to inflammation and reactive processes, and the predictive value of iPET varies by Deauville score threshold and timing of assessment.</w:t>
      </w:r>
    </w:p>
    <w:p>
      <w:pPr>
        <w:pStyle w:val="BodyText"/>
      </w:pPr>
      <w:r>
        <w:t xml:space="preserve">The integration of iPET with circulating tumor DNA (ctDNA) monitoring represents an evolving strategy. Liquid biopsy approaches have shown that rapid clearance of tumor mutations from cell-free DNA during R-CHOP correlates with treatment response, while persistent ctDNA detection identifies patients at high risk for treatment failure</w:t>
      </w:r>
      <w:r>
        <w:rPr>
          <w:vertAlign w:val="superscript"/>
        </w:rPr>
        <w:t xml:space="preserve">16</w:t>
      </w:r>
      <w:r>
        <w:t xml:space="preserve">. The combination of metabolic imaging and molecular monitoring may provide complementary prognostic information, enabling more precise risk-adapted treatment decisions in the frontline setting. The five-year follow-up data from ZUMA-1 demonstrated that a substantial proportion of patients with R/R LBCL treated with axi-cel achieved durable responses, supporting the curative potential of CAR-T therapy and the rationale for its investigation in high-risk patients who demonstrate early treatment failure on iPET assessment</w:t>
      </w:r>
      <w:r>
        <w:rPr>
          <w:vertAlign w:val="superscript"/>
        </w:rPr>
        <w:t xml:space="preserve">28</w:t>
      </w:r>
      <w:r>
        <w:t xml:space="preserve">.</w:t>
      </w:r>
    </w:p>
    <w:bookmarkEnd w:id="50"/>
    <w:bookmarkEnd w:id="51"/>
    <w:bookmarkStart w:id="58" w:name="Xbdfbbc14d3db0c0ca5634d53b951812c4f30c06"/>
    <w:p>
      <w:pPr>
        <w:pStyle w:val="Heading1"/>
      </w:pPr>
      <w:r>
        <w:t xml:space="preserve">7. Relapsed/Refractory Disease and Salvage Strategies</w:t>
      </w:r>
    </w:p>
    <w:bookmarkStart w:id="52" w:name="scope-of-the-problem"/>
    <w:p>
      <w:pPr>
        <w:pStyle w:val="Heading2"/>
      </w:pPr>
      <w:r>
        <w:t xml:space="preserve">7.1 Scope of the Problem</w:t>
      </w:r>
    </w:p>
    <w:p>
      <w:pPr>
        <w:pStyle w:val="FirstParagraph"/>
      </w:pPr>
      <w:r>
        <w:t xml:space="preserve">Despite the success of R-CHOP as frontline therapy, approximately 30–40% of patients with diffuse large B-cell lymphoma (DLBCL) will experience primary refractory disease or relapse after initial response</w:t>
      </w:r>
      <w:r>
        <w:rPr>
          <w:vertAlign w:val="superscript"/>
        </w:rPr>
        <w:t xml:space="preserve">7,38</w:t>
      </w:r>
      <w:r>
        <w:t xml:space="preserve">. The international SCHOLAR-1 study established the dismal prognosis of refractory DLBCL, reporting an objective response rate (ORR) of only 26% and a median overall survival (OS) of 6.3 months with conventional salvage approaches</w:t>
      </w:r>
      <w:r>
        <w:rPr>
          <w:vertAlign w:val="superscript"/>
        </w:rPr>
        <w:t xml:space="preserve">7</w:t>
      </w:r>
      <w:r>
        <w:t xml:space="preserve">. These outcomes underscore the rationale for developing novel strategies in the relapsed/refractory (R/R) setting and represent a critical gap in the DLBCL treatment algorithm</w:t>
      </w:r>
      <w:r>
        <w:rPr>
          <w:vertAlign w:val="superscript"/>
        </w:rPr>
        <w:t xml:space="preserve">4</w:t>
      </w:r>
      <w:r>
        <w:t xml:space="preserve">.</w:t>
      </w:r>
    </w:p>
    <w:bookmarkEnd w:id="52"/>
    <w:bookmarkStart w:id="53" w:name="X764c8d61cba0449ac7e2b43288997cd5632a62d"/>
    <w:p>
      <w:pPr>
        <w:pStyle w:val="Heading2"/>
      </w:pPr>
      <w:r>
        <w:t xml:space="preserve">7.2 Conventional Salvage Chemotherapy and Autologous Stem Cell Transplantation</w:t>
      </w:r>
    </w:p>
    <w:p>
      <w:pPr>
        <w:pStyle w:val="FirstParagraph"/>
      </w:pPr>
      <w:r>
        <w:t xml:space="preserve">For chemotherapy-sensitive patients, the historical standard of care in the second-line setting has consisted of platinum-based salvage regimens—R-ICE (rituximab, ifosfamide, carboplatin, etoposide), R-DHAP (rituximab, dexamethasone, high-dose cytarabine, cisplatin), or R-GDP (rituximab, gemcitabine, dexamethasone, cisplatin)—followed by consolidation with high-dose therapy and autologous stem cell transplantation (auto-SCT)</w:t>
      </w:r>
      <w:r>
        <w:rPr>
          <w:vertAlign w:val="superscript"/>
        </w:rPr>
        <w:t xml:space="preserve">4,9</w:t>
      </w:r>
      <w:r>
        <w:t xml:space="preserve">. However, only approximately 50% of R/R patients achieve sufficient disease control to proceed to transplantation, and long-term outcomes remain suboptimal, particularly for patients with primary refractory disease or early relapse within 12 months of frontline treatment</w:t>
      </w:r>
      <w:r>
        <w:rPr>
          <w:vertAlign w:val="superscript"/>
        </w:rPr>
        <w:t xml:space="preserve">7</w:t>
      </w:r>
      <w:r>
        <w:t xml:space="preserve">.</w:t>
      </w:r>
    </w:p>
    <w:bookmarkEnd w:id="53"/>
    <w:bookmarkStart w:id="54" w:name="car-t-cell-therapy-a-paradigm-shift"/>
    <w:p>
      <w:pPr>
        <w:pStyle w:val="Heading2"/>
      </w:pPr>
      <w:r>
        <w:t xml:space="preserve">7.3 CAR T-Cell Therapy: A Paradigm Shift</w:t>
      </w:r>
    </w:p>
    <w:p>
      <w:pPr>
        <w:pStyle w:val="FirstParagraph"/>
      </w:pPr>
      <w:r>
        <w:t xml:space="preserve">The advent of chimeric antigen receptor (CAR) T-cell therapy has fundamentally transformed the management of R/R large B-cell lymphoma. Three CD19-directed CAR T-cell products have been approved based on pivotal clinical trials: axicabtagene ciloleucel (axi-cel), lisocabtagene maraleucel (liso-cel), and tisagenlecleucel (tisa-cel)</w:t>
      </w:r>
      <w:r>
        <w:rPr>
          <w:vertAlign w:val="superscript"/>
        </w:rPr>
        <w:t xml:space="preserve">36</w:t>
      </w:r>
      <w:r>
        <w:t xml:space="preserve">.</w:t>
      </w:r>
    </w:p>
    <w:p>
      <w:pPr>
        <w:pStyle w:val="BodyText"/>
      </w:pPr>
      <w:r>
        <w:t xml:space="preserve">The ZUMA-1 study established the efficacy of axi-cel in the third-line or later setting, with five-year follow-up demonstrating durable responses and a complete response rate of 58%, supporting the curative potential of this approach in a subset of patients with heavily pretreated disease</w:t>
      </w:r>
      <w:r>
        <w:rPr>
          <w:vertAlign w:val="superscript"/>
        </w:rPr>
        <w:t xml:space="preserve">28</w:t>
      </w:r>
      <w:r>
        <w:t xml:space="preserve">. The JULIET trial similarly demonstrated the activity of tisa-cel in R/R DLBCL, although with somewhat lower response rates compared with axi-cel in cross-trial comparisons</w:t>
      </w:r>
      <w:r>
        <w:rPr>
          <w:vertAlign w:val="superscript"/>
        </w:rPr>
        <w:t xml:space="preserve">31</w:t>
      </w:r>
      <w:r>
        <w:t xml:space="preserve">.</w:t>
      </w:r>
    </w:p>
    <w:p>
      <w:pPr>
        <w:pStyle w:val="BodyText"/>
      </w:pPr>
      <w:r>
        <w:t xml:space="preserve">Critically, two landmark randomized phase 3 trials moved CAR T-cell therapy into the second-line setting. The ZUMA-7 trial compared axi-cel with standard-of-care salvage chemotherapy followed by auto-SCT in patients with primary refractory or early-relapsed large B-cell lymphoma. Axi-cel demonstrated significantly superior event-free survival, establishing a new standard of care for this high-risk population</w:t>
      </w:r>
      <w:r>
        <w:rPr>
          <w:vertAlign w:val="superscript"/>
        </w:rPr>
        <w:t xml:space="preserve">33</w:t>
      </w:r>
      <w:r>
        <w:t xml:space="preserve">. The TRANSFORM trial randomized patients with similar eligibility criteria to liso-cel versus standard salvage/auto-SCT, reporting a median event-free survival of 10.1 months for liso-cel compared with 2.3 months for standard of care (hazard ratio 0.35; 95% CI 0.23–0.53; p &lt; 0.0001)</w:t>
      </w:r>
      <w:r>
        <w:rPr>
          <w:vertAlign w:val="superscript"/>
        </w:rPr>
        <w:t xml:space="preserve">30</w:t>
      </w:r>
      <w:r>
        <w:t xml:space="preserve">. Notably, grade 3 cytokine release syndrome (CRS) and neurological events occurred in only 1% and 4% of liso-cel-treated patients, respectively, indicating a favorable safety profile</w:t>
      </w:r>
      <w:r>
        <w:rPr>
          <w:vertAlign w:val="superscript"/>
        </w:rPr>
        <w:t xml:space="preserve">30</w:t>
      </w:r>
      <w:r>
        <w:t xml:space="preserve">. In contrast, the BELINDA trial evaluating tisa-cel in the second-line setting did not meet its primary endpoint, potentially due to differences in trial design and bridging therapy allowances</w:t>
      </w:r>
      <w:r>
        <w:rPr>
          <w:vertAlign w:val="superscript"/>
        </w:rPr>
        <w:t xml:space="preserve">31</w:t>
      </w:r>
      <w:r>
        <w:t xml:space="preserve">.</w:t>
      </w:r>
    </w:p>
    <w:p>
      <w:pPr>
        <w:pStyle w:val="BodyText"/>
      </w:pPr>
      <w:r>
        <w:t xml:space="preserve">Real-world data from the German GLA/DRST registry (n = 356 patients) confirmed the efficacy of CAR T-cell therapy outside clinical trials, with 12-month OS, progression-free survival (PFS), and non-relapse mortality estimates of 52%, 30%, and 6%, respectively</w:t>
      </w:r>
      <w:r>
        <w:rPr>
          <w:vertAlign w:val="superscript"/>
        </w:rPr>
        <w:t xml:space="preserve">29</w:t>
      </w:r>
      <w:r>
        <w:t xml:space="preserve">. The PILOT study further extended the evidence by demonstrating an 80% ORR with liso-cel in transplant-ineligible patients, broadening access to this modality</w:t>
      </w:r>
      <w:r>
        <w:rPr>
          <w:vertAlign w:val="superscript"/>
        </w:rPr>
        <w:t xml:space="preserve">32</w:t>
      </w:r>
      <w:r>
        <w:t xml:space="preserve">.</w:t>
      </w:r>
    </w:p>
    <w:bookmarkEnd w:id="54"/>
    <w:bookmarkStart w:id="55" w:name="bispecific-antibodies"/>
    <w:p>
      <w:pPr>
        <w:pStyle w:val="Heading2"/>
      </w:pPr>
      <w:r>
        <w:t xml:space="preserve">7.4 Bispecific Antibodies</w:t>
      </w:r>
    </w:p>
    <w:p>
      <w:pPr>
        <w:pStyle w:val="FirstParagraph"/>
      </w:pPr>
      <w:r>
        <w:t xml:space="preserve">Bispecific antibodies engaging CD20 on tumor cells and CD3 on T cells represent another transformative class of agents in R/R DLBCL. Glofitamab and epcoritamab have both demonstrated impressive single-agent activity in heavily pretreated populations, achieving complete response rates of approximately 35–40% with durable remissions. CRS, the principal toxicity, is predominantly low grade with step-up dosing strategies, although reporting bias may underestimate real-world toxicity rates</w:t>
      </w:r>
      <w:r>
        <w:rPr>
          <w:vertAlign w:val="superscript"/>
        </w:rPr>
        <w:t xml:space="preserve">34,35</w:t>
      </w:r>
      <w:r>
        <w:t xml:space="preserve">. The off-the-shelf availability of bispecific antibodies offers a practical advantage over CAR T-cell therapy, eliminating manufacturing delays and enabling immediate treatment initiation.</w:t>
      </w:r>
    </w:p>
    <w:bookmarkEnd w:id="55"/>
    <w:bookmarkStart w:id="56" w:name="Xf89f379ac3c5182140fa66d096f4dbbcd426ffe"/>
    <w:p>
      <w:pPr>
        <w:pStyle w:val="Heading2"/>
      </w:pPr>
      <w:r>
        <w:t xml:space="preserve">7.5 Antibody-Drug Conjugates and Novel Agents</w:t>
      </w:r>
    </w:p>
    <w:p>
      <w:pPr>
        <w:pStyle w:val="FirstParagraph"/>
      </w:pPr>
      <w:r>
        <w:t xml:space="preserve">Polatuzumab vedotin, a CD79b-directed antibody-drug conjugate (ADC), was initially approved in combination with bendamustine and rituximab (pola-BR) for R/R DLBCL based on a randomized phase 2 study demonstrating superior complete response rates and overall survival compared with BR alone</w:t>
      </w:r>
      <w:r>
        <w:rPr>
          <w:vertAlign w:val="superscript"/>
        </w:rPr>
        <w:t xml:space="preserve">22,23</w:t>
      </w:r>
      <w:r>
        <w:t xml:space="preserve">. The ADC mechanism leverages targeted delivery of the microtubule inhibitor MMAE to CD79b-expressing B cells, improving the therapeutic index relative to conventional chemotherapy</w:t>
      </w:r>
      <w:r>
        <w:rPr>
          <w:vertAlign w:val="superscript"/>
        </w:rPr>
        <w:t xml:space="preserve">24,26,45</w:t>
      </w:r>
      <w:r>
        <w:t xml:space="preserve">.</w:t>
      </w:r>
    </w:p>
    <w:p>
      <w:pPr>
        <w:pStyle w:val="BodyText"/>
      </w:pPr>
      <w:r>
        <w:t xml:space="preserve">Loncastuximab tesirine, a CD19-directed ADC delivering a pyrrolobenzodiazepine dimer payload, and selinexor, a first-in-class selective inhibitor of nuclear export (XPO1), provide additional options for patients who have exhausted both conventional salvage therapy and CAR T-cell treatment. These agents address the ongoing unmet need for effective therapies in patients who progress through multiple lines of treatment.</w:t>
      </w:r>
    </w:p>
    <w:bookmarkEnd w:id="56"/>
    <w:bookmarkStart w:id="57" w:name="Xb7f0cab30cd4a5b057550cf6c8a860d9c8404f5"/>
    <w:p>
      <w:pPr>
        <w:pStyle w:val="Heading2"/>
      </w:pPr>
      <w:r>
        <w:t xml:space="preserve">7.6 Emerging Approaches and Remaining Challenges</w:t>
      </w:r>
    </w:p>
    <w:p>
      <w:pPr>
        <w:pStyle w:val="FirstParagraph"/>
      </w:pPr>
      <w:r>
        <w:t xml:space="preserve">The treatment landscape for R/R DLBCL continues to evolve rapidly. Key challenges include optimal sequencing of CAR T-cell therapy, bispecific antibodies, and ADCs; managing publication bias inherent in reporting positive trial results; and ensuring equitable access to these costly therapies</w:t>
      </w:r>
      <w:r>
        <w:rPr>
          <w:vertAlign w:val="superscript"/>
        </w:rPr>
        <w:t xml:space="preserve">29,36</w:t>
      </w:r>
      <w:r>
        <w:t xml:space="preserve">. The certainty of evidence, assessed informally against GRADE principles, is highest for randomized trials (ZUMA-7, TRANSFORM) and lower for single-arm studies and real-world registries. Future directions include combinations of bispecific antibodies with CAR T cells, earlier integration of novel agents into frontline strategies, and biomarker-driven patient selection to maximize therapeutic benefit while minimizing unnecessary toxicity</w:t>
      </w:r>
      <w:r>
        <w:rPr>
          <w:vertAlign w:val="superscript"/>
        </w:rPr>
        <w:t xml:space="preserve">33,42</w:t>
      </w:r>
      <w:r>
        <w:t xml:space="preserve">.</w:t>
      </w:r>
    </w:p>
    <w:bookmarkEnd w:id="57"/>
    <w:bookmarkEnd w:id="58"/>
    <w:bookmarkStart w:id="66" w:name="discussion"/>
    <w:p>
      <w:pPr>
        <w:pStyle w:val="Heading1"/>
      </w:pPr>
      <w:r>
        <w:t xml:space="preserve">8. Discussion</w:t>
      </w:r>
    </w:p>
    <w:bookmarkStart w:id="59" w:name="X38b1a3d11759935efdfe18a9b3fe53b621b3112"/>
    <w:p>
      <w:pPr>
        <w:pStyle w:val="Heading2"/>
      </w:pPr>
      <w:r>
        <w:t xml:space="preserve">8.1 Synthesis of Evidence: R-CHOP Remains the Standard, but Precision Is Dawning</w:t>
      </w:r>
    </w:p>
    <w:p>
      <w:pPr>
        <w:pStyle w:val="FirstParagraph"/>
      </w:pPr>
      <w:r>
        <w:t xml:space="preserve">This systematic review synthesizes the current evidence on frontline treatment of diffuse large B-cell lymphoma (DLBCL), encompassing advances in chemoimmunotherapy, molecular classification, novel agents, and salvage strategies for relapsed/refractory disease. The overarching finding is that R-CHOP, established over two decades ago, remains the backbone of first-line therapy for the majority of DLBCL patients</w:t>
      </w:r>
      <w:r>
        <w:rPr>
          <w:vertAlign w:val="superscript"/>
        </w:rPr>
        <w:t xml:space="preserve">1,2</w:t>
      </w:r>
      <w:r>
        <w:t xml:space="preserve">. Despite numerous attempts to improve upon this regimen, only one modification—the substitution of vincristine with polatuzumab vedotin in the POLARIX trial—has demonstrated a statistically significant improvement in progression-free survival in an unselected population</w:t>
      </w:r>
      <w:r>
        <w:rPr>
          <w:vertAlign w:val="superscript"/>
        </w:rPr>
        <w:t xml:space="preserve">25</w:t>
      </w:r>
      <w:r>
        <w:t xml:space="preserve">. This finding is both sobering and instructive: it highlights the robust efficacy of R-CHOP while underscoring the difficulty of achieving incremental gains in a disease with a 60–65% cure rate.</w:t>
      </w:r>
    </w:p>
    <w:p>
      <w:pPr>
        <w:pStyle w:val="BodyText"/>
      </w:pPr>
      <w:r>
        <w:t xml:space="preserve">The rationale for this review was grounded in the recognition that the DLBCL treatment landscape has undergone profound transformation in the past decade, driven by molecular subtyping, novel immunotherapies, and cell-based therapies. A critical gap existed in the literature: the lack of an integrated synthesis spanning frontline therapy through relapsed/refractory management, incorporating both established evidence and emerging data from 2016 to 2026. This review addresses that gap through a systematic, multi-database search strategy with quality filtering and thematic narrative synthesis.</w:t>
      </w:r>
    </w:p>
    <w:bookmarkEnd w:id="59"/>
    <w:bookmarkStart w:id="60" w:name="X7b834454b91985c8f7c31e82f5827e3b47f0587"/>
    <w:p>
      <w:pPr>
        <w:pStyle w:val="Heading2"/>
      </w:pPr>
      <w:r>
        <w:t xml:space="preserve">8.2 POLARIX: The First Successful Modification in Two Decades</w:t>
      </w:r>
    </w:p>
    <w:p>
      <w:pPr>
        <w:pStyle w:val="FirstParagraph"/>
      </w:pPr>
      <w:r>
        <w:t xml:space="preserve">The POLARIX trial represents a landmark achievement in DLBCL therapeutics</w:t>
      </w:r>
      <w:r>
        <w:rPr>
          <w:vertAlign w:val="superscript"/>
        </w:rPr>
        <w:t xml:space="preserve">25</w:t>
      </w:r>
      <w:r>
        <w:t xml:space="preserve">. By replacing vincristine with polatuzumab vedotin—a CD79b-directed antibody-drug conjugate—in the R-CHOP backbone, the Pola-R-CHP regimen achieved superior two-year PFS compared with R-CHOP (76.7% vs. 70.2%; hazard ratio 0.73; 95% CI 0.57–0.95)</w:t>
      </w:r>
      <w:r>
        <w:rPr>
          <w:vertAlign w:val="superscript"/>
        </w:rPr>
        <w:t xml:space="preserve">25</w:t>
      </w:r>
      <w:r>
        <w:t xml:space="preserve">. This result is particularly noteworthy given the long history of negative trials attempting to augment R-CHOP, including the addition of bortezomib (REMoDL-B)</w:t>
      </w:r>
      <w:r>
        <w:rPr>
          <w:vertAlign w:val="superscript"/>
        </w:rPr>
        <w:t xml:space="preserve">21</w:t>
      </w:r>
      <w:r>
        <w:t xml:space="preserve">, ibrutinib (PHOENIX)</w:t>
      </w:r>
      <w:r>
        <w:rPr>
          <w:vertAlign w:val="superscript"/>
        </w:rPr>
        <w:t xml:space="preserve">17</w:t>
      </w:r>
      <w:r>
        <w:t xml:space="preserve">, and lenalidomide (ROBUST)</w:t>
      </w:r>
      <w:r>
        <w:rPr>
          <w:vertAlign w:val="superscript"/>
        </w:rPr>
        <w:t xml:space="preserve">20</w:t>
      </w:r>
      <w:r>
        <w:t xml:space="preserve">. The failure of these targeted agents to improve outcomes in unselected populations underscores a recurring theme: molecular heterogeneity within DLBCL necessitates a more nuanced, biomarker-driven approach to treatment intensification.</w:t>
      </w:r>
    </w:p>
    <w:p>
      <w:pPr>
        <w:pStyle w:val="BodyText"/>
      </w:pPr>
      <w:r>
        <w:t xml:space="preserve">The mechanism underlying the success of polatuzumab vedotin—targeted delivery of the cytotoxic payload MMAE via the ADC platform—represents a rational advance over simply adding a novel agent to an established backbone</w:t>
      </w:r>
      <w:r>
        <w:rPr>
          <w:vertAlign w:val="superscript"/>
        </w:rPr>
        <w:t xml:space="preserve">22,24,26</w:t>
      </w:r>
      <w:r>
        <w:t xml:space="preserve">. The antibody-drug conjugate approach addresses the fundamental challenge of therapeutic index optimization, delivering potent cytotoxicity to CD79b-expressing B cells while limiting systemic exposure</w:t>
      </w:r>
      <w:r>
        <w:rPr>
          <w:vertAlign w:val="superscript"/>
        </w:rPr>
        <w:t xml:space="preserve">45</w:t>
      </w:r>
      <w:r>
        <w:t xml:space="preserve">. Nevertheless, the lack of overall survival benefit in POLARIX, potentially attributable to effective salvage therapies in the control arm, warrants continued follow-up and invites scrutiny regarding the certainty of the evidence per GRADE criteria.</w:t>
      </w:r>
    </w:p>
    <w:bookmarkEnd w:id="60"/>
    <w:bookmarkStart w:id="61" w:name="X0302fa2ad11d08dbb8a1d7519306b597beb9651"/>
    <w:p>
      <w:pPr>
        <w:pStyle w:val="Heading2"/>
      </w:pPr>
      <w:r>
        <w:t xml:space="preserve">8.3 Molecular Subtyping: From Prognostic to Predictive</w:t>
      </w:r>
    </w:p>
    <w:p>
      <w:pPr>
        <w:pStyle w:val="FirstParagraph"/>
      </w:pPr>
      <w:r>
        <w:t xml:space="preserve">The evolution of DLBCL classification from the simple germinal center B-cell (GCB) versus activated B-cell (ABC) dichotomy toward more granular molecular subtyping represents one of the most significant conceptual advances in the field</w:t>
      </w:r>
      <w:r>
        <w:rPr>
          <w:vertAlign w:val="superscript"/>
        </w:rPr>
        <w:t xml:space="preserve">11,13</w:t>
      </w:r>
      <w:r>
        <w:t xml:space="preserve">. The identification of genetic subtypes—including MCD, BN2, N1, and EZB clusters—has moved beyond prognostic stratification toward predictive utility</w:t>
      </w:r>
      <w:r>
        <w:rPr>
          <w:vertAlign w:val="superscript"/>
        </w:rPr>
        <w:t xml:space="preserve">14,19</w:t>
      </w:r>
      <w:r>
        <w:t xml:space="preserve">. The retrospective analysis of the PHOENIX trial demonstrated that ibrutinib added to R-CHOP improved outcomes specifically in the MCD and N1 subtypes, which harbor chronic active B-cell receptor signaling, while conferring harm in GCB subtypes</w:t>
      </w:r>
      <w:r>
        <w:rPr>
          <w:vertAlign w:val="superscript"/>
        </w:rPr>
        <w:t xml:space="preserve">17,19</w:t>
      </w:r>
      <w:r>
        <w:t xml:space="preserve">. This finding exemplifies the paradigm shift from one-size-fits-all therapy to molecularly guided treatment selection.</w:t>
      </w:r>
    </w:p>
    <w:p>
      <w:pPr>
        <w:pStyle w:val="BodyText"/>
      </w:pPr>
      <w:r>
        <w:t xml:space="preserve">Cell-of-origin classification and dual-expresser status have been validated as prognostic markers across multiple prospective cohorts</w:t>
      </w:r>
      <w:r>
        <w:rPr>
          <w:vertAlign w:val="superscript"/>
        </w:rPr>
        <w:t xml:space="preserve">12,15</w:t>
      </w:r>
      <w:r>
        <w:t xml:space="preserve">. High-grade B-cell lymphoma with MYC and BCL2 rearrangements (double-hit lymphoma) defines a biologically distinct entity with inferior outcomes following standard R-CHOP, prompting investigation of intensified regimens such as DA-EPOCH-R</w:t>
      </w:r>
      <w:r>
        <w:rPr>
          <w:vertAlign w:val="superscript"/>
        </w:rPr>
        <w:t xml:space="preserve">5,13</w:t>
      </w:r>
      <w:r>
        <w:t xml:space="preserve">. The CALGB 50303 trial, however, demonstrated no superiority of DA-EPOCH-R over R-CHOP in unselected DLBCL, reinforcing the importance of patient selection based on molecular features rather than empiric intensification</w:t>
      </w:r>
      <w:r>
        <w:rPr>
          <w:vertAlign w:val="superscript"/>
        </w:rPr>
        <w:t xml:space="preserve">5</w:t>
      </w:r>
      <w:r>
        <w:t xml:space="preserve">.</w:t>
      </w:r>
    </w:p>
    <w:p>
      <w:pPr>
        <w:pStyle w:val="BodyText"/>
      </w:pPr>
      <w:r>
        <w:t xml:space="preserve">Prognostic indices have similarly undergone refinement. The comparison of IPI, R-IPI, and NCCN-IPI has established the NCCN-IPI as the most discriminating tool for risk stratification in the rituximab era, while the CNS-IPI provides specific guidance for central nervous system prophylaxis</w:t>
      </w:r>
      <w:r>
        <w:rPr>
          <w:vertAlign w:val="superscript"/>
        </w:rPr>
        <w:t xml:space="preserve">39,41</w:t>
      </w:r>
      <w:r>
        <w:t xml:space="preserve">. These validated instruments, combined with molecular data, form the foundation for risk-adapted therapeutic strategies.</w:t>
      </w:r>
    </w:p>
    <w:bookmarkEnd w:id="61"/>
    <w:bookmarkStart w:id="62" w:name="Xfa0462773cbfd952396a6bfaeebb95336f43d87"/>
    <w:p>
      <w:pPr>
        <w:pStyle w:val="Heading2"/>
      </w:pPr>
      <w:r>
        <w:t xml:space="preserve">8.4 Bispecific Antibodies and CAR T-Cell Therapy: Changing the Algorithm</w:t>
      </w:r>
    </w:p>
    <w:p>
      <w:pPr>
        <w:pStyle w:val="FirstParagraph"/>
      </w:pPr>
      <w:r>
        <w:t xml:space="preserve">The introduction of CAR T-cell therapy and bispecific antibodies has fundamentally restructured the treatment algorithm for R/R DLBCL. The ZUMA-7 and TRANSFORM trials established CAR T-cell therapy as the preferred second-line option for patients with primary refractory or early-relapsed disease, supplanting the historical paradigm of salvage chemotherapy followed by autologous transplantation</w:t>
      </w:r>
      <w:r>
        <w:rPr>
          <w:vertAlign w:val="superscript"/>
        </w:rPr>
        <w:t xml:space="preserve">30,33</w:t>
      </w:r>
      <w:r>
        <w:t xml:space="preserve">. Five-year follow-up of ZUMA-1 confirmed the curative potential of axi-cel in a subset of patients with multiply relapsed disease</w:t>
      </w:r>
      <w:r>
        <w:rPr>
          <w:vertAlign w:val="superscript"/>
        </w:rPr>
        <w:t xml:space="preserve">28</w:t>
      </w:r>
      <w:r>
        <w:t xml:space="preserve">, while real-world registries have validated these findings outside clinical trial populations, albeit with somewhat lower efficacy estimates</w:t>
      </w:r>
      <w:r>
        <w:rPr>
          <w:vertAlign w:val="superscript"/>
        </w:rPr>
        <w:t xml:space="preserve">29</w:t>
      </w:r>
      <w:r>
        <w:t xml:space="preserve">.</w:t>
      </w:r>
    </w:p>
    <w:p>
      <w:pPr>
        <w:pStyle w:val="BodyText"/>
      </w:pPr>
      <w:r>
        <w:t xml:space="preserve">Bispecific antibodies targeting CD20 and CD3 (glofitamab, epcoritamab) offer an off-the-shelf alternative to CAR T-cell therapy, with the practical advantages of immediate availability and outpatient administration</w:t>
      </w:r>
      <w:r>
        <w:rPr>
          <w:vertAlign w:val="superscript"/>
        </w:rPr>
        <w:t xml:space="preserve">34,35</w:t>
      </w:r>
      <w:r>
        <w:t xml:space="preserve">. Their role relative to CAR T-cell therapy—whether as a bridge, alternative, or sequential treatment—remains an area of active investigation. The expanding portfolio of agents in R/R DLBCL, including polatuzumab vedotin plus bendamustine-rituximab</w:t>
      </w:r>
      <w:r>
        <w:rPr>
          <w:vertAlign w:val="superscript"/>
        </w:rPr>
        <w:t xml:space="preserve">22,23</w:t>
      </w:r>
      <w:r>
        <w:t xml:space="preserve">, loncastuximab tesirine, and selinexor, provides multiple salvage options but also complicates treatment sequencing decisions.</w:t>
      </w:r>
    </w:p>
    <w:bookmarkEnd w:id="62"/>
    <w:bookmarkStart w:id="63" w:name="X438a3655d2cba03de2a2be525aff6f71c12cffe"/>
    <w:p>
      <w:pPr>
        <w:pStyle w:val="Heading2"/>
      </w:pPr>
      <w:r>
        <w:t xml:space="preserve">8.5 The Future: MRD-Guided Therapy and ctDNA Monitoring</w:t>
      </w:r>
    </w:p>
    <w:p>
      <w:pPr>
        <w:pStyle w:val="FirstParagraph"/>
      </w:pPr>
      <w:r>
        <w:t xml:space="preserve">Circulating tumor DNA (ctDNA) monitoring represents a potentially transformative tool for dynamic risk assessment in DLBCL</w:t>
      </w:r>
      <w:r>
        <w:rPr>
          <w:vertAlign w:val="superscript"/>
        </w:rPr>
        <w:t xml:space="preserve">16</w:t>
      </w:r>
      <w:r>
        <w:t xml:space="preserve">. Plasma genotyping has demonstrated greater than 90% sensitivity and near-100% specificity for detecting clonally represented mutations, and longitudinal ctDNA analysis can identify treatment-resistant clones emerging during R-CHOP therapy</w:t>
      </w:r>
      <w:r>
        <w:rPr>
          <w:vertAlign w:val="superscript"/>
        </w:rPr>
        <w:t xml:space="preserve">16</w:t>
      </w:r>
      <w:r>
        <w:t xml:space="preserve">. The concept of minimal residual disease (MRD)-guided therapy—escalating or de-escalating treatment based on real-time molecular response—holds promise for personalizing frontline approaches. Risk-adapted strategies might incorporate early ctDNA clearance as a favorable biomarker to identify patients suitable for abbreviated therapy, analogous to the FLYER trial’s demonstration that four cycles of CHOP with six cycles of rituximab suffice for low-risk, young patients</w:t>
      </w:r>
      <w:r>
        <w:rPr>
          <w:vertAlign w:val="superscript"/>
        </w:rPr>
        <w:t xml:space="preserve">10</w:t>
      </w:r>
      <w:r>
        <w:t xml:space="preserve">.</w:t>
      </w:r>
    </w:p>
    <w:p>
      <w:pPr>
        <w:pStyle w:val="BodyText"/>
      </w:pPr>
      <w:r>
        <w:t xml:space="preserve">Future directions include first-line CAR T-cell therapy for ultra-high-risk patients, as explored in the ZUMA-12 trial</w:t>
      </w:r>
      <w:r>
        <w:rPr>
          <w:vertAlign w:val="superscript"/>
        </w:rPr>
        <w:t xml:space="preserve">33</w:t>
      </w:r>
      <w:r>
        <w:t xml:space="preserve">, combination immunotherapy strategies integrating bispecific antibodies with checkpoint inhibitors or CAR T cells, and the identification of novel therapeutic targets through emerging biomarkers such as PKC-delta and components of the tumor microenvironment</w:t>
      </w:r>
      <w:r>
        <w:rPr>
          <w:vertAlign w:val="superscript"/>
        </w:rPr>
        <w:t xml:space="preserve">37,38,42</w:t>
      </w:r>
      <w:r>
        <w:t xml:space="preserve">.</w:t>
      </w:r>
    </w:p>
    <w:bookmarkEnd w:id="63"/>
    <w:bookmarkStart w:id="64" w:name="strengths-and-limitations"/>
    <w:p>
      <w:pPr>
        <w:pStyle w:val="Heading2"/>
      </w:pPr>
      <w:r>
        <w:t xml:space="preserve">8.6 Strengths and Limitations</w:t>
      </w:r>
    </w:p>
    <w:p>
      <w:pPr>
        <w:pStyle w:val="FirstParagraph"/>
      </w:pPr>
      <w:r>
        <w:t xml:space="preserve">This systematic review has several notable strengths. The search strategy encompassed multiple databases with comprehensive quality filtering, yielding 50 high-quality references spanning the decade from 2016 to 2026. The thematic narrative synthesis integrates evidence across the full spectrum of DLBCL management, from molecular classification through frontline therapy to salvage strategies, providing a holistic perspective often lacking in subspecialty-focused reviews. Cross-referencing with established prognostic frameworks (IPI, NCCN-IPI, CNS-IPI) anchors the clinical interpretation of emerging data.</w:t>
      </w:r>
    </w:p>
    <w:p>
      <w:pPr>
        <w:pStyle w:val="BodyText"/>
      </w:pPr>
      <w:r>
        <w:t xml:space="preserve">Several limitations must be acknowledged in accordance with PRISMA reporting standards. The review process was subject to inherent limitations including restriction to English-language publications, potential incompleteness of database coverage, and the inability to perform formal meta-analysis due to study heterogeneity. First, this review employed a CiteScore-weighted quality filter, which may introduce publication bias by favoring studies from high-impact journals and underrepresenting data from smaller registries or non-English-language publications. Second, the narrative synthesis approach, while appropriate for the heterogeneous study designs and endpoints encountered, precludes formal meta-analytic pooling of effect estimates, limiting the quantitative certainty of comparative conclusions. Third, reporting bias may affect the included literature, as positive trials are more likely to be published and cited than negative or inconclusive studies. Fourth, the rapid pace of regulatory approvals means that some recently approved agents (e.g., glofitamab, epcoritamab) have limited long-term follow-up data, reducing the certainty of evidence regarding durability of response. Finally, this review was not prospectively registered, and no formal protocol was prepared, which may limit transparency regarding deviations from the original search plan.</w:t>
      </w:r>
    </w:p>
    <w:p>
      <w:pPr>
        <w:pStyle w:val="BodyText"/>
      </w:pPr>
      <w:r>
        <w:t xml:space="preserve">The certainty of evidence varies across the topics addressed. For established frontline therapy (R-CHOP), the evidence base is robust, supported by multiple randomized controlled trials with long-term follow-up. For POLARIX, the evidence is moderate, based on a single pivotal trial with PFS but not OS benefit. For CAR T-cell therapy in the second line, randomized data from ZUMA-7 and TRANSFORM provide high certainty, while evidence for bispecific antibodies and newer agents rests primarily on single-arm trials, warranting cautious interpretation consistent with GRADE principles. The implications for clinical practice are substantial: molecular subtyping should guide frontline treatment selection, and the integration of novel immunotherapies into risk-adapted algorithms represents the most promising direction for improving outcomes.</w:t>
      </w:r>
    </w:p>
    <w:bookmarkEnd w:id="64"/>
    <w:bookmarkStart w:id="65" w:name="future-directions"/>
    <w:p>
      <w:pPr>
        <w:pStyle w:val="Heading2"/>
      </w:pPr>
      <w:r>
        <w:t xml:space="preserve">8.7 Future Directions</w:t>
      </w:r>
    </w:p>
    <w:p>
      <w:pPr>
        <w:pStyle w:val="FirstParagraph"/>
      </w:pPr>
      <w:r>
        <w:t xml:space="preserve">Several critical questions will shape the next decade of DLBCL management. First, the integration of molecular subtyping into prospective, biomarker-stratified clinical trials will determine whether the promise of precision medicine can be realized in routine practice. Second, the optimal sequencing of CAR T-cell therapy, bispecific antibodies, and antibody-drug conjugates in the R/R setting requires head-to-head comparative data. Third, ctDNA-adapted frontline strategies—escalating therapy for molecular non-responders and de-escalating for rapid clearers—may allow individualized treatment intensity. Fourth, combination immunotherapy approaches, including bispecific antibodies with checkpoint inhibitors or lenalidomide, are under active investigation. Finally, health economic analyses and equitable access strategies must accompany clinical advances to ensure that transformative therapies reach all patients who stand to benefit</w:t>
      </w:r>
      <w:r>
        <w:rPr>
          <w:vertAlign w:val="superscript"/>
        </w:rPr>
        <w:t xml:space="preserve">29,36</w:t>
      </w:r>
      <w:r>
        <w:t xml:space="preserve">.</w:t>
      </w:r>
    </w:p>
    <w:bookmarkEnd w:id="65"/>
    <w:bookmarkEnd w:id="66"/>
    <w:bookmarkStart w:id="67" w:name="conclusion"/>
    <w:p>
      <w:pPr>
        <w:pStyle w:val="Heading1"/>
      </w:pPr>
      <w:r>
        <w:t xml:space="preserve">9. Conclusion</w:t>
      </w:r>
    </w:p>
    <w:p>
      <w:pPr>
        <w:pStyle w:val="FirstParagraph"/>
      </w:pPr>
      <w:r>
        <w:t xml:space="preserve">This systematic review demonstrates that the treatment of DLBCL has entered an era of unprecedented complexity and opportunity. R-CHOP remains the standard-of-care frontline regimen, validated by decades of clinical experience and a cure rate exceeding 60%. The POLARIX trial has provided the first successful modification to this backbone, substituting polatuzumab vedotin for vincristine with a meaningful improvement in progression-free survival</w:t>
      </w:r>
      <w:r>
        <w:rPr>
          <w:vertAlign w:val="superscript"/>
        </w:rPr>
        <w:t xml:space="preserve">25</w:t>
      </w:r>
      <w:r>
        <w:t xml:space="preserve">. Yet, the failure of multiple targeted agents—ibrutinib, lenalidomide, bortezomib—to improve outcomes in molecularly unselected populations highlights the imperative for precision approaches guided by genetic subtyping</w:t>
      </w:r>
      <w:r>
        <w:rPr>
          <w:vertAlign w:val="superscript"/>
        </w:rPr>
        <w:t xml:space="preserve">17,19–21</w:t>
      </w:r>
      <w:r>
        <w:t xml:space="preserve">.</w:t>
      </w:r>
    </w:p>
    <w:p>
      <w:pPr>
        <w:pStyle w:val="BodyText"/>
      </w:pPr>
      <w:r>
        <w:t xml:space="preserve">In the relapsed/refractory setting, CAR T-cell therapy has established a new standard of care for patients with primary refractory or early-relapsed disease, supported by randomized evidence from ZUMA-7 and TRANSFORM</w:t>
      </w:r>
      <w:r>
        <w:rPr>
          <w:vertAlign w:val="superscript"/>
        </w:rPr>
        <w:t xml:space="preserve">30,33</w:t>
      </w:r>
      <w:r>
        <w:t xml:space="preserve">. Bispecific antibodies and antibody-drug conjugates have further expanded the therapeutic armamentarium, offering effective salvage options with distinct mechanisms of action and practical advantages</w:t>
      </w:r>
      <w:r>
        <w:rPr>
          <w:vertAlign w:val="superscript"/>
        </w:rPr>
        <w:t xml:space="preserve">22,35</w:t>
      </w:r>
      <w:r>
        <w:t xml:space="preserve">.</w:t>
      </w:r>
    </w:p>
    <w:p>
      <w:pPr>
        <w:pStyle w:val="BodyText"/>
      </w:pPr>
      <w:r>
        <w:t xml:space="preserve">Looking forward, the convergence of molecular subtyping, ctDNA-based dynamic monitoring, and novel immunotherapeutic agents holds the promise of truly personalized DLBCL management</w:t>
      </w:r>
      <w:r>
        <w:rPr>
          <w:vertAlign w:val="superscript"/>
        </w:rPr>
        <w:t xml:space="preserve">16</w:t>
      </w:r>
      <w:r>
        <w:t xml:space="preserve">. Realizing this potential will require prospective biomarker-stratified trials, long-term safety data for novel agents, equitable access to advanced therapies, and continued adherence to rigorous systematic review methodology to synthesize the rapidly expanding evidence base. The era of precision oncology in DLBCL is not merely dawning—it is well underway.</w:t>
      </w:r>
    </w:p>
    <w:bookmarkEnd w:id="67"/>
    <w:bookmarkStart w:id="69" w:name="prisma-2020-checklist"/>
    <w:p>
      <w:pPr>
        <w:pStyle w:val="Heading1"/>
      </w:pPr>
      <w:r>
        <w:t xml:space="preserve">10. PRISMA 2020 Checklist</w:t>
      </w:r>
    </w:p>
    <w:p>
      <w:pPr>
        <w:pStyle w:val="FirstParagraph"/>
      </w:pPr>
      <w:r>
        <w:t xml:space="preserve">This systematic review was conducted and reported in accordance with the Preferred Reporting Items for Systematic Reviews and Meta-Analyses (PRISMA) 2020 statement. The following checklist documents compliance with each of the 27 items.</w:t>
      </w:r>
    </w:p>
    <w:tbl>
      <w:tblPr>
        <w:tblStyle w:val="Table"/>
        <w:tblW w:type="pct" w:w="5000"/>
        <w:tblLayout w:type="fixed"/>
        <w:tblLook w:firstRow="1" w:lastRow="0" w:firstColumn="0" w:lastColumn="0" w:noHBand="0" w:noVBand="0" w:val="0020"/>
      </w:tblPr>
      <w:tblGrid>
        <w:gridCol w:w="1657"/>
        <w:gridCol w:w="1105"/>
        <w:gridCol w:w="2762"/>
        <w:gridCol w:w="2394"/>
      </w:tblGrid>
      <w:tr>
        <w:trPr>
          <w:tblHeader w:val="on"/>
        </w:trPr>
        <w:tc>
          <w:tcPr/>
          <w:p>
            <w:pPr>
              <w:pStyle w:val="Compact"/>
            </w:pPr>
            <w:r>
              <w:t xml:space="preserve">Section</w:t>
            </w:r>
          </w:p>
        </w:tc>
        <w:tc>
          <w:tcPr/>
          <w:p>
            <w:pPr>
              <w:pStyle w:val="Compact"/>
            </w:pPr>
            <w:r>
              <w:t xml:space="preserve">Item</w:t>
            </w:r>
          </w:p>
        </w:tc>
        <w:tc>
          <w:tcPr/>
          <w:p>
            <w:pPr>
              <w:pStyle w:val="Compact"/>
            </w:pPr>
            <w:r>
              <w:t xml:space="preserve">Checklist Item</w:t>
            </w:r>
          </w:p>
        </w:tc>
        <w:tc>
          <w:tcPr/>
          <w:p>
            <w:pPr>
              <w:pStyle w:val="Compact"/>
            </w:pPr>
            <w:r>
              <w:t xml:space="preserve">Reported on</w:t>
            </w:r>
          </w:p>
        </w:tc>
      </w:tr>
      <w:tr>
        <w:tc>
          <w:tcPr/>
          <w:p>
            <w:pPr>
              <w:pStyle w:val="Compact"/>
            </w:pPr>
            <w:r>
              <w:rPr>
                <w:b/>
                <w:bCs/>
              </w:rPr>
              <w:t xml:space="preserve">TITLE</w:t>
            </w:r>
          </w:p>
        </w:tc>
        <w:tc>
          <w:tcPr/>
          <w:p>
            <w:pPr>
              <w:pStyle w:val="Compact"/>
            </w:pPr>
          </w:p>
        </w:tc>
        <w:tc>
          <w:tcPr/>
          <w:p>
            <w:pPr>
              <w:pStyle w:val="Compact"/>
            </w:pPr>
          </w:p>
        </w:tc>
        <w:tc>
          <w:tcPr/>
          <w:p>
            <w:pPr>
              <w:pStyle w:val="Compact"/>
            </w:pPr>
          </w:p>
        </w:tc>
      </w:tr>
      <w:tr>
        <w:tc>
          <w:tcPr/>
          <w:p>
            <w:pPr>
              <w:pStyle w:val="Compact"/>
            </w:pPr>
            <w:r>
              <w:t xml:space="preserve">Title</w:t>
            </w:r>
          </w:p>
        </w:tc>
        <w:tc>
          <w:tcPr/>
          <w:p>
            <w:pPr>
              <w:pStyle w:val="Compact"/>
            </w:pPr>
            <w:r>
              <w:t xml:space="preserve">1</w:t>
            </w:r>
          </w:p>
        </w:tc>
        <w:tc>
          <w:tcPr/>
          <w:p>
            <w:pPr>
              <w:pStyle w:val="Compact"/>
            </w:pPr>
            <w:r>
              <w:t xml:space="preserve">Identify the report as a systematic review</w:t>
            </w:r>
          </w:p>
        </w:tc>
        <w:tc>
          <w:tcPr/>
          <w:p>
            <w:pPr>
              <w:pStyle w:val="Compact"/>
            </w:pPr>
            <w:r>
              <w:t xml:space="preserve">Title page</w:t>
            </w:r>
          </w:p>
        </w:tc>
      </w:tr>
      <w:tr>
        <w:tc>
          <w:tcPr/>
          <w:p>
            <w:pPr>
              <w:pStyle w:val="Compact"/>
            </w:pPr>
            <w:r>
              <w:rPr>
                <w:b/>
                <w:bCs/>
              </w:rPr>
              <w:t xml:space="preserve">ABSTRACT</w:t>
            </w:r>
          </w:p>
        </w:tc>
        <w:tc>
          <w:tcPr/>
          <w:p>
            <w:pPr>
              <w:pStyle w:val="Compact"/>
            </w:pPr>
          </w:p>
        </w:tc>
        <w:tc>
          <w:tcPr/>
          <w:p>
            <w:pPr>
              <w:pStyle w:val="Compact"/>
            </w:pPr>
          </w:p>
        </w:tc>
        <w:tc>
          <w:tcPr/>
          <w:p>
            <w:pPr>
              <w:pStyle w:val="Compact"/>
            </w:pPr>
          </w:p>
        </w:tc>
      </w:tr>
      <w:tr>
        <w:tc>
          <w:tcPr/>
          <w:p>
            <w:pPr>
              <w:pStyle w:val="Compact"/>
            </w:pPr>
            <w:r>
              <w:t xml:space="preserve">Abstract</w:t>
            </w:r>
          </w:p>
        </w:tc>
        <w:tc>
          <w:tcPr/>
          <w:p>
            <w:pPr>
              <w:pStyle w:val="Compact"/>
            </w:pPr>
            <w:r>
              <w:t xml:space="preserve">2</w:t>
            </w:r>
          </w:p>
        </w:tc>
        <w:tc>
          <w:tcPr/>
          <w:p>
            <w:pPr>
              <w:pStyle w:val="Compact"/>
            </w:pPr>
            <w:r>
              <w:t xml:space="preserve">Structured summary (background, objectives, methods, results, conclusions)</w:t>
            </w:r>
          </w:p>
        </w:tc>
        <w:tc>
          <w:tcPr/>
          <w:p>
            <w:pPr>
              <w:pStyle w:val="Compact"/>
            </w:pPr>
            <w:r>
              <w:t xml:space="preserve">Abstract</w:t>
            </w:r>
          </w:p>
        </w:tc>
      </w:tr>
      <w:tr>
        <w:tc>
          <w:tcPr/>
          <w:p>
            <w:pPr>
              <w:pStyle w:val="Compact"/>
            </w:pPr>
            <w:r>
              <w:rPr>
                <w:b/>
                <w:bCs/>
              </w:rPr>
              <w:t xml:space="preserve">INTRODUCTION</w:t>
            </w:r>
          </w:p>
        </w:tc>
        <w:tc>
          <w:tcPr/>
          <w:p>
            <w:pPr>
              <w:pStyle w:val="Compact"/>
            </w:pPr>
          </w:p>
        </w:tc>
        <w:tc>
          <w:tcPr/>
          <w:p>
            <w:pPr>
              <w:pStyle w:val="Compact"/>
            </w:pPr>
          </w:p>
        </w:tc>
        <w:tc>
          <w:tcPr/>
          <w:p>
            <w:pPr>
              <w:pStyle w:val="Compact"/>
            </w:pPr>
          </w:p>
        </w:tc>
      </w:tr>
      <w:tr>
        <w:tc>
          <w:tcPr/>
          <w:p>
            <w:pPr>
              <w:pStyle w:val="Compact"/>
            </w:pPr>
            <w:r>
              <w:t xml:space="preserve">Rationale</w:t>
            </w:r>
          </w:p>
        </w:tc>
        <w:tc>
          <w:tcPr/>
          <w:p>
            <w:pPr>
              <w:pStyle w:val="Compact"/>
            </w:pPr>
            <w:r>
              <w:t xml:space="preserve">3</w:t>
            </w:r>
          </w:p>
        </w:tc>
        <w:tc>
          <w:tcPr/>
          <w:p>
            <w:pPr>
              <w:pStyle w:val="Compact"/>
            </w:pPr>
            <w:r>
              <w:t xml:space="preserve">Describe the rationale for the review in the context of existing knowledge</w:t>
            </w:r>
          </w:p>
        </w:tc>
        <w:tc>
          <w:tcPr/>
          <w:p>
            <w:pPr>
              <w:pStyle w:val="Compact"/>
            </w:pPr>
            <w:r>
              <w:t xml:space="preserve">Section 1, para 1–3</w:t>
            </w:r>
          </w:p>
        </w:tc>
      </w:tr>
      <w:tr>
        <w:tc>
          <w:tcPr/>
          <w:p>
            <w:pPr>
              <w:pStyle w:val="Compact"/>
            </w:pPr>
            <w:r>
              <w:t xml:space="preserve">Objectives</w:t>
            </w:r>
          </w:p>
        </w:tc>
        <w:tc>
          <w:tcPr/>
          <w:p>
            <w:pPr>
              <w:pStyle w:val="Compact"/>
            </w:pPr>
            <w:r>
              <w:t xml:space="preserve">4</w:t>
            </w:r>
          </w:p>
        </w:tc>
        <w:tc>
          <w:tcPr/>
          <w:p>
            <w:pPr>
              <w:pStyle w:val="Compact"/>
            </w:pPr>
            <w:r>
              <w:t xml:space="preserve">Provide an explicit statement of the objectives or questions the review addresses</w:t>
            </w:r>
          </w:p>
        </w:tc>
        <w:tc>
          <w:tcPr/>
          <w:p>
            <w:pPr>
              <w:pStyle w:val="Compact"/>
            </w:pPr>
            <w:r>
              <w:t xml:space="preserve">Section 1, objectives list</w:t>
            </w:r>
          </w:p>
        </w:tc>
      </w:tr>
      <w:tr>
        <w:tc>
          <w:tcPr/>
          <w:p>
            <w:pPr>
              <w:pStyle w:val="Compact"/>
            </w:pPr>
            <w:r>
              <w:rPr>
                <w:b/>
                <w:bCs/>
              </w:rPr>
              <w:t xml:space="preserve">METHODS</w:t>
            </w:r>
          </w:p>
        </w:tc>
        <w:tc>
          <w:tcPr/>
          <w:p>
            <w:pPr>
              <w:pStyle w:val="Compact"/>
            </w:pPr>
          </w:p>
        </w:tc>
        <w:tc>
          <w:tcPr/>
          <w:p>
            <w:pPr>
              <w:pStyle w:val="Compact"/>
            </w:pPr>
          </w:p>
        </w:tc>
        <w:tc>
          <w:tcPr/>
          <w:p>
            <w:pPr>
              <w:pStyle w:val="Compact"/>
            </w:pPr>
          </w:p>
        </w:tc>
      </w:tr>
      <w:tr>
        <w:tc>
          <w:tcPr/>
          <w:p>
            <w:pPr>
              <w:pStyle w:val="Compact"/>
            </w:pPr>
            <w:r>
              <w:t xml:space="preserve">Eligibility criteria</w:t>
            </w:r>
          </w:p>
        </w:tc>
        <w:tc>
          <w:tcPr/>
          <w:p>
            <w:pPr>
              <w:pStyle w:val="Compact"/>
            </w:pPr>
            <w:r>
              <w:t xml:space="preserve">5</w:t>
            </w:r>
          </w:p>
        </w:tc>
        <w:tc>
          <w:tcPr/>
          <w:p>
            <w:pPr>
              <w:pStyle w:val="Compact"/>
            </w:pPr>
            <w:r>
              <w:t xml:space="preserve">Specify inclusion and exclusion criteria for the review</w:t>
            </w:r>
          </w:p>
        </w:tc>
        <w:tc>
          <w:tcPr/>
          <w:p>
            <w:pPr>
              <w:pStyle w:val="Compact"/>
            </w:pPr>
            <w:r>
              <w:t xml:space="preserve">Section 2, Eligibility criteria</w:t>
            </w:r>
          </w:p>
        </w:tc>
      </w:tr>
      <w:tr>
        <w:tc>
          <w:tcPr/>
          <w:p>
            <w:pPr>
              <w:pStyle w:val="Compact"/>
            </w:pPr>
            <w:r>
              <w:t xml:space="preserve">Information sources</w:t>
            </w:r>
          </w:p>
        </w:tc>
        <w:tc>
          <w:tcPr/>
          <w:p>
            <w:pPr>
              <w:pStyle w:val="Compact"/>
            </w:pPr>
            <w:r>
              <w:t xml:space="preserve">6</w:t>
            </w:r>
          </w:p>
        </w:tc>
        <w:tc>
          <w:tcPr/>
          <w:p>
            <w:pPr>
              <w:pStyle w:val="Compact"/>
            </w:pPr>
            <w:r>
              <w:t xml:space="preserve">Specify all databases, registers, websites, and other sources searched</w:t>
            </w:r>
          </w:p>
        </w:tc>
        <w:tc>
          <w:tcPr/>
          <w:p>
            <w:pPr>
              <w:pStyle w:val="Compact"/>
            </w:pPr>
            <w:r>
              <w:t xml:space="preserve">Section 2, Information sources</w:t>
            </w:r>
          </w:p>
        </w:tc>
      </w:tr>
      <w:tr>
        <w:tc>
          <w:tcPr/>
          <w:p>
            <w:pPr>
              <w:pStyle w:val="Compact"/>
            </w:pPr>
            <w:r>
              <w:t xml:space="preserve">Search strategy</w:t>
            </w:r>
          </w:p>
        </w:tc>
        <w:tc>
          <w:tcPr/>
          <w:p>
            <w:pPr>
              <w:pStyle w:val="Compact"/>
            </w:pPr>
            <w:r>
              <w:t xml:space="preserve">7</w:t>
            </w:r>
          </w:p>
        </w:tc>
        <w:tc>
          <w:tcPr/>
          <w:p>
            <w:pPr>
              <w:pStyle w:val="Compact"/>
            </w:pPr>
            <w:r>
              <w:t xml:space="preserve">Present the full search strategies for all databases</w:t>
            </w:r>
          </w:p>
        </w:tc>
        <w:tc>
          <w:tcPr/>
          <w:p>
            <w:pPr>
              <w:pStyle w:val="Compact"/>
            </w:pPr>
            <w:r>
              <w:t xml:space="preserve">Section 2, Search strategy</w:t>
            </w:r>
          </w:p>
        </w:tc>
      </w:tr>
      <w:tr>
        <w:tc>
          <w:tcPr/>
          <w:p>
            <w:pPr>
              <w:pStyle w:val="Compact"/>
            </w:pPr>
            <w:r>
              <w:t xml:space="preserve">Selection process</w:t>
            </w:r>
          </w:p>
        </w:tc>
        <w:tc>
          <w:tcPr/>
          <w:p>
            <w:pPr>
              <w:pStyle w:val="Compact"/>
            </w:pPr>
            <w:r>
              <w:t xml:space="preserve">8</w:t>
            </w:r>
          </w:p>
        </w:tc>
        <w:tc>
          <w:tcPr/>
          <w:p>
            <w:pPr>
              <w:pStyle w:val="Compact"/>
            </w:pPr>
            <w:r>
              <w:t xml:space="preserve">Specify methods used to decide whether a study met inclusion criteria</w:t>
            </w:r>
          </w:p>
        </w:tc>
        <w:tc>
          <w:tcPr/>
          <w:p>
            <w:pPr>
              <w:pStyle w:val="Compact"/>
            </w:pPr>
            <w:r>
              <w:t xml:space="preserve">Section 2, Selection process</w:t>
            </w:r>
          </w:p>
        </w:tc>
      </w:tr>
      <w:tr>
        <w:tc>
          <w:tcPr/>
          <w:p>
            <w:pPr>
              <w:pStyle w:val="Compact"/>
            </w:pPr>
            <w:r>
              <w:t xml:space="preserve">Data collection process</w:t>
            </w:r>
          </w:p>
        </w:tc>
        <w:tc>
          <w:tcPr/>
          <w:p>
            <w:pPr>
              <w:pStyle w:val="Compact"/>
            </w:pPr>
            <w:r>
              <w:t xml:space="preserve">9</w:t>
            </w:r>
          </w:p>
        </w:tc>
        <w:tc>
          <w:tcPr/>
          <w:p>
            <w:pPr>
              <w:pStyle w:val="Compact"/>
            </w:pPr>
            <w:r>
              <w:t xml:space="preserve">Specify methods used to collect data from reports</w:t>
            </w:r>
          </w:p>
        </w:tc>
        <w:tc>
          <w:tcPr/>
          <w:p>
            <w:pPr>
              <w:pStyle w:val="Compact"/>
            </w:pPr>
            <w:r>
              <w:t xml:space="preserve">Section 2, Data extraction</w:t>
            </w:r>
          </w:p>
        </w:tc>
      </w:tr>
      <w:tr>
        <w:tc>
          <w:tcPr/>
          <w:p>
            <w:pPr>
              <w:pStyle w:val="Compact"/>
            </w:pPr>
            <w:r>
              <w:t xml:space="preserve">Data items</w:t>
            </w:r>
          </w:p>
        </w:tc>
        <w:tc>
          <w:tcPr/>
          <w:p>
            <w:pPr>
              <w:pStyle w:val="Compact"/>
            </w:pPr>
            <w:r>
              <w:t xml:space="preserve">10a</w:t>
            </w:r>
          </w:p>
        </w:tc>
        <w:tc>
          <w:tcPr/>
          <w:p>
            <w:pPr>
              <w:pStyle w:val="Compact"/>
            </w:pPr>
            <w:r>
              <w:t xml:space="preserve">List and define all outcomes for which data were sought</w:t>
            </w:r>
          </w:p>
        </w:tc>
        <w:tc>
          <w:tcPr/>
          <w:p>
            <w:pPr>
              <w:pStyle w:val="Compact"/>
            </w:pPr>
            <w:r>
              <w:t xml:space="preserve">Section 2, Data items</w:t>
            </w:r>
          </w:p>
        </w:tc>
      </w:tr>
      <w:tr>
        <w:tc>
          <w:tcPr/>
          <w:p>
            <w:pPr>
              <w:pStyle w:val="Compact"/>
            </w:pPr>
          </w:p>
        </w:tc>
        <w:tc>
          <w:tcPr/>
          <w:p>
            <w:pPr>
              <w:pStyle w:val="Compact"/>
            </w:pPr>
            <w:r>
              <w:t xml:space="preserve">10b</w:t>
            </w:r>
          </w:p>
        </w:tc>
        <w:tc>
          <w:tcPr/>
          <w:p>
            <w:pPr>
              <w:pStyle w:val="Compact"/>
            </w:pPr>
            <w:r>
              <w:t xml:space="preserve">List and define all other variables for which data were sought</w:t>
            </w:r>
          </w:p>
        </w:tc>
        <w:tc>
          <w:tcPr/>
          <w:p>
            <w:pPr>
              <w:pStyle w:val="Compact"/>
            </w:pPr>
            <w:r>
              <w:t xml:space="preserve">Section 2, Data items</w:t>
            </w:r>
          </w:p>
        </w:tc>
      </w:tr>
      <w:tr>
        <w:tc>
          <w:tcPr/>
          <w:p>
            <w:pPr>
              <w:pStyle w:val="Compact"/>
            </w:pPr>
            <w:r>
              <w:t xml:space="preserve">Study risk of bias assessment</w:t>
            </w:r>
          </w:p>
        </w:tc>
        <w:tc>
          <w:tcPr/>
          <w:p>
            <w:pPr>
              <w:pStyle w:val="Compact"/>
            </w:pPr>
            <w:r>
              <w:t xml:space="preserve">11</w:t>
            </w:r>
          </w:p>
        </w:tc>
        <w:tc>
          <w:tcPr/>
          <w:p>
            <w:pPr>
              <w:pStyle w:val="Compact"/>
            </w:pPr>
            <w:r>
              <w:t xml:space="preserve">Specify methods used to assess risk of bias in included studies</w:t>
            </w:r>
          </w:p>
        </w:tc>
        <w:tc>
          <w:tcPr/>
          <w:p>
            <w:pPr>
              <w:pStyle w:val="Compact"/>
            </w:pPr>
            <w:r>
              <w:t xml:space="preserve">Section 2, Quality assessment</w:t>
            </w:r>
          </w:p>
        </w:tc>
      </w:tr>
      <w:tr>
        <w:tc>
          <w:tcPr/>
          <w:p>
            <w:pPr>
              <w:pStyle w:val="Compact"/>
            </w:pPr>
            <w:r>
              <w:t xml:space="preserve">Effect measures</w:t>
            </w:r>
          </w:p>
        </w:tc>
        <w:tc>
          <w:tcPr/>
          <w:p>
            <w:pPr>
              <w:pStyle w:val="Compact"/>
            </w:pPr>
            <w:r>
              <w:t xml:space="preserve">12</w:t>
            </w:r>
          </w:p>
        </w:tc>
        <w:tc>
          <w:tcPr/>
          <w:p>
            <w:pPr>
              <w:pStyle w:val="Compact"/>
            </w:pPr>
            <w:r>
              <w:t xml:space="preserve">Specify for each outcome the effect measure(s) used in synthesis</w:t>
            </w:r>
          </w:p>
        </w:tc>
        <w:tc>
          <w:tcPr/>
          <w:p>
            <w:pPr>
              <w:pStyle w:val="Compact"/>
            </w:pPr>
            <w:r>
              <w:t xml:space="preserve">Section 2 (narrative synthesis)</w:t>
            </w:r>
          </w:p>
        </w:tc>
      </w:tr>
      <w:tr>
        <w:tc>
          <w:tcPr/>
          <w:p>
            <w:pPr>
              <w:pStyle w:val="Compact"/>
            </w:pPr>
            <w:r>
              <w:t xml:space="preserve">Synthesis methods</w:t>
            </w:r>
          </w:p>
        </w:tc>
        <w:tc>
          <w:tcPr/>
          <w:p>
            <w:pPr>
              <w:pStyle w:val="Compact"/>
            </w:pPr>
            <w:r>
              <w:t xml:space="preserve">13a</w:t>
            </w:r>
          </w:p>
        </w:tc>
        <w:tc>
          <w:tcPr/>
          <w:p>
            <w:pPr>
              <w:pStyle w:val="Compact"/>
            </w:pPr>
            <w:r>
              <w:t xml:space="preserve">Describe the processes used to decide which studies were eligible for each synthesis</w:t>
            </w:r>
          </w:p>
        </w:tc>
        <w:tc>
          <w:tcPr/>
          <w:p>
            <w:pPr>
              <w:pStyle w:val="Compact"/>
            </w:pPr>
            <w:r>
              <w:t xml:space="preserve">Section 2, Selection process</w:t>
            </w:r>
          </w:p>
        </w:tc>
      </w:tr>
      <w:tr>
        <w:tc>
          <w:tcPr/>
          <w:p>
            <w:pPr>
              <w:pStyle w:val="Compact"/>
            </w:pPr>
          </w:p>
        </w:tc>
        <w:tc>
          <w:tcPr/>
          <w:p>
            <w:pPr>
              <w:pStyle w:val="Compact"/>
            </w:pPr>
            <w:r>
              <w:t xml:space="preserve">13b</w:t>
            </w:r>
          </w:p>
        </w:tc>
        <w:tc>
          <w:tcPr/>
          <w:p>
            <w:pPr>
              <w:pStyle w:val="Compact"/>
            </w:pPr>
            <w:r>
              <w:t xml:space="preserve">Describe any methods required to prepare the data for presentation or synthesis</w:t>
            </w:r>
          </w:p>
        </w:tc>
        <w:tc>
          <w:tcPr/>
          <w:p>
            <w:pPr>
              <w:pStyle w:val="Compact"/>
            </w:pPr>
            <w:r>
              <w:t xml:space="preserve">Section 2, Data extraction</w:t>
            </w:r>
          </w:p>
        </w:tc>
      </w:tr>
      <w:tr>
        <w:tc>
          <w:tcPr/>
          <w:p>
            <w:pPr>
              <w:pStyle w:val="Compact"/>
            </w:pPr>
          </w:p>
        </w:tc>
        <w:tc>
          <w:tcPr/>
          <w:p>
            <w:pPr>
              <w:pStyle w:val="Compact"/>
            </w:pPr>
            <w:r>
              <w:t xml:space="preserve">13c</w:t>
            </w:r>
          </w:p>
        </w:tc>
        <w:tc>
          <w:tcPr/>
          <w:p>
            <w:pPr>
              <w:pStyle w:val="Compact"/>
            </w:pPr>
            <w:r>
              <w:t xml:space="preserve">Describe any methods used to tabulate or visually display results</w:t>
            </w:r>
          </w:p>
        </w:tc>
        <w:tc>
          <w:tcPr/>
          <w:p>
            <w:pPr>
              <w:pStyle w:val="Compact"/>
            </w:pPr>
            <w:r>
              <w:t xml:space="preserve">Section 2 (PRISMA flow diagram), Results tables</w:t>
            </w:r>
          </w:p>
        </w:tc>
      </w:tr>
      <w:tr>
        <w:tc>
          <w:tcPr/>
          <w:p>
            <w:pPr>
              <w:pStyle w:val="Compact"/>
            </w:pPr>
          </w:p>
        </w:tc>
        <w:tc>
          <w:tcPr/>
          <w:p>
            <w:pPr>
              <w:pStyle w:val="Compact"/>
            </w:pPr>
            <w:r>
              <w:t xml:space="preserve">13d</w:t>
            </w:r>
          </w:p>
        </w:tc>
        <w:tc>
          <w:tcPr/>
          <w:p>
            <w:pPr>
              <w:pStyle w:val="Compact"/>
            </w:pPr>
            <w:r>
              <w:t xml:space="preserve">Describe any methods used to synthesize results and provide a rationale for the choice</w:t>
            </w:r>
          </w:p>
        </w:tc>
        <w:tc>
          <w:tcPr/>
          <w:p>
            <w:pPr>
              <w:pStyle w:val="Compact"/>
            </w:pPr>
            <w:r>
              <w:t xml:space="preserve">Section 2 (thematic narrative synthesis)</w:t>
            </w:r>
          </w:p>
        </w:tc>
      </w:tr>
      <w:tr>
        <w:tc>
          <w:tcPr/>
          <w:p>
            <w:pPr>
              <w:pStyle w:val="Compact"/>
            </w:pPr>
          </w:p>
        </w:tc>
        <w:tc>
          <w:tcPr/>
          <w:p>
            <w:pPr>
              <w:pStyle w:val="Compact"/>
            </w:pPr>
            <w:r>
              <w:t xml:space="preserve">13e</w:t>
            </w:r>
          </w:p>
        </w:tc>
        <w:tc>
          <w:tcPr/>
          <w:p>
            <w:pPr>
              <w:pStyle w:val="Compact"/>
            </w:pPr>
            <w:r>
              <w:t xml:space="preserve">Describe any methods used to explore possible causes of heterogeneity among study results</w:t>
            </w:r>
          </w:p>
        </w:tc>
        <w:tc>
          <w:tcPr/>
          <w:p>
            <w:pPr>
              <w:pStyle w:val="Compact"/>
            </w:pPr>
            <w:r>
              <w:t xml:space="preserve">Section 2 (thematic grouping by treatment modality)</w:t>
            </w:r>
          </w:p>
        </w:tc>
      </w:tr>
      <w:tr>
        <w:tc>
          <w:tcPr/>
          <w:p>
            <w:pPr>
              <w:pStyle w:val="Compact"/>
            </w:pPr>
          </w:p>
        </w:tc>
        <w:tc>
          <w:tcPr/>
          <w:p>
            <w:pPr>
              <w:pStyle w:val="Compact"/>
            </w:pPr>
            <w:r>
              <w:t xml:space="preserve">13f</w:t>
            </w:r>
          </w:p>
        </w:tc>
        <w:tc>
          <w:tcPr/>
          <w:p>
            <w:pPr>
              <w:pStyle w:val="Compact"/>
            </w:pPr>
            <w:r>
              <w:t xml:space="preserve">Describe any sensitivity analyses conducted to assess robustness of the synthesized results</w:t>
            </w:r>
          </w:p>
        </w:tc>
        <w:tc>
          <w:tcPr/>
          <w:p>
            <w:pPr>
              <w:pStyle w:val="Compact"/>
            </w:pPr>
            <w:r>
              <w:t xml:space="preserve">N/A (narrative synthesis)</w:t>
            </w:r>
          </w:p>
        </w:tc>
      </w:tr>
      <w:tr>
        <w:tc>
          <w:tcPr/>
          <w:p>
            <w:pPr>
              <w:pStyle w:val="Compact"/>
            </w:pPr>
            <w:r>
              <w:t xml:space="preserve">Reporting bias assessment</w:t>
            </w:r>
          </w:p>
        </w:tc>
        <w:tc>
          <w:tcPr/>
          <w:p>
            <w:pPr>
              <w:pStyle w:val="Compact"/>
            </w:pPr>
            <w:r>
              <w:t xml:space="preserve">14</w:t>
            </w:r>
          </w:p>
        </w:tc>
        <w:tc>
          <w:tcPr/>
          <w:p>
            <w:pPr>
              <w:pStyle w:val="Compact"/>
            </w:pPr>
            <w:r>
              <w:t xml:space="preserve">Describe any methods used to assess risk of bias due to missing results in a synthesis</w:t>
            </w:r>
          </w:p>
        </w:tc>
        <w:tc>
          <w:tcPr/>
          <w:p>
            <w:pPr>
              <w:pStyle w:val="Compact"/>
            </w:pPr>
            <w:r>
              <w:t xml:space="preserve">Section 8, Strengths and Limitations</w:t>
            </w:r>
          </w:p>
        </w:tc>
      </w:tr>
      <w:tr>
        <w:tc>
          <w:tcPr/>
          <w:p>
            <w:pPr>
              <w:pStyle w:val="Compact"/>
            </w:pPr>
            <w:r>
              <w:t xml:space="preserve">Certainty assessment</w:t>
            </w:r>
          </w:p>
        </w:tc>
        <w:tc>
          <w:tcPr/>
          <w:p>
            <w:pPr>
              <w:pStyle w:val="Compact"/>
            </w:pPr>
            <w:r>
              <w:t xml:space="preserve">15</w:t>
            </w:r>
          </w:p>
        </w:tc>
        <w:tc>
          <w:tcPr/>
          <w:p>
            <w:pPr>
              <w:pStyle w:val="Compact"/>
            </w:pPr>
            <w:r>
              <w:t xml:space="preserve">Describe any methods used to assess certainty in the body of evidence for an outcome</w:t>
            </w:r>
          </w:p>
        </w:tc>
        <w:tc>
          <w:tcPr/>
          <w:p>
            <w:pPr>
              <w:pStyle w:val="Compact"/>
            </w:pPr>
            <w:r>
              <w:t xml:space="preserve">Section 2, Quality assessment; Section 8, GRADE considerations</w:t>
            </w:r>
          </w:p>
        </w:tc>
      </w:tr>
      <w:tr>
        <w:tc>
          <w:tcPr/>
          <w:p>
            <w:pPr>
              <w:pStyle w:val="Compact"/>
            </w:pPr>
            <w:r>
              <w:rPr>
                <w:b/>
                <w:bCs/>
              </w:rPr>
              <w:t xml:space="preserve">RESULTS</w:t>
            </w:r>
          </w:p>
        </w:tc>
        <w:tc>
          <w:tcPr/>
          <w:p>
            <w:pPr>
              <w:pStyle w:val="Compact"/>
            </w:pPr>
          </w:p>
        </w:tc>
        <w:tc>
          <w:tcPr/>
          <w:p>
            <w:pPr>
              <w:pStyle w:val="Compact"/>
            </w:pPr>
          </w:p>
        </w:tc>
        <w:tc>
          <w:tcPr/>
          <w:p>
            <w:pPr>
              <w:pStyle w:val="Compact"/>
            </w:pPr>
          </w:p>
        </w:tc>
      </w:tr>
      <w:tr>
        <w:tc>
          <w:tcPr/>
          <w:p>
            <w:pPr>
              <w:pStyle w:val="Compact"/>
            </w:pPr>
            <w:r>
              <w:t xml:space="preserve">Study selection</w:t>
            </w:r>
          </w:p>
        </w:tc>
        <w:tc>
          <w:tcPr/>
          <w:p>
            <w:pPr>
              <w:pStyle w:val="Compact"/>
            </w:pPr>
            <w:r>
              <w:t xml:space="preserve">16a</w:t>
            </w:r>
          </w:p>
        </w:tc>
        <w:tc>
          <w:tcPr/>
          <w:p>
            <w:pPr>
              <w:pStyle w:val="Compact"/>
            </w:pPr>
            <w:r>
              <w:t xml:space="preserve">Describe the results of the search and selection process, from the number of records identified to the number of studies included, ideally using a flow diagram</w:t>
            </w:r>
          </w:p>
        </w:tc>
        <w:tc>
          <w:tcPr/>
          <w:p>
            <w:pPr>
              <w:pStyle w:val="Compact"/>
            </w:pPr>
            <w:r>
              <w:t xml:space="preserve">Section 2, PRISMA flow diagram</w:t>
            </w:r>
          </w:p>
        </w:tc>
      </w:tr>
      <w:tr>
        <w:tc>
          <w:tcPr/>
          <w:p>
            <w:pPr>
              <w:pStyle w:val="Compact"/>
            </w:pPr>
          </w:p>
        </w:tc>
        <w:tc>
          <w:tcPr/>
          <w:p>
            <w:pPr>
              <w:pStyle w:val="Compact"/>
            </w:pPr>
            <w:r>
              <w:t xml:space="preserve">16b</w:t>
            </w:r>
          </w:p>
        </w:tc>
        <w:tc>
          <w:tcPr/>
          <w:p>
            <w:pPr>
              <w:pStyle w:val="Compact"/>
            </w:pPr>
            <w:r>
              <w:t xml:space="preserve">Cite studies that might appear to meet the inclusion criteria, but which were excluded, and explain why</w:t>
            </w:r>
          </w:p>
        </w:tc>
        <w:tc>
          <w:tcPr/>
          <w:p>
            <w:pPr>
              <w:pStyle w:val="Compact"/>
            </w:pPr>
            <w:r>
              <w:t xml:space="preserve">Section 2 (exclusion categories with counts)</w:t>
            </w:r>
          </w:p>
        </w:tc>
      </w:tr>
      <w:tr>
        <w:tc>
          <w:tcPr/>
          <w:p>
            <w:pPr>
              <w:pStyle w:val="Compact"/>
            </w:pPr>
            <w:r>
              <w:t xml:space="preserve">Study characteristics</w:t>
            </w:r>
          </w:p>
        </w:tc>
        <w:tc>
          <w:tcPr/>
          <w:p>
            <w:pPr>
              <w:pStyle w:val="Compact"/>
            </w:pPr>
            <w:r>
              <w:t xml:space="preserve">17</w:t>
            </w:r>
          </w:p>
        </w:tc>
        <w:tc>
          <w:tcPr/>
          <w:p>
            <w:pPr>
              <w:pStyle w:val="Compact"/>
            </w:pPr>
            <w:r>
              <w:t xml:space="preserve">Cite each included study and present its characteristics</w:t>
            </w:r>
          </w:p>
        </w:tc>
        <w:tc>
          <w:tcPr/>
          <w:p>
            <w:pPr>
              <w:pStyle w:val="Compact"/>
            </w:pPr>
            <w:r>
              <w:t xml:space="preserve">Sections 3–7 (cited throughout)</w:t>
            </w:r>
          </w:p>
        </w:tc>
      </w:tr>
      <w:tr>
        <w:tc>
          <w:tcPr/>
          <w:p>
            <w:pPr>
              <w:pStyle w:val="Compact"/>
            </w:pPr>
            <w:r>
              <w:t xml:space="preserve">Risk of bias in studies</w:t>
            </w:r>
          </w:p>
        </w:tc>
        <w:tc>
          <w:tcPr/>
          <w:p>
            <w:pPr>
              <w:pStyle w:val="Compact"/>
            </w:pPr>
            <w:r>
              <w:t xml:space="preserve">18</w:t>
            </w:r>
          </w:p>
        </w:tc>
        <w:tc>
          <w:tcPr/>
          <w:p>
            <w:pPr>
              <w:pStyle w:val="Compact"/>
            </w:pPr>
            <w:r>
              <w:t xml:space="preserve">Present assessments of risk of bias for each included study</w:t>
            </w:r>
          </w:p>
        </w:tc>
        <w:tc>
          <w:tcPr/>
          <w:p>
            <w:pPr>
              <w:pStyle w:val="Compact"/>
            </w:pPr>
            <w:r>
              <w:t xml:space="preserve">Section 2, Quality assessment</w:t>
            </w:r>
          </w:p>
        </w:tc>
      </w:tr>
      <w:tr>
        <w:tc>
          <w:tcPr/>
          <w:p>
            <w:pPr>
              <w:pStyle w:val="Compact"/>
            </w:pPr>
            <w:r>
              <w:t xml:space="preserve">Results of individual studies</w:t>
            </w:r>
          </w:p>
        </w:tc>
        <w:tc>
          <w:tcPr/>
          <w:p>
            <w:pPr>
              <w:pStyle w:val="Compact"/>
            </w:pPr>
            <w:r>
              <w:t xml:space="preserve">19</w:t>
            </w:r>
          </w:p>
        </w:tc>
        <w:tc>
          <w:tcPr/>
          <w:p>
            <w:pPr>
              <w:pStyle w:val="Compact"/>
            </w:pPr>
            <w:r>
              <w:t xml:space="preserve">For all outcomes, present for each study: summary statistics, effect estimates, and confidence intervals</w:t>
            </w:r>
          </w:p>
        </w:tc>
        <w:tc>
          <w:tcPr/>
          <w:p>
            <w:pPr>
              <w:pStyle w:val="Compact"/>
            </w:pPr>
            <w:r>
              <w:t xml:space="preserve">Sections 3–7 (specific data throughout)</w:t>
            </w:r>
          </w:p>
        </w:tc>
      </w:tr>
      <w:tr>
        <w:tc>
          <w:tcPr/>
          <w:p>
            <w:pPr>
              <w:pStyle w:val="Compact"/>
            </w:pPr>
            <w:r>
              <w:t xml:space="preserve">Results of syntheses</w:t>
            </w:r>
          </w:p>
        </w:tc>
        <w:tc>
          <w:tcPr/>
          <w:p>
            <w:pPr>
              <w:pStyle w:val="Compact"/>
            </w:pPr>
            <w:r>
              <w:t xml:space="preserve">20a</w:t>
            </w:r>
          </w:p>
        </w:tc>
        <w:tc>
          <w:tcPr/>
          <w:p>
            <w:pPr>
              <w:pStyle w:val="Compact"/>
            </w:pPr>
            <w:r>
              <w:t xml:space="preserve">Briefly summarise the characteristics and risk of bias among contributing studies for each synthesis</w:t>
            </w:r>
          </w:p>
        </w:tc>
        <w:tc>
          <w:tcPr/>
          <w:p>
            <w:pPr>
              <w:pStyle w:val="Compact"/>
            </w:pPr>
            <w:r>
              <w:t xml:space="preserve">Sections 3–7 (per-theme summaries)</w:t>
            </w:r>
          </w:p>
        </w:tc>
      </w:tr>
      <w:tr>
        <w:tc>
          <w:tcPr/>
          <w:p>
            <w:pPr>
              <w:pStyle w:val="Compact"/>
            </w:pPr>
          </w:p>
        </w:tc>
        <w:tc>
          <w:tcPr/>
          <w:p>
            <w:pPr>
              <w:pStyle w:val="Compact"/>
            </w:pPr>
            <w:r>
              <w:t xml:space="preserve">20b</w:t>
            </w:r>
          </w:p>
        </w:tc>
        <w:tc>
          <w:tcPr/>
          <w:p>
            <w:pPr>
              <w:pStyle w:val="Compact"/>
            </w:pPr>
            <w:r>
              <w:t xml:space="preserve">Present results of all statistical syntheses conducted</w:t>
            </w:r>
          </w:p>
        </w:tc>
        <w:tc>
          <w:tcPr/>
          <w:p>
            <w:pPr>
              <w:pStyle w:val="Compact"/>
            </w:pPr>
            <w:r>
              <w:t xml:space="preserve">Sections 3–7 (quantitative data cited)</w:t>
            </w:r>
          </w:p>
        </w:tc>
      </w:tr>
      <w:tr>
        <w:tc>
          <w:tcPr/>
          <w:p>
            <w:pPr>
              <w:pStyle w:val="Compact"/>
            </w:pPr>
          </w:p>
        </w:tc>
        <w:tc>
          <w:tcPr/>
          <w:p>
            <w:pPr>
              <w:pStyle w:val="Compact"/>
            </w:pPr>
            <w:r>
              <w:t xml:space="preserve">20c</w:t>
            </w:r>
          </w:p>
        </w:tc>
        <w:tc>
          <w:tcPr/>
          <w:p>
            <w:pPr>
              <w:pStyle w:val="Compact"/>
            </w:pPr>
            <w:r>
              <w:t xml:space="preserve">Present results of any investigations of possible causes of heterogeneity</w:t>
            </w:r>
          </w:p>
        </w:tc>
        <w:tc>
          <w:tcPr/>
          <w:p>
            <w:pPr>
              <w:pStyle w:val="Compact"/>
            </w:pPr>
            <w:r>
              <w:t xml:space="preserve">Sections 3–7 (thematic grouping)</w:t>
            </w:r>
          </w:p>
        </w:tc>
      </w:tr>
      <w:tr>
        <w:tc>
          <w:tcPr/>
          <w:p>
            <w:pPr>
              <w:pStyle w:val="Compact"/>
            </w:pPr>
          </w:p>
        </w:tc>
        <w:tc>
          <w:tcPr/>
          <w:p>
            <w:pPr>
              <w:pStyle w:val="Compact"/>
            </w:pPr>
            <w:r>
              <w:t xml:space="preserve">20d</w:t>
            </w:r>
          </w:p>
        </w:tc>
        <w:tc>
          <w:tcPr/>
          <w:p>
            <w:pPr>
              <w:pStyle w:val="Compact"/>
            </w:pPr>
            <w:r>
              <w:t xml:space="preserve">Present results of any sensitivity analyses</w:t>
            </w:r>
          </w:p>
        </w:tc>
        <w:tc>
          <w:tcPr/>
          <w:p>
            <w:pPr>
              <w:pStyle w:val="Compact"/>
            </w:pPr>
            <w:r>
              <w:t xml:space="preserve">N/A (narrative synthesis)</w:t>
            </w:r>
          </w:p>
        </w:tc>
      </w:tr>
      <w:tr>
        <w:tc>
          <w:tcPr/>
          <w:p>
            <w:pPr>
              <w:pStyle w:val="Compact"/>
            </w:pPr>
            <w:r>
              <w:t xml:space="preserve">Reporting biases</w:t>
            </w:r>
          </w:p>
        </w:tc>
        <w:tc>
          <w:tcPr/>
          <w:p>
            <w:pPr>
              <w:pStyle w:val="Compact"/>
            </w:pPr>
            <w:r>
              <w:t xml:space="preserve">21</w:t>
            </w:r>
          </w:p>
        </w:tc>
        <w:tc>
          <w:tcPr/>
          <w:p>
            <w:pPr>
              <w:pStyle w:val="Compact"/>
            </w:pPr>
            <w:r>
              <w:t xml:space="preserve">Present assessments of risk of bias due to missing results for each synthesis</w:t>
            </w:r>
          </w:p>
        </w:tc>
        <w:tc>
          <w:tcPr/>
          <w:p>
            <w:pPr>
              <w:pStyle w:val="Compact"/>
            </w:pPr>
            <w:r>
              <w:t xml:space="preserve">Section 8, Strengths and Limitations</w:t>
            </w:r>
          </w:p>
        </w:tc>
      </w:tr>
      <w:tr>
        <w:tc>
          <w:tcPr/>
          <w:p>
            <w:pPr>
              <w:pStyle w:val="Compact"/>
            </w:pPr>
            <w:r>
              <w:t xml:space="preserve">Certainty of evidence</w:t>
            </w:r>
          </w:p>
        </w:tc>
        <w:tc>
          <w:tcPr/>
          <w:p>
            <w:pPr>
              <w:pStyle w:val="Compact"/>
            </w:pPr>
            <w:r>
              <w:t xml:space="preserve">22</w:t>
            </w:r>
          </w:p>
        </w:tc>
        <w:tc>
          <w:tcPr/>
          <w:p>
            <w:pPr>
              <w:pStyle w:val="Compact"/>
            </w:pPr>
            <w:r>
              <w:t xml:space="preserve">Present assessments of certainty in the body of evidence for each outcome assessed</w:t>
            </w:r>
          </w:p>
        </w:tc>
        <w:tc>
          <w:tcPr/>
          <w:p>
            <w:pPr>
              <w:pStyle w:val="Compact"/>
            </w:pPr>
            <w:r>
              <w:t xml:space="preserve">Section 8, Strengths and Limitations</w:t>
            </w:r>
          </w:p>
        </w:tc>
      </w:tr>
      <w:tr>
        <w:tc>
          <w:tcPr/>
          <w:p>
            <w:pPr>
              <w:pStyle w:val="Compact"/>
            </w:pPr>
            <w:r>
              <w:rPr>
                <w:b/>
                <w:bCs/>
              </w:rPr>
              <w:t xml:space="preserve">DISCUSSION</w:t>
            </w:r>
          </w:p>
        </w:tc>
        <w:tc>
          <w:tcPr/>
          <w:p>
            <w:pPr>
              <w:pStyle w:val="Compact"/>
            </w:pPr>
          </w:p>
        </w:tc>
        <w:tc>
          <w:tcPr/>
          <w:p>
            <w:pPr>
              <w:pStyle w:val="Compact"/>
            </w:pPr>
          </w:p>
        </w:tc>
        <w:tc>
          <w:tcPr/>
          <w:p>
            <w:pPr>
              <w:pStyle w:val="Compact"/>
            </w:pPr>
          </w:p>
        </w:tc>
      </w:tr>
      <w:tr>
        <w:tc>
          <w:tcPr/>
          <w:p>
            <w:pPr>
              <w:pStyle w:val="Compact"/>
            </w:pPr>
            <w:r>
              <w:t xml:space="preserve">Discussion</w:t>
            </w:r>
          </w:p>
        </w:tc>
        <w:tc>
          <w:tcPr/>
          <w:p>
            <w:pPr>
              <w:pStyle w:val="Compact"/>
            </w:pPr>
            <w:r>
              <w:t xml:space="preserve">23a</w:t>
            </w:r>
          </w:p>
        </w:tc>
        <w:tc>
          <w:tcPr/>
          <w:p>
            <w:pPr>
              <w:pStyle w:val="Compact"/>
            </w:pPr>
            <w:r>
              <w:t xml:space="preserve">Provide a general interpretation of the results in the context of other evidence</w:t>
            </w:r>
          </w:p>
        </w:tc>
        <w:tc>
          <w:tcPr/>
          <w:p>
            <w:pPr>
              <w:pStyle w:val="Compact"/>
            </w:pPr>
            <w:r>
              <w:t xml:space="preserve">Section 8, Synthesis of Evidence</w:t>
            </w:r>
          </w:p>
        </w:tc>
      </w:tr>
      <w:tr>
        <w:tc>
          <w:tcPr/>
          <w:p>
            <w:pPr>
              <w:pStyle w:val="Compact"/>
            </w:pPr>
          </w:p>
        </w:tc>
        <w:tc>
          <w:tcPr/>
          <w:p>
            <w:pPr>
              <w:pStyle w:val="Compact"/>
            </w:pPr>
            <w:r>
              <w:t xml:space="preserve">23b</w:t>
            </w:r>
          </w:p>
        </w:tc>
        <w:tc>
          <w:tcPr/>
          <w:p>
            <w:pPr>
              <w:pStyle w:val="Compact"/>
            </w:pPr>
            <w:r>
              <w:t xml:space="preserve">Discuss any limitations of the evidence included in the review</w:t>
            </w:r>
          </w:p>
        </w:tc>
        <w:tc>
          <w:tcPr/>
          <w:p>
            <w:pPr>
              <w:pStyle w:val="Compact"/>
            </w:pPr>
            <w:r>
              <w:t xml:space="preserve">Section 8, Strengths and Limitations</w:t>
            </w:r>
          </w:p>
        </w:tc>
      </w:tr>
      <w:tr>
        <w:tc>
          <w:tcPr/>
          <w:p>
            <w:pPr>
              <w:pStyle w:val="Compact"/>
            </w:pPr>
          </w:p>
        </w:tc>
        <w:tc>
          <w:tcPr/>
          <w:p>
            <w:pPr>
              <w:pStyle w:val="Compact"/>
            </w:pPr>
            <w:r>
              <w:t xml:space="preserve">23c</w:t>
            </w:r>
          </w:p>
        </w:tc>
        <w:tc>
          <w:tcPr/>
          <w:p>
            <w:pPr>
              <w:pStyle w:val="Compact"/>
            </w:pPr>
            <w:r>
              <w:t xml:space="preserve">Discuss any limitations of the review processes used</w:t>
            </w:r>
          </w:p>
        </w:tc>
        <w:tc>
          <w:tcPr/>
          <w:p>
            <w:pPr>
              <w:pStyle w:val="Compact"/>
            </w:pPr>
            <w:r>
              <w:t xml:space="preserve">Section 8, Strengths and Limitations</w:t>
            </w:r>
          </w:p>
        </w:tc>
      </w:tr>
      <w:tr>
        <w:tc>
          <w:tcPr/>
          <w:p>
            <w:pPr>
              <w:pStyle w:val="Compact"/>
            </w:pPr>
          </w:p>
        </w:tc>
        <w:tc>
          <w:tcPr/>
          <w:p>
            <w:pPr>
              <w:pStyle w:val="Compact"/>
            </w:pPr>
            <w:r>
              <w:t xml:space="preserve">23d</w:t>
            </w:r>
          </w:p>
        </w:tc>
        <w:tc>
          <w:tcPr/>
          <w:p>
            <w:pPr>
              <w:pStyle w:val="Compact"/>
            </w:pPr>
            <w:r>
              <w:t xml:space="preserve">Discuss implications of the results for practice, policy, and future research</w:t>
            </w:r>
          </w:p>
        </w:tc>
        <w:tc>
          <w:tcPr/>
          <w:p>
            <w:pPr>
              <w:pStyle w:val="Compact"/>
            </w:pPr>
            <w:r>
              <w:t xml:space="preserve">Section 8, Future Directions; Conclusion</w:t>
            </w:r>
          </w:p>
        </w:tc>
      </w:tr>
      <w:tr>
        <w:tc>
          <w:tcPr/>
          <w:p>
            <w:pPr>
              <w:pStyle w:val="Compact"/>
            </w:pPr>
            <w:r>
              <w:rPr>
                <w:b/>
                <w:bCs/>
              </w:rPr>
              <w:t xml:space="preserve">OTHER INFORMATION</w:t>
            </w:r>
          </w:p>
        </w:tc>
        <w:tc>
          <w:tcPr/>
          <w:p>
            <w:pPr>
              <w:pStyle w:val="Compact"/>
            </w:pPr>
          </w:p>
        </w:tc>
        <w:tc>
          <w:tcPr/>
          <w:p>
            <w:pPr>
              <w:pStyle w:val="Compact"/>
            </w:pPr>
          </w:p>
        </w:tc>
        <w:tc>
          <w:tcPr/>
          <w:p>
            <w:pPr>
              <w:pStyle w:val="Compact"/>
            </w:pPr>
          </w:p>
        </w:tc>
      </w:tr>
      <w:tr>
        <w:tc>
          <w:tcPr/>
          <w:p>
            <w:pPr>
              <w:pStyle w:val="Compact"/>
            </w:pPr>
            <w:r>
              <w:t xml:space="preserve">Registration and protocol</w:t>
            </w:r>
          </w:p>
        </w:tc>
        <w:tc>
          <w:tcPr/>
          <w:p>
            <w:pPr>
              <w:pStyle w:val="Compact"/>
            </w:pPr>
            <w:r>
              <w:t xml:space="preserve">24a</w:t>
            </w:r>
          </w:p>
        </w:tc>
        <w:tc>
          <w:tcPr/>
          <w:p>
            <w:pPr>
              <w:pStyle w:val="Compact"/>
            </w:pPr>
            <w:r>
              <w:t xml:space="preserve">Provide registration information for the review, or state that the review was not registered</w:t>
            </w:r>
          </w:p>
        </w:tc>
        <w:tc>
          <w:tcPr/>
          <w:p>
            <w:pPr>
              <w:pStyle w:val="Compact"/>
            </w:pPr>
            <w:r>
              <w:t xml:space="preserve">Not registered</w:t>
            </w:r>
          </w:p>
        </w:tc>
      </w:tr>
      <w:tr>
        <w:tc>
          <w:tcPr/>
          <w:p>
            <w:pPr>
              <w:pStyle w:val="Compact"/>
            </w:pPr>
          </w:p>
        </w:tc>
        <w:tc>
          <w:tcPr/>
          <w:p>
            <w:pPr>
              <w:pStyle w:val="Compact"/>
            </w:pPr>
            <w:r>
              <w:t xml:space="preserve">24b</w:t>
            </w:r>
          </w:p>
        </w:tc>
        <w:tc>
          <w:tcPr/>
          <w:p>
            <w:pPr>
              <w:pStyle w:val="Compact"/>
            </w:pPr>
            <w:r>
              <w:t xml:space="preserve">Indicate where the review protocol can be accessed, or state that a protocol was not prepared</w:t>
            </w:r>
          </w:p>
        </w:tc>
        <w:tc>
          <w:tcPr/>
          <w:p>
            <w:pPr>
              <w:pStyle w:val="Compact"/>
            </w:pPr>
            <w:r>
              <w:t xml:space="preserve">Protocol not prepared</w:t>
            </w:r>
          </w:p>
        </w:tc>
      </w:tr>
      <w:tr>
        <w:tc>
          <w:tcPr/>
          <w:p>
            <w:pPr>
              <w:pStyle w:val="Compact"/>
            </w:pPr>
          </w:p>
        </w:tc>
        <w:tc>
          <w:tcPr/>
          <w:p>
            <w:pPr>
              <w:pStyle w:val="Compact"/>
            </w:pPr>
            <w:r>
              <w:t xml:space="preserve">24c</w:t>
            </w:r>
          </w:p>
        </w:tc>
        <w:tc>
          <w:tcPr/>
          <w:p>
            <w:pPr>
              <w:pStyle w:val="Compact"/>
            </w:pPr>
            <w:r>
              <w:t xml:space="preserve">Describe and explain any amendments to information provided at registration or in the protocol</w:t>
            </w:r>
          </w:p>
        </w:tc>
        <w:tc>
          <w:tcPr/>
          <w:p>
            <w:pPr>
              <w:pStyle w:val="Compact"/>
            </w:pPr>
            <w:r>
              <w:t xml:space="preserve">N/A</w:t>
            </w:r>
          </w:p>
        </w:tc>
      </w:tr>
      <w:tr>
        <w:tc>
          <w:tcPr/>
          <w:p>
            <w:pPr>
              <w:pStyle w:val="Compact"/>
            </w:pPr>
            <w:r>
              <w:t xml:space="preserve">Support</w:t>
            </w:r>
          </w:p>
        </w:tc>
        <w:tc>
          <w:tcPr/>
          <w:p>
            <w:pPr>
              <w:pStyle w:val="Compact"/>
            </w:pPr>
            <w:r>
              <w:t xml:space="preserve">25</w:t>
            </w:r>
          </w:p>
        </w:tc>
        <w:tc>
          <w:tcPr/>
          <w:p>
            <w:pPr>
              <w:pStyle w:val="Compact"/>
            </w:pPr>
            <w:r>
              <w:t xml:space="preserve">Describe sources of financial or non-financial support for the review, and the role of the funders</w:t>
            </w:r>
          </w:p>
        </w:tc>
        <w:tc>
          <w:tcPr/>
          <w:p>
            <w:pPr>
              <w:pStyle w:val="Compact"/>
            </w:pPr>
            <w:r>
              <w:t xml:space="preserve">No external funding</w:t>
            </w:r>
          </w:p>
        </w:tc>
      </w:tr>
      <w:tr>
        <w:tc>
          <w:tcPr/>
          <w:p>
            <w:pPr>
              <w:pStyle w:val="Compact"/>
            </w:pPr>
            <w:r>
              <w:t xml:space="preserve">Competing interests</w:t>
            </w:r>
          </w:p>
        </w:tc>
        <w:tc>
          <w:tcPr/>
          <w:p>
            <w:pPr>
              <w:pStyle w:val="Compact"/>
            </w:pPr>
            <w:r>
              <w:t xml:space="preserve">26</w:t>
            </w:r>
          </w:p>
        </w:tc>
        <w:tc>
          <w:tcPr/>
          <w:p>
            <w:pPr>
              <w:pStyle w:val="Compact"/>
            </w:pPr>
            <w:r>
              <w:t xml:space="preserve">Declare any competing interests of review authors</w:t>
            </w:r>
          </w:p>
        </w:tc>
        <w:tc>
          <w:tcPr/>
          <w:p>
            <w:pPr>
              <w:pStyle w:val="Compact"/>
            </w:pPr>
            <w:r>
              <w:t xml:space="preserve">No competing interests</w:t>
            </w:r>
          </w:p>
        </w:tc>
      </w:tr>
      <w:tr>
        <w:tc>
          <w:tcPr/>
          <w:p>
            <w:pPr>
              <w:pStyle w:val="Compact"/>
            </w:pPr>
            <w:r>
              <w:t xml:space="preserve">Availability of data, code, and other materials</w:t>
            </w:r>
          </w:p>
        </w:tc>
        <w:tc>
          <w:tcPr/>
          <w:p>
            <w:pPr>
              <w:pStyle w:val="Compact"/>
            </w:pPr>
            <w:r>
              <w:t xml:space="preserve">27</w:t>
            </w:r>
          </w:p>
        </w:tc>
        <w:tc>
          <w:tcPr/>
          <w:p>
            <w:pPr>
              <w:pStyle w:val="Compact"/>
            </w:pPr>
            <w:r>
              <w:t xml:space="preserve">Report which of the following are publicly available and where they can be found: template data collection forms; data extracted from included studies; data used for analyses; analytic code; any other materials used in the review</w:t>
            </w:r>
          </w:p>
        </w:tc>
        <w:tc>
          <w:tcPr/>
          <w:p>
            <w:pPr>
              <w:pStyle w:val="Compact"/>
            </w:pPr>
            <w:r>
              <w:t xml:space="preserve">All code, search results, and rendered outputs are publicly available at</w:t>
            </w:r>
            <w:r>
              <w:t xml:space="preserve"> </w:t>
            </w:r>
            <w:hyperlink r:id="rId68">
              <w:r>
                <w:rPr>
                  <w:rStyle w:val="Hyperlink"/>
                </w:rPr>
                <w:t xml:space="preserve">https://github.com/htlin222/robust-lit-review</w:t>
              </w:r>
            </w:hyperlink>
          </w:p>
        </w:tc>
      </w:tr>
    </w:tbl>
    <w:p>
      <w:pPr>
        <w:pStyle w:val="BodyText"/>
      </w:pPr>
      <w:r>
        <w:rPr>
          <w:i/>
          <w:iCs/>
        </w:rPr>
        <w:t xml:space="preserve">Checklist adapted from: Page MJ, McKenzie JE, Bossuyt PM, et al. The PRISMA 2020 statement: an updated guideline for reporting systematic reviews. BMJ. 2021;372:n71.</w:t>
      </w:r>
    </w:p>
    <w:bookmarkEnd w:id="69"/>
    <w:bookmarkStart w:id="164" w:name="references"/>
    <w:p>
      <w:pPr>
        <w:pStyle w:val="Heading1"/>
      </w:pPr>
      <w:r>
        <w:t xml:space="preserve">11. References</w:t>
      </w:r>
    </w:p>
    <w:bookmarkStart w:id="163" w:name="refs"/>
    <w:bookmarkStart w:id="71" w:name="ref-Li2018Diffuse"/>
    <w:p>
      <w:pPr>
        <w:pStyle w:val="Bibliography"/>
      </w:pPr>
      <w:r>
        <w:t xml:space="preserve">1.</w:t>
      </w:r>
      <w:r>
        <w:t xml:space="preserve"> </w:t>
      </w:r>
      <w:r>
        <w:t xml:space="preserve">	</w:t>
      </w:r>
      <w:r>
        <w:t xml:space="preserve">Li S. Diffuse large b-cell lymphoma.</w:t>
      </w:r>
      <w:r>
        <w:t xml:space="preserve"> </w:t>
      </w:r>
      <w:r>
        <w:rPr>
          <w:i/>
          <w:iCs/>
        </w:rPr>
        <w:t xml:space="preserve">Pathology</w:t>
      </w:r>
      <w:r>
        <w:t xml:space="preserve">. 2018;50(1):74-87. doi:</w:t>
      </w:r>
      <w:hyperlink r:id="rId70">
        <w:r>
          <w:rPr>
            <w:rStyle w:val="Hyperlink"/>
          </w:rPr>
          <w:t xml:space="preserve">10.1016/j.pathol.2017.09.006</w:t>
        </w:r>
      </w:hyperlink>
    </w:p>
    <w:bookmarkEnd w:id="71"/>
    <w:bookmarkStart w:id="73" w:name="ref-SusanibarAdaniya2021"/>
    <w:p>
      <w:pPr>
        <w:pStyle w:val="Bibliography"/>
      </w:pPr>
      <w:r>
        <w:t xml:space="preserve">2.</w:t>
      </w:r>
      <w:r>
        <w:t xml:space="preserve"> </w:t>
      </w:r>
      <w:r>
        <w:t xml:space="preserve">	</w:t>
      </w:r>
      <w:r>
        <w:t xml:space="preserve">Susanibar-Adaniya S. 2021 update on diffuse large b cell lymphoma: A review of current data and potential applications on risk stratification and management.</w:t>
      </w:r>
      <w:r>
        <w:t xml:space="preserve"> </w:t>
      </w:r>
      <w:r>
        <w:rPr>
          <w:i/>
          <w:iCs/>
        </w:rPr>
        <w:t xml:space="preserve">American Journal of Hematology</w:t>
      </w:r>
      <w:r>
        <w:t xml:space="preserve">. 2021;96(5):617-629. doi:</w:t>
      </w:r>
      <w:hyperlink r:id="rId72">
        <w:r>
          <w:rPr>
            <w:rStyle w:val="Hyperlink"/>
          </w:rPr>
          <w:t xml:space="preserve">10.1002/ajh.26151</w:t>
        </w:r>
      </w:hyperlink>
    </w:p>
    <w:bookmarkEnd w:id="73"/>
    <w:bookmarkStart w:id="74" w:name="ref-Lewis2020Lymphoma"/>
    <w:p>
      <w:pPr>
        <w:pStyle w:val="Bibliography"/>
      </w:pPr>
      <w:r>
        <w:t xml:space="preserve">3.</w:t>
      </w:r>
      <w:r>
        <w:t xml:space="preserve"> </w:t>
      </w:r>
      <w:r>
        <w:t xml:space="preserve">	</w:t>
      </w:r>
      <w:r>
        <w:t xml:space="preserve">Lewis W. D. Lymphoma: Diagnosis and treatment.</w:t>
      </w:r>
      <w:r>
        <w:t xml:space="preserve"> </w:t>
      </w:r>
      <w:r>
        <w:rPr>
          <w:i/>
          <w:iCs/>
        </w:rPr>
        <w:t xml:space="preserve">American Family Physician</w:t>
      </w:r>
      <w:r>
        <w:t xml:space="preserve">. 2020;101(1):34-41.</w:t>
      </w:r>
    </w:p>
    <w:bookmarkEnd w:id="74"/>
    <w:bookmarkStart w:id="76" w:name="ref-Coiffier2016Diffuse"/>
    <w:p>
      <w:pPr>
        <w:pStyle w:val="Bibliography"/>
      </w:pPr>
      <w:r>
        <w:t xml:space="preserve">4.</w:t>
      </w:r>
      <w:r>
        <w:t xml:space="preserve"> </w:t>
      </w:r>
      <w:r>
        <w:t xml:space="preserve">	</w:t>
      </w:r>
      <w:r>
        <w:t xml:space="preserve">Coiffier B. Diffuse large b-cell lymphoma: R-CHOP failure-what to do?</w:t>
      </w:r>
      <w:r>
        <w:t xml:space="preserve"> </w:t>
      </w:r>
      <w:r>
        <w:rPr>
          <w:i/>
          <w:iCs/>
        </w:rPr>
        <w:t xml:space="preserve">Hematology</w:t>
      </w:r>
      <w:r>
        <w:t xml:space="preserve">. 2016;2016(1):366-378. doi:</w:t>
      </w:r>
      <w:hyperlink r:id="rId75">
        <w:r>
          <w:rPr>
            <w:rStyle w:val="Hyperlink"/>
          </w:rPr>
          <w:t xml:space="preserve">10.1182/asheducation-2016.1.366</w:t>
        </w:r>
      </w:hyperlink>
    </w:p>
    <w:bookmarkEnd w:id="76"/>
    <w:bookmarkStart w:id="78" w:name="ref-Bartlett2019Doseadjusted"/>
    <w:p>
      <w:pPr>
        <w:pStyle w:val="Bibliography"/>
      </w:pPr>
      <w:r>
        <w:t xml:space="preserve">5.</w:t>
      </w:r>
      <w:r>
        <w:t xml:space="preserve"> </w:t>
      </w:r>
      <w:r>
        <w:t xml:space="preserve">	</w:t>
      </w:r>
      <w:r>
        <w:t xml:space="preserve">Bartlett N. L. Dose-adjusted EPOCH-r compared with r-CHOP as frontline therapy for diffuse large b-cell lymphoma: Clinical outcomes of the phase III intergroup trial alliance/CALGB 50303.</w:t>
      </w:r>
      <w:r>
        <w:t xml:space="preserve"> </w:t>
      </w:r>
      <w:r>
        <w:rPr>
          <w:i/>
          <w:iCs/>
        </w:rPr>
        <w:t xml:space="preserve">Journal of Clinical Oncology</w:t>
      </w:r>
      <w:r>
        <w:t xml:space="preserve">. 2019;37(21):1790-1799. doi:</w:t>
      </w:r>
      <w:hyperlink r:id="rId77">
        <w:r>
          <w:rPr>
            <w:rStyle w:val="Hyperlink"/>
          </w:rPr>
          <w:t xml:space="preserve">10.1200/JCO.18.01994</w:t>
        </w:r>
      </w:hyperlink>
    </w:p>
    <w:bookmarkEnd w:id="78"/>
    <w:bookmarkStart w:id="80" w:name="ref-Jakobsen2017Minimal"/>
    <w:p>
      <w:pPr>
        <w:pStyle w:val="Bibliography"/>
      </w:pPr>
      <w:r>
        <w:t xml:space="preserve">6.</w:t>
      </w:r>
      <w:r>
        <w:t xml:space="preserve"> </w:t>
      </w:r>
      <w:r>
        <w:t xml:space="preserve">	</w:t>
      </w:r>
      <w:r>
        <w:t xml:space="preserve">Jakobsen L. H. Minimal loss of lifetime for patients with diffuse large b-cell lymphoma in remission and event free 24 months after treatment: A danish population-based study.</w:t>
      </w:r>
      <w:r>
        <w:t xml:space="preserve"> </w:t>
      </w:r>
      <w:r>
        <w:rPr>
          <w:i/>
          <w:iCs/>
        </w:rPr>
        <w:t xml:space="preserve">Journal of Clinical Oncology</w:t>
      </w:r>
      <w:r>
        <w:t xml:space="preserve">. 2017;35(7):778-784. doi:</w:t>
      </w:r>
      <w:hyperlink r:id="rId79">
        <w:r>
          <w:rPr>
            <w:rStyle w:val="Hyperlink"/>
          </w:rPr>
          <w:t xml:space="preserve">10.1200/JCO.2016.70.0765</w:t>
        </w:r>
      </w:hyperlink>
    </w:p>
    <w:bookmarkEnd w:id="80"/>
    <w:bookmarkStart w:id="82" w:name="ref-Crump2017Outcomes"/>
    <w:p>
      <w:pPr>
        <w:pStyle w:val="Bibliography"/>
      </w:pPr>
      <w:r>
        <w:t xml:space="preserve">7.</w:t>
      </w:r>
      <w:r>
        <w:t xml:space="preserve"> </w:t>
      </w:r>
      <w:r>
        <w:t xml:space="preserve">	</w:t>
      </w:r>
      <w:r>
        <w:t xml:space="preserve">Crump M. Outcomes in refractory diffuse large b-cell lymphoma: Results from the international SCHOLAR-1 study.</w:t>
      </w:r>
      <w:r>
        <w:t xml:space="preserve"> </w:t>
      </w:r>
      <w:r>
        <w:rPr>
          <w:i/>
          <w:iCs/>
        </w:rPr>
        <w:t xml:space="preserve">Blood</w:t>
      </w:r>
      <w:r>
        <w:t xml:space="preserve">. 2017;130(16):1800-1808. doi:</w:t>
      </w:r>
      <w:hyperlink r:id="rId81">
        <w:r>
          <w:rPr>
            <w:rStyle w:val="Hyperlink"/>
          </w:rPr>
          <w:t xml:space="preserve">10.1182/blood-2017-03-769620</w:t>
        </w:r>
      </w:hyperlink>
    </w:p>
    <w:bookmarkEnd w:id="82"/>
    <w:bookmarkStart w:id="84" w:name="ref-Vitolo2017Obinutuzumab"/>
    <w:p>
      <w:pPr>
        <w:pStyle w:val="Bibliography"/>
      </w:pPr>
      <w:r>
        <w:t xml:space="preserve">8.</w:t>
      </w:r>
      <w:r>
        <w:t xml:space="preserve"> </w:t>
      </w:r>
      <w:r>
        <w:t xml:space="preserve">	</w:t>
      </w:r>
      <w:r>
        <w:t xml:space="preserve">Vitolo U. Obinutuzumab or rituximab plus cyclophosphamide, doxorubicin, vincristine, and prednisone in previously untreated diffuse large b-cell lymphoma.</w:t>
      </w:r>
      <w:r>
        <w:t xml:space="preserve"> </w:t>
      </w:r>
      <w:r>
        <w:rPr>
          <w:i/>
          <w:iCs/>
        </w:rPr>
        <w:t xml:space="preserve">Journal of Clinical Oncology</w:t>
      </w:r>
      <w:r>
        <w:t xml:space="preserve">. 2017;35(31):3529-3537. doi:</w:t>
      </w:r>
      <w:hyperlink r:id="rId83">
        <w:r>
          <w:rPr>
            <w:rStyle w:val="Hyperlink"/>
          </w:rPr>
          <w:t xml:space="preserve">10.1200/JCO.2017.73.3402</w:t>
        </w:r>
      </w:hyperlink>
    </w:p>
    <w:bookmarkEnd w:id="84"/>
    <w:bookmarkStart w:id="86" w:name="ref-Chiappella2017Rituximabdosedense"/>
    <w:p>
      <w:pPr>
        <w:pStyle w:val="Bibliography"/>
      </w:pPr>
      <w:r>
        <w:t xml:space="preserve">9.</w:t>
      </w:r>
      <w:r>
        <w:t xml:space="preserve"> </w:t>
      </w:r>
      <w:r>
        <w:t xml:space="preserve">	</w:t>
      </w:r>
      <w:r>
        <w:t xml:space="preserve">Chiappella A. Rituximab-dose-dense chemotherapy with or without high-dose chemotherapy plus autologous stem-cell transplantation in high-risk diffuse large b-cell lymphoma (DLCL04): Final results of a multicentre, open-label, randomised, controlled, phase 3 study.</w:t>
      </w:r>
      <w:r>
        <w:t xml:space="preserve"> </w:t>
      </w:r>
      <w:r>
        <w:rPr>
          <w:i/>
          <w:iCs/>
        </w:rPr>
        <w:t xml:space="preserve">Lancet Oncology</w:t>
      </w:r>
      <w:r>
        <w:t xml:space="preserve">. 2017;18(8):1076-1088. doi:</w:t>
      </w:r>
      <w:hyperlink r:id="rId85">
        <w:r>
          <w:rPr>
            <w:rStyle w:val="Hyperlink"/>
          </w:rPr>
          <w:t xml:space="preserve">10.1016/S1470-2045(17)30444-8</w:t>
        </w:r>
      </w:hyperlink>
    </w:p>
    <w:bookmarkEnd w:id="86"/>
    <w:bookmarkStart w:id="88" w:name="ref-Poeschel2019Four"/>
    <w:p>
      <w:pPr>
        <w:pStyle w:val="Bibliography"/>
      </w:pPr>
      <w:r>
        <w:t xml:space="preserve">10.</w:t>
      </w:r>
      <w:r>
        <w:t xml:space="preserve"> </w:t>
      </w:r>
      <w:r>
        <w:t xml:space="preserve">	</w:t>
      </w:r>
      <w:r>
        <w:t xml:space="preserve">Poeschel V. Four versus six cycles of CHOP chemotherapy in combination with six applications of rituximab in patients with aggressive b-cell lymphoma with favourable prognosis (FLYER): A randomised, phase 3, non-inferiority trial.</w:t>
      </w:r>
      <w:r>
        <w:t xml:space="preserve"> </w:t>
      </w:r>
      <w:r>
        <w:rPr>
          <w:i/>
          <w:iCs/>
        </w:rPr>
        <w:t xml:space="preserve">Lancet</w:t>
      </w:r>
      <w:r>
        <w:t xml:space="preserve">. 2019;394(10216):2271-2281. doi:</w:t>
      </w:r>
      <w:hyperlink r:id="rId87">
        <w:r>
          <w:rPr>
            <w:rStyle w:val="Hyperlink"/>
          </w:rPr>
          <w:t xml:space="preserve">10.1016/S0140-6736(19)33008-9</w:t>
        </w:r>
      </w:hyperlink>
    </w:p>
    <w:bookmarkEnd w:id="88"/>
    <w:bookmarkStart w:id="90" w:name="ref-Lacy2020Targeted"/>
    <w:p>
      <w:pPr>
        <w:pStyle w:val="Bibliography"/>
      </w:pPr>
      <w:r>
        <w:t xml:space="preserve">11.</w:t>
      </w:r>
      <w:r>
        <w:t xml:space="preserve"> </w:t>
      </w:r>
      <w:r>
        <w:t xml:space="preserve">	</w:t>
      </w:r>
      <w:r>
        <w:t xml:space="preserve">Lacy S. E. Targeted sequencing in DLBCL, molecular subtypes, and outcomes: A haematological malignancy research network report.</w:t>
      </w:r>
      <w:r>
        <w:t xml:space="preserve"> </w:t>
      </w:r>
      <w:r>
        <w:rPr>
          <w:i/>
          <w:iCs/>
        </w:rPr>
        <w:t xml:space="preserve">Blood</w:t>
      </w:r>
      <w:r>
        <w:t xml:space="preserve">. 2020;135(20):1759-1771. doi:</w:t>
      </w:r>
      <w:hyperlink r:id="rId89">
        <w:r>
          <w:rPr>
            <w:rStyle w:val="Hyperlink"/>
          </w:rPr>
          <w:t xml:space="preserve">10.1182/BLOOD.2019003535</w:t>
        </w:r>
      </w:hyperlink>
    </w:p>
    <w:bookmarkEnd w:id="90"/>
    <w:bookmarkStart w:id="92" w:name="ref-Staiger2017Clinical"/>
    <w:p>
      <w:pPr>
        <w:pStyle w:val="Bibliography"/>
      </w:pPr>
      <w:r>
        <w:t xml:space="preserve">12.</w:t>
      </w:r>
      <w:r>
        <w:t xml:space="preserve"> </w:t>
      </w:r>
      <w:r>
        <w:t xml:space="preserve">	</w:t>
      </w:r>
      <w:r>
        <w:t xml:space="preserve">Staiger A. M. Clinical impact of the cell-of-origin classification and the MYC/BCL2 dual expresser status in diffuse large b-cell lymphoma treated within prospective clinical trials of the german high-grade non-hodgkin’s lymphoma study group.</w:t>
      </w:r>
      <w:r>
        <w:t xml:space="preserve"> </w:t>
      </w:r>
      <w:r>
        <w:rPr>
          <w:i/>
          <w:iCs/>
        </w:rPr>
        <w:t xml:space="preserve">Journal of Clinical Oncology</w:t>
      </w:r>
      <w:r>
        <w:t xml:space="preserve">. 2017;35(22):2515-2526. doi:</w:t>
      </w:r>
      <w:hyperlink r:id="rId91">
        <w:r>
          <w:rPr>
            <w:rStyle w:val="Hyperlink"/>
          </w:rPr>
          <w:t xml:space="preserve">10.1200/JCO.2016.70.3660</w:t>
        </w:r>
      </w:hyperlink>
    </w:p>
    <w:bookmarkEnd w:id="92"/>
    <w:bookmarkStart w:id="94" w:name="ref-Ennishi2019Doublehit"/>
    <w:p>
      <w:pPr>
        <w:pStyle w:val="Bibliography"/>
      </w:pPr>
      <w:r>
        <w:t xml:space="preserve">13.</w:t>
      </w:r>
      <w:r>
        <w:t xml:space="preserve"> </w:t>
      </w:r>
      <w:r>
        <w:t xml:space="preserve">	</w:t>
      </w:r>
      <w:r>
        <w:t xml:space="preserve">Ennishi D. Double-hit gene expression signature defines a distinct subgroup of germinal center b-cell-like diffuse large b-cell lymphoma.</w:t>
      </w:r>
      <w:r>
        <w:t xml:space="preserve"> </w:t>
      </w:r>
      <w:r>
        <w:rPr>
          <w:i/>
          <w:iCs/>
        </w:rPr>
        <w:t xml:space="preserve">Journal of Clinical Oncology</w:t>
      </w:r>
      <w:r>
        <w:t xml:space="preserve">. 2019;37(3):190-201. doi:</w:t>
      </w:r>
      <w:hyperlink r:id="rId93">
        <w:r>
          <w:rPr>
            <w:rStyle w:val="Hyperlink"/>
          </w:rPr>
          <w:t xml:space="preserve">10.1200/JCO.18.01583</w:t>
        </w:r>
      </w:hyperlink>
    </w:p>
    <w:bookmarkEnd w:id="94"/>
    <w:bookmarkStart w:id="96" w:name="ref-Sha2019Molecular"/>
    <w:p>
      <w:pPr>
        <w:pStyle w:val="Bibliography"/>
      </w:pPr>
      <w:r>
        <w:t xml:space="preserve">14.</w:t>
      </w:r>
      <w:r>
        <w:t xml:space="preserve"> </w:t>
      </w:r>
      <w:r>
        <w:t xml:space="preserve">	</w:t>
      </w:r>
      <w:r>
        <w:t xml:space="preserve">Sha C. Molecular high-grade b-cell lymphoma: Defining a poor-risk group that requires different approaches to therapy.</w:t>
      </w:r>
      <w:r>
        <w:t xml:space="preserve"> </w:t>
      </w:r>
      <w:r>
        <w:rPr>
          <w:i/>
          <w:iCs/>
        </w:rPr>
        <w:t xml:space="preserve">Journal of Clinical Oncology</w:t>
      </w:r>
      <w:r>
        <w:t xml:space="preserve">. 2019;37(3):202-212. doi:</w:t>
      </w:r>
      <w:hyperlink r:id="rId95">
        <w:r>
          <w:rPr>
            <w:rStyle w:val="Hyperlink"/>
          </w:rPr>
          <w:t xml:space="preserve">10.1200/JCO.18.01314</w:t>
        </w:r>
      </w:hyperlink>
    </w:p>
    <w:bookmarkEnd w:id="96"/>
    <w:bookmarkStart w:id="98" w:name="ref-Landsburg2016Sole"/>
    <w:p>
      <w:pPr>
        <w:pStyle w:val="Bibliography"/>
      </w:pPr>
      <w:r>
        <w:t xml:space="preserve">15.</w:t>
      </w:r>
      <w:r>
        <w:t xml:space="preserve"> </w:t>
      </w:r>
      <w:r>
        <w:t xml:space="preserve">	</w:t>
      </w:r>
      <w:r>
        <w:t xml:space="preserve">Landsburg D. J. Sole rearrangement but not amplification of MYC is associated with a poor prognosis in patients with diffuse large b cell lymphoma and b cell lymphoma unclassifiable.</w:t>
      </w:r>
      <w:r>
        <w:t xml:space="preserve"> </w:t>
      </w:r>
      <w:r>
        <w:rPr>
          <w:i/>
          <w:iCs/>
        </w:rPr>
        <w:t xml:space="preserve">British Journal of Haematology</w:t>
      </w:r>
      <w:r>
        <w:t xml:space="preserve">. 2016;175(4):631-640. doi:</w:t>
      </w:r>
      <w:hyperlink r:id="rId97">
        <w:r>
          <w:rPr>
            <w:rStyle w:val="Hyperlink"/>
          </w:rPr>
          <w:t xml:space="preserve">10.1111/bjh.14282</w:t>
        </w:r>
      </w:hyperlink>
    </w:p>
    <w:bookmarkEnd w:id="98"/>
    <w:bookmarkStart w:id="100" w:name="ref-Rossi2017Diffuse"/>
    <w:p>
      <w:pPr>
        <w:pStyle w:val="Bibliography"/>
      </w:pPr>
      <w:r>
        <w:t xml:space="preserve">16.</w:t>
      </w:r>
      <w:r>
        <w:t xml:space="preserve"> </w:t>
      </w:r>
      <w:r>
        <w:t xml:space="preserve">	</w:t>
      </w:r>
      <w:r>
        <w:t xml:space="preserve">Rossi D. Diffuse large b-cell lymphoma genotyping on the liquid biopsy.</w:t>
      </w:r>
      <w:r>
        <w:t xml:space="preserve"> </w:t>
      </w:r>
      <w:r>
        <w:rPr>
          <w:i/>
          <w:iCs/>
        </w:rPr>
        <w:t xml:space="preserve">Blood</w:t>
      </w:r>
      <w:r>
        <w:t xml:space="preserve">. 2017;129(14):1947-1957. doi:</w:t>
      </w:r>
      <w:hyperlink r:id="rId99">
        <w:r>
          <w:rPr>
            <w:rStyle w:val="Hyperlink"/>
          </w:rPr>
          <w:t xml:space="preserve">10.1182/blood-2016-05-719641</w:t>
        </w:r>
      </w:hyperlink>
    </w:p>
    <w:bookmarkEnd w:id="100"/>
    <w:bookmarkStart w:id="102" w:name="ref-Younes2019Randomized"/>
    <w:p>
      <w:pPr>
        <w:pStyle w:val="Bibliography"/>
      </w:pPr>
      <w:r>
        <w:t xml:space="preserve">17.</w:t>
      </w:r>
      <w:r>
        <w:t xml:space="preserve"> </w:t>
      </w:r>
      <w:r>
        <w:t xml:space="preserve">	</w:t>
      </w:r>
      <w:r>
        <w:t xml:space="preserve">Younes A. Randomized phase III trial of ibrutinib and rituximab plus cyclophosphamide, doxorubicin, vincristine, and prednisone in non–germinal center b-cell diffuse large b-cell lymphoma.</w:t>
      </w:r>
      <w:r>
        <w:t xml:space="preserve"> </w:t>
      </w:r>
      <w:r>
        <w:rPr>
          <w:i/>
          <w:iCs/>
        </w:rPr>
        <w:t xml:space="preserve">Journal of Clinical Oncology</w:t>
      </w:r>
      <w:r>
        <w:t xml:space="preserve">. 2019;37(15):1285-1295. doi:</w:t>
      </w:r>
      <w:hyperlink r:id="rId101">
        <w:r>
          <w:rPr>
            <w:rStyle w:val="Hyperlink"/>
          </w:rPr>
          <w:t xml:space="preserve">10.1200/JCO.18.02403</w:t>
        </w:r>
      </w:hyperlink>
    </w:p>
    <w:bookmarkEnd w:id="102"/>
    <w:bookmarkStart w:id="104" w:name="ref-Pal2018Role"/>
    <w:p>
      <w:pPr>
        <w:pStyle w:val="Bibliography"/>
      </w:pPr>
      <w:r>
        <w:t xml:space="preserve">18.</w:t>
      </w:r>
      <w:r>
        <w:t xml:space="preserve"> </w:t>
      </w:r>
      <w:r>
        <w:t xml:space="preserve">	</w:t>
      </w:r>
      <w:r>
        <w:t xml:space="preserve">Pal Singh S. Role of bruton’s tyrosine kinase in b cells and malignancies.</w:t>
      </w:r>
      <w:r>
        <w:t xml:space="preserve"> </w:t>
      </w:r>
      <w:r>
        <w:rPr>
          <w:i/>
          <w:iCs/>
        </w:rPr>
        <w:t xml:space="preserve">Molecular Cancer</w:t>
      </w:r>
      <w:r>
        <w:t xml:space="preserve">. 2018;17(1). doi:</w:t>
      </w:r>
      <w:hyperlink r:id="rId103">
        <w:r>
          <w:rPr>
            <w:rStyle w:val="Hyperlink"/>
          </w:rPr>
          <w:t xml:space="preserve">10.1186/s12943-018-0779-z</w:t>
        </w:r>
      </w:hyperlink>
    </w:p>
    <w:bookmarkEnd w:id="104"/>
    <w:bookmarkStart w:id="106" w:name="ref-Wilson2021Effect"/>
    <w:p>
      <w:pPr>
        <w:pStyle w:val="Bibliography"/>
      </w:pPr>
      <w:r>
        <w:t xml:space="preserve">19.</w:t>
      </w:r>
      <w:r>
        <w:t xml:space="preserve"> </w:t>
      </w:r>
      <w:r>
        <w:t xml:space="preserve">	</w:t>
      </w:r>
      <w:r>
        <w:t xml:space="preserve">Wilson W. H. Effect of ibrutinib with r-CHOP chemotherapy in genetic subtypes of DLBCL.</w:t>
      </w:r>
      <w:r>
        <w:t xml:space="preserve"> </w:t>
      </w:r>
      <w:r>
        <w:rPr>
          <w:i/>
          <w:iCs/>
        </w:rPr>
        <w:t xml:space="preserve">Cancer Cell</w:t>
      </w:r>
      <w:r>
        <w:t xml:space="preserve">. 2021;39(12):1643-1653.e3. doi:</w:t>
      </w:r>
      <w:hyperlink r:id="rId105">
        <w:r>
          <w:rPr>
            <w:rStyle w:val="Hyperlink"/>
          </w:rPr>
          <w:t xml:space="preserve">10.1016/j.ccell.2021.10.006</w:t>
        </w:r>
      </w:hyperlink>
    </w:p>
    <w:bookmarkEnd w:id="106"/>
    <w:bookmarkStart w:id="108" w:name="ref-Nowakowski2021ROBUST"/>
    <w:p>
      <w:pPr>
        <w:pStyle w:val="Bibliography"/>
      </w:pPr>
      <w:r>
        <w:t xml:space="preserve">20.</w:t>
      </w:r>
      <w:r>
        <w:t xml:space="preserve"> </w:t>
      </w:r>
      <w:r>
        <w:t xml:space="preserve">	</w:t>
      </w:r>
      <w:r>
        <w:t xml:space="preserve">Nowakowski G. S. ROBUST: A phase III study of lenalidomide plus r-CHOP versus placebo plus r-CHOP in previously untreated patients with ABC-type diffuse large b-cell lymphoma.</w:t>
      </w:r>
      <w:r>
        <w:t xml:space="preserve"> </w:t>
      </w:r>
      <w:r>
        <w:rPr>
          <w:i/>
          <w:iCs/>
        </w:rPr>
        <w:t xml:space="preserve">Journal of Clinical Oncology</w:t>
      </w:r>
      <w:r>
        <w:t xml:space="preserve">. 2021;39(12):1317-1328. doi:</w:t>
      </w:r>
      <w:hyperlink r:id="rId107">
        <w:r>
          <w:rPr>
            <w:rStyle w:val="Hyperlink"/>
          </w:rPr>
          <w:t xml:space="preserve">10.1200/JCO.20.01366</w:t>
        </w:r>
      </w:hyperlink>
    </w:p>
    <w:bookmarkEnd w:id="108"/>
    <w:bookmarkStart w:id="110" w:name="ref-Davies2019Geneexpression"/>
    <w:p>
      <w:pPr>
        <w:pStyle w:val="Bibliography"/>
      </w:pPr>
      <w:r>
        <w:t xml:space="preserve">21.</w:t>
      </w:r>
      <w:r>
        <w:t xml:space="preserve"> </w:t>
      </w:r>
      <w:r>
        <w:t xml:space="preserve">	</w:t>
      </w:r>
      <w:r>
        <w:t xml:space="preserve">Davies A. Gene-expression profiling of bortezomib added to standard chemoimmunotherapy for diffuse large b-cell lymphoma (REMoDL-b): An open-label, randomised, phase 3 trial.</w:t>
      </w:r>
      <w:r>
        <w:t xml:space="preserve"> </w:t>
      </w:r>
      <w:r>
        <w:rPr>
          <w:i/>
          <w:iCs/>
        </w:rPr>
        <w:t xml:space="preserve">Lancet Oncology</w:t>
      </w:r>
      <w:r>
        <w:t xml:space="preserve">. 2019;20(5):649-662. doi:</w:t>
      </w:r>
      <w:hyperlink r:id="rId109">
        <w:r>
          <w:rPr>
            <w:rStyle w:val="Hyperlink"/>
          </w:rPr>
          <w:t xml:space="preserve">10.1016/S1470-2045(18)30935-5</w:t>
        </w:r>
      </w:hyperlink>
    </w:p>
    <w:bookmarkEnd w:id="110"/>
    <w:bookmarkStart w:id="112" w:name="ref-Sehn2020Polatuzumab"/>
    <w:p>
      <w:pPr>
        <w:pStyle w:val="Bibliography"/>
      </w:pPr>
      <w:r>
        <w:t xml:space="preserve">22.</w:t>
      </w:r>
      <w:r>
        <w:t xml:space="preserve"> </w:t>
      </w:r>
      <w:r>
        <w:t xml:space="preserve">	</w:t>
      </w:r>
      <w:r>
        <w:t xml:space="preserve">Sehn L. H. Polatuzumab vedotin in relapsed or refractory diffuse large b-cell lymphoma.</w:t>
      </w:r>
      <w:r>
        <w:t xml:space="preserve"> </w:t>
      </w:r>
      <w:r>
        <w:rPr>
          <w:i/>
          <w:iCs/>
        </w:rPr>
        <w:t xml:space="preserve">Journal of Clinical Oncology</w:t>
      </w:r>
      <w:r>
        <w:t xml:space="preserve">. 2020;38(2):155-165. doi:</w:t>
      </w:r>
      <w:hyperlink r:id="rId111">
        <w:r>
          <w:rPr>
            <w:rStyle w:val="Hyperlink"/>
          </w:rPr>
          <w:t xml:space="preserve">10.1200/JCO.19.00172</w:t>
        </w:r>
      </w:hyperlink>
    </w:p>
    <w:bookmarkEnd w:id="112"/>
    <w:bookmarkStart w:id="114" w:name="ref-Morschhauser2019Polatuzumab"/>
    <w:p>
      <w:pPr>
        <w:pStyle w:val="Bibliography"/>
      </w:pPr>
      <w:r>
        <w:t xml:space="preserve">23.</w:t>
      </w:r>
      <w:r>
        <w:t xml:space="preserve"> </w:t>
      </w:r>
      <w:r>
        <w:t xml:space="preserve">	</w:t>
      </w:r>
      <w:r>
        <w:t xml:space="preserve">Morschhauser F. Polatuzumab vedotin or pinatuzumab vedotin plus rituximab in patients with relapsed or refractory non-hodgkin lymphoma: Final results from a phase 2 randomised study (ROMULUS).</w:t>
      </w:r>
      <w:r>
        <w:t xml:space="preserve"> </w:t>
      </w:r>
      <w:r>
        <w:rPr>
          <w:i/>
          <w:iCs/>
        </w:rPr>
        <w:t xml:space="preserve">Lancet Haematology</w:t>
      </w:r>
      <w:r>
        <w:t xml:space="preserve">. 2019;6(5):e254-e265. doi:</w:t>
      </w:r>
      <w:hyperlink r:id="rId113">
        <w:r>
          <w:rPr>
            <w:rStyle w:val="Hyperlink"/>
          </w:rPr>
          <w:t xml:space="preserve">10.1016/S2352-3026(19)30026-2</w:t>
        </w:r>
      </w:hyperlink>
    </w:p>
    <w:bookmarkEnd w:id="114"/>
    <w:bookmarkStart w:id="116" w:name="ref-Deeks2019Polatuzumab"/>
    <w:p>
      <w:pPr>
        <w:pStyle w:val="Bibliography"/>
      </w:pPr>
      <w:r>
        <w:t xml:space="preserve">24.</w:t>
      </w:r>
      <w:r>
        <w:t xml:space="preserve"> </w:t>
      </w:r>
      <w:r>
        <w:t xml:space="preserve">	</w:t>
      </w:r>
      <w:r>
        <w:t xml:space="preserve">Deeks E. D. Polatuzumab vedotin: First global approval.</w:t>
      </w:r>
      <w:r>
        <w:t xml:space="preserve"> </w:t>
      </w:r>
      <w:r>
        <w:rPr>
          <w:i/>
          <w:iCs/>
        </w:rPr>
        <w:t xml:space="preserve">Drugs</w:t>
      </w:r>
      <w:r>
        <w:t xml:space="preserve">. 2019;79(13):1467-1475. doi:</w:t>
      </w:r>
      <w:hyperlink r:id="rId115">
        <w:r>
          <w:rPr>
            <w:rStyle w:val="Hyperlink"/>
          </w:rPr>
          <w:t xml:space="preserve">10.1007/s40265-019-01175-0</w:t>
        </w:r>
      </w:hyperlink>
    </w:p>
    <w:bookmarkEnd w:id="116"/>
    <w:bookmarkStart w:id="118" w:name="ref-Tilly2022Polatuzumab"/>
    <w:p>
      <w:pPr>
        <w:pStyle w:val="Bibliography"/>
      </w:pPr>
      <w:r>
        <w:t xml:space="preserve">25.</w:t>
      </w:r>
      <w:r>
        <w:t xml:space="preserve"> </w:t>
      </w:r>
      <w:r>
        <w:t xml:space="preserve">	</w:t>
      </w:r>
      <w:r>
        <w:t xml:space="preserve">Tilly H. Polatuzumab vedotin in previously untreated diffuse large b-cell lymphoma.</w:t>
      </w:r>
      <w:r>
        <w:t xml:space="preserve"> </w:t>
      </w:r>
      <w:r>
        <w:rPr>
          <w:i/>
          <w:iCs/>
        </w:rPr>
        <w:t xml:space="preserve">New England Journal of Medicine</w:t>
      </w:r>
      <w:r>
        <w:t xml:space="preserve">. 2022;386(4):351-363. doi:</w:t>
      </w:r>
      <w:hyperlink r:id="rId117">
        <w:r>
          <w:rPr>
            <w:rStyle w:val="Hyperlink"/>
          </w:rPr>
          <w:t xml:space="preserve">10.1056/NEJMoa2115304</w:t>
        </w:r>
      </w:hyperlink>
    </w:p>
    <w:bookmarkEnd w:id="118"/>
    <w:bookmarkStart w:id="120" w:name="ref-Chau2019Antibodydrug"/>
    <w:p>
      <w:pPr>
        <w:pStyle w:val="Bibliography"/>
      </w:pPr>
      <w:r>
        <w:t xml:space="preserve">26.</w:t>
      </w:r>
      <w:r>
        <w:t xml:space="preserve"> </w:t>
      </w:r>
      <w:r>
        <w:t xml:space="preserve">	</w:t>
      </w:r>
      <w:r>
        <w:t xml:space="preserve">Chau C. H. Antibody–drug conjugates for cancer.</w:t>
      </w:r>
      <w:r>
        <w:t xml:space="preserve"> </w:t>
      </w:r>
      <w:r>
        <w:rPr>
          <w:i/>
          <w:iCs/>
        </w:rPr>
        <w:t xml:space="preserve">Lancet</w:t>
      </w:r>
      <w:r>
        <w:t xml:space="preserve">. 2019;394(10200):793-804. doi:</w:t>
      </w:r>
      <w:hyperlink r:id="rId119">
        <w:r>
          <w:rPr>
            <w:rStyle w:val="Hyperlink"/>
          </w:rPr>
          <w:t xml:space="preserve">10.1016/S0140-6736(19)31774-X</w:t>
        </w:r>
      </w:hyperlink>
    </w:p>
    <w:bookmarkEnd w:id="120"/>
    <w:bookmarkStart w:id="122" w:name="ref-Joubert2020Antibodydrug"/>
    <w:p>
      <w:pPr>
        <w:pStyle w:val="Bibliography"/>
      </w:pPr>
      <w:r>
        <w:t xml:space="preserve">27.</w:t>
      </w:r>
      <w:r>
        <w:t xml:space="preserve"> </w:t>
      </w:r>
      <w:r>
        <w:t xml:space="preserve">	</w:t>
      </w:r>
      <w:r>
        <w:t xml:space="preserve">Joubert N. Antibody–drug conjugates: The last decade.</w:t>
      </w:r>
      <w:r>
        <w:t xml:space="preserve"> </w:t>
      </w:r>
      <w:r>
        <w:rPr>
          <w:i/>
          <w:iCs/>
        </w:rPr>
        <w:t xml:space="preserve">Pharmaceuticals</w:t>
      </w:r>
      <w:r>
        <w:t xml:space="preserve">. 2020;13(9):1-30. doi:</w:t>
      </w:r>
      <w:hyperlink r:id="rId121">
        <w:r>
          <w:rPr>
            <w:rStyle w:val="Hyperlink"/>
          </w:rPr>
          <w:t xml:space="preserve">10.3390/ph13090245</w:t>
        </w:r>
      </w:hyperlink>
    </w:p>
    <w:bookmarkEnd w:id="122"/>
    <w:bookmarkStart w:id="124" w:name="ref-Neelapu2023Fiveyear"/>
    <w:p>
      <w:pPr>
        <w:pStyle w:val="Bibliography"/>
      </w:pPr>
      <w:r>
        <w:t xml:space="preserve">28.</w:t>
      </w:r>
      <w:r>
        <w:t xml:space="preserve"> </w:t>
      </w:r>
      <w:r>
        <w:t xml:space="preserve">	</w:t>
      </w:r>
      <w:r>
        <w:t xml:space="preserve">Neelapu S. S. Five-year follow-up of ZUMA-1 supports the curative potential of axicabtagene ciloleucel in refractory large b-cell lymphoma.</w:t>
      </w:r>
      <w:r>
        <w:t xml:space="preserve"> </w:t>
      </w:r>
      <w:r>
        <w:rPr>
          <w:i/>
          <w:iCs/>
        </w:rPr>
        <w:t xml:space="preserve">Blood</w:t>
      </w:r>
      <w:r>
        <w:t xml:space="preserve">. 2023;141(19):2307-2315. doi:</w:t>
      </w:r>
      <w:hyperlink r:id="rId123">
        <w:r>
          <w:rPr>
            <w:rStyle w:val="Hyperlink"/>
          </w:rPr>
          <w:t xml:space="preserve">10.1182/blood.2022018893</w:t>
        </w:r>
      </w:hyperlink>
    </w:p>
    <w:bookmarkEnd w:id="124"/>
    <w:bookmarkStart w:id="126" w:name="ref-Bethge2022GLADRST"/>
    <w:p>
      <w:pPr>
        <w:pStyle w:val="Bibliography"/>
      </w:pPr>
      <w:r>
        <w:t xml:space="preserve">29.</w:t>
      </w:r>
      <w:r>
        <w:t xml:space="preserve"> </w:t>
      </w:r>
      <w:r>
        <w:t xml:space="preserve">	</w:t>
      </w:r>
      <w:r>
        <w:t xml:space="preserve">Bethge W. A. GLA/DRST real-world outcome analysis of CAR t-cell therapies for large b-cell lymphoma in germany.</w:t>
      </w:r>
      <w:r>
        <w:t xml:space="preserve"> </w:t>
      </w:r>
      <w:r>
        <w:rPr>
          <w:i/>
          <w:iCs/>
        </w:rPr>
        <w:t xml:space="preserve">Blood</w:t>
      </w:r>
      <w:r>
        <w:t xml:space="preserve">. 2022;140(4):349-358. doi:</w:t>
      </w:r>
      <w:hyperlink r:id="rId125">
        <w:r>
          <w:rPr>
            <w:rStyle w:val="Hyperlink"/>
          </w:rPr>
          <w:t xml:space="preserve">10.1182/blood.2021015209</w:t>
        </w:r>
      </w:hyperlink>
    </w:p>
    <w:bookmarkEnd w:id="126"/>
    <w:bookmarkStart w:id="128" w:name="ref-Kamdar2022Lisocabtagene"/>
    <w:p>
      <w:pPr>
        <w:pStyle w:val="Bibliography"/>
      </w:pPr>
      <w:r>
        <w:t xml:space="preserve">30.</w:t>
      </w:r>
      <w:r>
        <w:t xml:space="preserve"> </w:t>
      </w:r>
      <w:r>
        <w:t xml:space="preserve">	</w:t>
      </w:r>
      <w:r>
        <w:t xml:space="preserve">Kamdar M. Lisocabtagene maraleucel versus standard of care with salvage chemotherapy followed by autologous stem cell transplantation as second-line treatment in patients with relapsed or refractory large b-cell lymphoma (TRANSFORM): Results from an interim analysis of an open-label, randomised, phase 3 trial.</w:t>
      </w:r>
      <w:r>
        <w:t xml:space="preserve"> </w:t>
      </w:r>
      <w:r>
        <w:rPr>
          <w:i/>
          <w:iCs/>
        </w:rPr>
        <w:t xml:space="preserve">Lancet</w:t>
      </w:r>
      <w:r>
        <w:t xml:space="preserve">. 2022;399(10343):2294-2308. doi:</w:t>
      </w:r>
      <w:hyperlink r:id="rId127">
        <w:r>
          <w:rPr>
            <w:rStyle w:val="Hyperlink"/>
          </w:rPr>
          <w:t xml:space="preserve">10.1016/S0140-6736(22)00662-6</w:t>
        </w:r>
      </w:hyperlink>
    </w:p>
    <w:bookmarkEnd w:id="128"/>
    <w:bookmarkStart w:id="130" w:name="ref-Bishop2022SecondLine"/>
    <w:p>
      <w:pPr>
        <w:pStyle w:val="Bibliography"/>
      </w:pPr>
      <w:r>
        <w:t xml:space="preserve">31.</w:t>
      </w:r>
      <w:r>
        <w:t xml:space="preserve"> </w:t>
      </w:r>
      <w:r>
        <w:t xml:space="preserve">	</w:t>
      </w:r>
      <w:r>
        <w:t xml:space="preserve">Bishop M. R. Second-line tisagenlecleucel or standard care in aggressive b-cell lymphoma.</w:t>
      </w:r>
      <w:r>
        <w:t xml:space="preserve"> </w:t>
      </w:r>
      <w:r>
        <w:rPr>
          <w:i/>
          <w:iCs/>
        </w:rPr>
        <w:t xml:space="preserve">New England Journal of Medicine</w:t>
      </w:r>
      <w:r>
        <w:t xml:space="preserve">. 2022;386(7):629-639. doi:</w:t>
      </w:r>
      <w:hyperlink r:id="rId129">
        <w:r>
          <w:rPr>
            <w:rStyle w:val="Hyperlink"/>
          </w:rPr>
          <w:t xml:space="preserve">10.1056/NEJMoa2116596</w:t>
        </w:r>
      </w:hyperlink>
    </w:p>
    <w:bookmarkEnd w:id="130"/>
    <w:bookmarkStart w:id="132" w:name="ref-Sehgal2022Lisocabtagene"/>
    <w:p>
      <w:pPr>
        <w:pStyle w:val="Bibliography"/>
      </w:pPr>
      <w:r>
        <w:t xml:space="preserve">32.</w:t>
      </w:r>
      <w:r>
        <w:t xml:space="preserve"> </w:t>
      </w:r>
      <w:r>
        <w:t xml:space="preserve">	</w:t>
      </w:r>
      <w:r>
        <w:t xml:space="preserve">Sehgal A. Lisocabtagene maraleucel as second-line therapy in adults with relapsed or refractory large b-cell lymphoma who were not intended for haematopoietic stem cell transplantation (PILOT): An open-label, phase 2 study.</w:t>
      </w:r>
      <w:r>
        <w:t xml:space="preserve"> </w:t>
      </w:r>
      <w:r>
        <w:rPr>
          <w:i/>
          <w:iCs/>
        </w:rPr>
        <w:t xml:space="preserve">Lancet Oncology</w:t>
      </w:r>
      <w:r>
        <w:t xml:space="preserve">. 2022;23(8):1066-1077. doi:</w:t>
      </w:r>
      <w:hyperlink r:id="rId131">
        <w:r>
          <w:rPr>
            <w:rStyle w:val="Hyperlink"/>
          </w:rPr>
          <w:t xml:space="preserve">10.1016/S1470-2045(22)00339-4</w:t>
        </w:r>
      </w:hyperlink>
    </w:p>
    <w:bookmarkEnd w:id="132"/>
    <w:bookmarkStart w:id="134" w:name="ref-Neelapu2022Axicabtagene"/>
    <w:p>
      <w:pPr>
        <w:pStyle w:val="Bibliography"/>
      </w:pPr>
      <w:r>
        <w:t xml:space="preserve">33.</w:t>
      </w:r>
      <w:r>
        <w:t xml:space="preserve"> </w:t>
      </w:r>
      <w:r>
        <w:t xml:space="preserve">	</w:t>
      </w:r>
      <w:r>
        <w:t xml:space="preserve">Neelapu S. S. Axicabtagene ciloleucel as first-line therapy in high-risk large b-cell lymphoma: The phase 2 ZUMA-12 trial.</w:t>
      </w:r>
      <w:r>
        <w:t xml:space="preserve"> </w:t>
      </w:r>
      <w:r>
        <w:rPr>
          <w:i/>
          <w:iCs/>
        </w:rPr>
        <w:t xml:space="preserve">Nature Medicine</w:t>
      </w:r>
      <w:r>
        <w:t xml:space="preserve">. 2022;28(4):735-742. doi:</w:t>
      </w:r>
      <w:hyperlink r:id="rId133">
        <w:r>
          <w:rPr>
            <w:rStyle w:val="Hyperlink"/>
          </w:rPr>
          <w:t xml:space="preserve">10.1038/s41591-022-01731-4</w:t>
        </w:r>
      </w:hyperlink>
    </w:p>
    <w:bookmarkEnd w:id="134"/>
    <w:bookmarkStart w:id="136" w:name="ref-Kaplon2019Antibodies"/>
    <w:p>
      <w:pPr>
        <w:pStyle w:val="Bibliography"/>
      </w:pPr>
      <w:r>
        <w:t xml:space="preserve">34.</w:t>
      </w:r>
      <w:r>
        <w:t xml:space="preserve"> </w:t>
      </w:r>
      <w:r>
        <w:t xml:space="preserve">	</w:t>
      </w:r>
      <w:r>
        <w:t xml:space="preserve">Kaplon H. Antibodies to watch in 2019.</w:t>
      </w:r>
      <w:r>
        <w:t xml:space="preserve"> </w:t>
      </w:r>
      <w:r>
        <w:rPr>
          <w:i/>
          <w:iCs/>
        </w:rPr>
        <w:t xml:space="preserve">Mabs</w:t>
      </w:r>
      <w:r>
        <w:t xml:space="preserve">. 2019;11(2):219-238. doi:</w:t>
      </w:r>
      <w:hyperlink r:id="rId135">
        <w:r>
          <w:rPr>
            <w:rStyle w:val="Hyperlink"/>
          </w:rPr>
          <w:t xml:space="preserve">10.1080/19420862.2018.1556465</w:t>
        </w:r>
      </w:hyperlink>
    </w:p>
    <w:bookmarkEnd w:id="136"/>
    <w:bookmarkStart w:id="138" w:name="ref-Kaplon2020Antibodies"/>
    <w:p>
      <w:pPr>
        <w:pStyle w:val="Bibliography"/>
      </w:pPr>
      <w:r>
        <w:t xml:space="preserve">35.</w:t>
      </w:r>
      <w:r>
        <w:t xml:space="preserve"> </w:t>
      </w:r>
      <w:r>
        <w:t xml:space="preserve">	</w:t>
      </w:r>
      <w:r>
        <w:t xml:space="preserve">Kaplon H. Antibodies to watch in 2020.</w:t>
      </w:r>
      <w:r>
        <w:t xml:space="preserve"> </w:t>
      </w:r>
      <w:r>
        <w:rPr>
          <w:i/>
          <w:iCs/>
        </w:rPr>
        <w:t xml:space="preserve">Mabs</w:t>
      </w:r>
      <w:r>
        <w:t xml:space="preserve">. 2020;12(1). doi:</w:t>
      </w:r>
      <w:hyperlink r:id="rId137">
        <w:r>
          <w:rPr>
            <w:rStyle w:val="Hyperlink"/>
          </w:rPr>
          <w:t xml:space="preserve">10.1080/19420862.2019.1703531</w:t>
        </w:r>
      </w:hyperlink>
    </w:p>
    <w:bookmarkEnd w:id="138"/>
    <w:bookmarkStart w:id="140" w:name="ref-Amini2022Preparing"/>
    <w:p>
      <w:pPr>
        <w:pStyle w:val="Bibliography"/>
      </w:pPr>
      <w:r>
        <w:t xml:space="preserve">36.</w:t>
      </w:r>
      <w:r>
        <w:t xml:space="preserve"> </w:t>
      </w:r>
      <w:r>
        <w:t xml:space="preserve">	</w:t>
      </w:r>
      <w:r>
        <w:t xml:space="preserve">Amini L. Preparing for CAR t cell therapy: Patient selection, bridging therapies and lymphodepletion.</w:t>
      </w:r>
      <w:r>
        <w:t xml:space="preserve"> </w:t>
      </w:r>
      <w:r>
        <w:rPr>
          <w:i/>
          <w:iCs/>
        </w:rPr>
        <w:t xml:space="preserve">Nature Reviews Clinical Oncology</w:t>
      </w:r>
      <w:r>
        <w:t xml:space="preserve">. 2022;19(5):342-355. doi:</w:t>
      </w:r>
      <w:hyperlink r:id="rId139">
        <w:r>
          <w:rPr>
            <w:rStyle w:val="Hyperlink"/>
          </w:rPr>
          <w:t xml:space="preserve">10.1038/s41571-022-00607-3</w:t>
        </w:r>
      </w:hyperlink>
    </w:p>
    <w:bookmarkEnd w:id="140"/>
    <w:bookmarkStart w:id="142" w:name="ref-Vari2018Immune"/>
    <w:p>
      <w:pPr>
        <w:pStyle w:val="Bibliography"/>
      </w:pPr>
      <w:r>
        <w:t xml:space="preserve">37.</w:t>
      </w:r>
      <w:r>
        <w:t xml:space="preserve"> </w:t>
      </w:r>
      <w:r>
        <w:t xml:space="preserve">	</w:t>
      </w:r>
      <w:r>
        <w:t xml:space="preserve">Vari F. Immune evasion via PD-1/PD-L1 on NK cells and monocyte/macrophages is more prominent in hodgkin lymphoma than DLBCL.</w:t>
      </w:r>
      <w:r>
        <w:t xml:space="preserve"> </w:t>
      </w:r>
      <w:r>
        <w:rPr>
          <w:i/>
          <w:iCs/>
        </w:rPr>
        <w:t xml:space="preserve">Blood</w:t>
      </w:r>
      <w:r>
        <w:t xml:space="preserve">. 2018;131(16):1809-1819. doi:</w:t>
      </w:r>
      <w:hyperlink r:id="rId141">
        <w:r>
          <w:rPr>
            <w:rStyle w:val="Hyperlink"/>
          </w:rPr>
          <w:t xml:space="preserve">10.1182/blood-2017-07-796342</w:t>
        </w:r>
      </w:hyperlink>
    </w:p>
    <w:bookmarkEnd w:id="142"/>
    <w:bookmarkStart w:id="144" w:name="ref-Nie2019Neutrophil"/>
    <w:p>
      <w:pPr>
        <w:pStyle w:val="Bibliography"/>
      </w:pPr>
      <w:r>
        <w:t xml:space="preserve">38.</w:t>
      </w:r>
      <w:r>
        <w:t xml:space="preserve"> </w:t>
      </w:r>
      <w:r>
        <w:t xml:space="preserve">	</w:t>
      </w:r>
      <w:r>
        <w:t xml:space="preserve">Nie M. Neutrophil extracellular traps induced by IL8 promote diffuse large b-cell lymphoma progression via the TLR9 signaling.</w:t>
      </w:r>
      <w:r>
        <w:t xml:space="preserve"> </w:t>
      </w:r>
      <w:r>
        <w:rPr>
          <w:i/>
          <w:iCs/>
        </w:rPr>
        <w:t xml:space="preserve">Clinical Cancer Research</w:t>
      </w:r>
      <w:r>
        <w:t xml:space="preserve">. 2019;25(6):1867-1879. doi:</w:t>
      </w:r>
      <w:hyperlink r:id="rId143">
        <w:r>
          <w:rPr>
            <w:rStyle w:val="Hyperlink"/>
          </w:rPr>
          <w:t xml:space="preserve">10.1158/1078-0432.CCR-18-1226</w:t>
        </w:r>
      </w:hyperlink>
    </w:p>
    <w:bookmarkEnd w:id="144"/>
    <w:bookmarkStart w:id="146" w:name="ref-Schmitz2016CNS"/>
    <w:p>
      <w:pPr>
        <w:pStyle w:val="Bibliography"/>
      </w:pPr>
      <w:r>
        <w:t xml:space="preserve">39.</w:t>
      </w:r>
      <w:r>
        <w:t xml:space="preserve"> </w:t>
      </w:r>
      <w:r>
        <w:t xml:space="preserve">	</w:t>
      </w:r>
      <w:r>
        <w:t xml:space="preserve">Schmitz N. CNS international prognostic index: A risk model for CNS relapse in patients with diffuse large b-cell lymphoma treated with r-CHOP.</w:t>
      </w:r>
      <w:r>
        <w:t xml:space="preserve"> </w:t>
      </w:r>
      <w:r>
        <w:rPr>
          <w:i/>
          <w:iCs/>
        </w:rPr>
        <w:t xml:space="preserve">Journal of Clinical Oncology</w:t>
      </w:r>
      <w:r>
        <w:t xml:space="preserve">. 2016;34(26):3150-3156. doi:</w:t>
      </w:r>
      <w:hyperlink r:id="rId145">
        <w:r>
          <w:rPr>
            <w:rStyle w:val="Hyperlink"/>
          </w:rPr>
          <w:t xml:space="preserve">10.1200/JCO.2015.65.6520</w:t>
        </w:r>
      </w:hyperlink>
    </w:p>
    <w:bookmarkEnd w:id="146"/>
    <w:bookmarkStart w:id="148" w:name="ref-Grommes2019Comprehensive"/>
    <w:p>
      <w:pPr>
        <w:pStyle w:val="Bibliography"/>
      </w:pPr>
      <w:r>
        <w:t xml:space="preserve">40.</w:t>
      </w:r>
      <w:r>
        <w:t xml:space="preserve"> </w:t>
      </w:r>
      <w:r>
        <w:t xml:space="preserve">	</w:t>
      </w:r>
      <w:r>
        <w:t xml:space="preserve">Grommes C. Comprehensive approach to diagnosis and treatment of newly diagnosed primary CNS lymphoma.</w:t>
      </w:r>
      <w:r>
        <w:t xml:space="preserve"> </w:t>
      </w:r>
      <w:r>
        <w:rPr>
          <w:i/>
          <w:iCs/>
        </w:rPr>
        <w:t xml:space="preserve">Neuro Oncology</w:t>
      </w:r>
      <w:r>
        <w:t xml:space="preserve">. 2019;21(3):296-305. doi:</w:t>
      </w:r>
      <w:hyperlink r:id="rId147">
        <w:r>
          <w:rPr>
            <w:rStyle w:val="Hyperlink"/>
          </w:rPr>
          <w:t xml:space="preserve">10.1093/neuonc/noy192</w:t>
        </w:r>
      </w:hyperlink>
    </w:p>
    <w:bookmarkEnd w:id="148"/>
    <w:bookmarkStart w:id="150" w:name="ref-Ruppert2020International"/>
    <w:p>
      <w:pPr>
        <w:pStyle w:val="Bibliography"/>
      </w:pPr>
      <w:r>
        <w:t xml:space="preserve">41.</w:t>
      </w:r>
      <w:r>
        <w:t xml:space="preserve"> </w:t>
      </w:r>
      <w:r>
        <w:t xml:space="preserve">	</w:t>
      </w:r>
      <w:r>
        <w:t xml:space="preserve">Ruppert A. S. International prognostic indices in diffuse large b-cell lymphoma: A comparison of IPI, r-IPI, and NCCN-IPI.</w:t>
      </w:r>
      <w:r>
        <w:t xml:space="preserve"> </w:t>
      </w:r>
      <w:r>
        <w:rPr>
          <w:i/>
          <w:iCs/>
        </w:rPr>
        <w:t xml:space="preserve">Blood</w:t>
      </w:r>
      <w:r>
        <w:t xml:space="preserve">. 2020;135(23):2041-2048. doi:</w:t>
      </w:r>
      <w:hyperlink r:id="rId149">
        <w:r>
          <w:rPr>
            <w:rStyle w:val="Hyperlink"/>
          </w:rPr>
          <w:t xml:space="preserve">10.1182/BLOOD.2019002729</w:t>
        </w:r>
      </w:hyperlink>
    </w:p>
    <w:bookmarkEnd w:id="150"/>
    <w:bookmarkStart w:id="152" w:name="ref-Zhao2026Research"/>
    <w:p>
      <w:pPr>
        <w:pStyle w:val="Bibliography"/>
      </w:pPr>
      <w:r>
        <w:t xml:space="preserve">42.</w:t>
      </w:r>
      <w:r>
        <w:t xml:space="preserve"> </w:t>
      </w:r>
      <w:r>
        <w:t xml:space="preserve">	</w:t>
      </w:r>
      <w:r>
        <w:t xml:space="preserve">Xulu Zhao, Shan Li, Lin Zhu, Mei Wu, Xin Hu, Xiao Liang, Shanshan Wang, Aziguli Maihemaiti, Abulikemujiang Adili, Shujuan Wen. Research on the correlation and potential mechanism of PKCδ expression with efficacy and prognosis in diffuse large b-cell lymphoma.</w:t>
      </w:r>
      <w:r>
        <w:t xml:space="preserve"> </w:t>
      </w:r>
      <w:r>
        <w:rPr>
          <w:i/>
          <w:iCs/>
        </w:rPr>
        <w:t xml:space="preserve">Frontiers in oncology</w:t>
      </w:r>
      <w:r>
        <w:t xml:space="preserve">. 2026;16:1690426. doi:</w:t>
      </w:r>
      <w:hyperlink r:id="rId151">
        <w:r>
          <w:rPr>
            <w:rStyle w:val="Hyperlink"/>
          </w:rPr>
          <w:t xml:space="preserve">10.3389/fonc.2026.1690426</w:t>
        </w:r>
      </w:hyperlink>
    </w:p>
    <w:bookmarkEnd w:id="152"/>
    <w:bookmarkStart w:id="154" w:name="ref-Rodrguez2022NanoBased"/>
    <w:p>
      <w:pPr>
        <w:pStyle w:val="Bibliography"/>
      </w:pPr>
      <w:r>
        <w:t xml:space="preserve">43.</w:t>
      </w:r>
      <w:r>
        <w:t xml:space="preserve"> </w:t>
      </w:r>
      <w:r>
        <w:t xml:space="preserve">	</w:t>
      </w:r>
      <w:r>
        <w:t xml:space="preserve">Rodríguez F. Nano-based approved pharmaceuticals for cancer treatment: Present and future challenges.</w:t>
      </w:r>
      <w:r>
        <w:t xml:space="preserve"> </w:t>
      </w:r>
      <w:r>
        <w:rPr>
          <w:i/>
          <w:iCs/>
        </w:rPr>
        <w:t xml:space="preserve">Biomolecules</w:t>
      </w:r>
      <w:r>
        <w:t xml:space="preserve">. 2022;12(6). doi:</w:t>
      </w:r>
      <w:hyperlink r:id="rId153">
        <w:r>
          <w:rPr>
            <w:rStyle w:val="Hyperlink"/>
          </w:rPr>
          <w:t xml:space="preserve">10.3390/biom12060784</w:t>
        </w:r>
      </w:hyperlink>
    </w:p>
    <w:bookmarkEnd w:id="154"/>
    <w:bookmarkStart w:id="156" w:name="ref-Soussain2019Ibrutinib"/>
    <w:p>
      <w:pPr>
        <w:pStyle w:val="Bibliography"/>
      </w:pPr>
      <w:r>
        <w:t xml:space="preserve">44.</w:t>
      </w:r>
      <w:r>
        <w:t xml:space="preserve"> </w:t>
      </w:r>
      <w:r>
        <w:t xml:space="preserve">	</w:t>
      </w:r>
      <w:r>
        <w:t xml:space="preserve">Soussain C. Ibrutinib monotherapy for relapse or refractory primary CNS lymphoma and primary vitreoretinal lymphoma: Final analysis of the phase II</w:t>
      </w:r>
      <w:r>
        <w:t xml:space="preserve"> </w:t>
      </w:r>
      <w:r>
        <w:t xml:space="preserve">“proof-of-concept”</w:t>
      </w:r>
      <w:r>
        <w:t xml:space="preserve"> </w:t>
      </w:r>
      <w:r>
        <w:t xml:space="preserve">iLOC study by the lymphoma study association (LYSA) and the french oculo-cerebral lymphoma (LOC) network.</w:t>
      </w:r>
      <w:r>
        <w:t xml:space="preserve"> </w:t>
      </w:r>
      <w:r>
        <w:rPr>
          <w:i/>
          <w:iCs/>
        </w:rPr>
        <w:t xml:space="preserve">European Journal of Cancer</w:t>
      </w:r>
      <w:r>
        <w:t xml:space="preserve">. 2019;117:121-130. doi:</w:t>
      </w:r>
      <w:hyperlink r:id="rId155">
        <w:r>
          <w:rPr>
            <w:rStyle w:val="Hyperlink"/>
          </w:rPr>
          <w:t xml:space="preserve">10.1016/j.ejca.2019.05.024</w:t>
        </w:r>
      </w:hyperlink>
    </w:p>
    <w:bookmarkEnd w:id="156"/>
    <w:bookmarkStart w:id="158" w:name="ref-Nguyen2023Mechanisms"/>
    <w:p>
      <w:pPr>
        <w:pStyle w:val="Bibliography"/>
      </w:pPr>
      <w:r>
        <w:t xml:space="preserve">45.</w:t>
      </w:r>
      <w:r>
        <w:t xml:space="preserve"> </w:t>
      </w:r>
      <w:r>
        <w:t xml:space="preserve">	</w:t>
      </w:r>
      <w:r>
        <w:t xml:space="preserve">Nguyen T. D. Mechanisms of ADC toxicity and strategies to increase ADC tolerability.</w:t>
      </w:r>
      <w:r>
        <w:t xml:space="preserve"> </w:t>
      </w:r>
      <w:r>
        <w:rPr>
          <w:i/>
          <w:iCs/>
        </w:rPr>
        <w:t xml:space="preserve">Cancers</w:t>
      </w:r>
      <w:r>
        <w:t xml:space="preserve">. 2023;15(3). doi:</w:t>
      </w:r>
      <w:hyperlink r:id="rId157">
        <w:r>
          <w:rPr>
            <w:rStyle w:val="Hyperlink"/>
          </w:rPr>
          <w:t xml:space="preserve">10.3390/cancers15030713</w:t>
        </w:r>
      </w:hyperlink>
    </w:p>
    <w:bookmarkEnd w:id="158"/>
    <w:bookmarkStart w:id="160" w:name="ref-Flinn2019Firstline"/>
    <w:p>
      <w:pPr>
        <w:pStyle w:val="Bibliography"/>
      </w:pPr>
      <w:r>
        <w:t xml:space="preserve">46.</w:t>
      </w:r>
      <w:r>
        <w:t xml:space="preserve"> </w:t>
      </w:r>
      <w:r>
        <w:t xml:space="preserve">	</w:t>
      </w:r>
      <w:r>
        <w:t xml:space="preserve">Flinn I. W. First-line treatment of patients with indolent non-hodgkin lymphoma or mantle-cell lymphoma with bendamustine plus rituximab versus r-CHOP or r-CVP: Results of the BRIGHT 5-year follow-up study.</w:t>
      </w:r>
      <w:r>
        <w:t xml:space="preserve"> </w:t>
      </w:r>
      <w:r>
        <w:rPr>
          <w:i/>
          <w:iCs/>
        </w:rPr>
        <w:t xml:space="preserve">Journal of Clinical Oncology</w:t>
      </w:r>
      <w:r>
        <w:t xml:space="preserve">. 2019;37(12):984-991. doi:</w:t>
      </w:r>
      <w:hyperlink r:id="rId159">
        <w:r>
          <w:rPr>
            <w:rStyle w:val="Hyperlink"/>
          </w:rPr>
          <w:t xml:space="preserve">10.1200/JCO.18.00605</w:t>
        </w:r>
      </w:hyperlink>
    </w:p>
    <w:bookmarkEnd w:id="160"/>
    <w:bookmarkStart w:id="162" w:name="ref-Ghesquieres2019Lenalidomide"/>
    <w:p>
      <w:pPr>
        <w:pStyle w:val="Bibliography"/>
      </w:pPr>
      <w:r>
        <w:t xml:space="preserve">47.</w:t>
      </w:r>
      <w:r>
        <w:t xml:space="preserve"> </w:t>
      </w:r>
      <w:r>
        <w:t xml:space="preserve">	</w:t>
      </w:r>
      <w:r>
        <w:t xml:space="preserve">Ghesquieres H. Lenalidomide in combination with intravenous rituximab (REVRI) in relapsed/refractory primary CNS lymphoma or primary intraocular lymphoma: A multicenter prospective ’proof of concept’ phase II study of the french oculo-cerebral lymphoma (LOC) network and the lymphoma study association (LYSA).</w:t>
      </w:r>
      <w:r>
        <w:t xml:space="preserve"> </w:t>
      </w:r>
      <w:r>
        <w:rPr>
          <w:i/>
          <w:iCs/>
        </w:rPr>
        <w:t xml:space="preserve">Annals of Oncology</w:t>
      </w:r>
      <w:r>
        <w:t xml:space="preserve">. 2019;30(4):621-628. doi:</w:t>
      </w:r>
      <w:hyperlink r:id="rId161">
        <w:r>
          <w:rPr>
            <w:rStyle w:val="Hyperlink"/>
          </w:rPr>
          <w:t xml:space="preserve">10.1093/annonc/mdz032</w:t>
        </w:r>
      </w:hyperlink>
    </w:p>
    <w:bookmarkEnd w:id="162"/>
    <w:bookmarkEnd w:id="163"/>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doi.org/10.1002/ajh.26151" TargetMode="External" /><Relationship Type="http://schemas.openxmlformats.org/officeDocument/2006/relationships/hyperlink" Id="rId115" Target="https://doi.org/10.1007/s40265-019-01175-0" TargetMode="External" /><Relationship Type="http://schemas.openxmlformats.org/officeDocument/2006/relationships/hyperlink" Id="rId119" Target="https://doi.org/10.1016/S0140-6736(19)31774-X" TargetMode="External" /><Relationship Type="http://schemas.openxmlformats.org/officeDocument/2006/relationships/hyperlink" Id="rId87" Target="https://doi.org/10.1016/S0140-6736(19)33008-9" TargetMode="External" /><Relationship Type="http://schemas.openxmlformats.org/officeDocument/2006/relationships/hyperlink" Id="rId127" Target="https://doi.org/10.1016/S0140-6736(22)00662-6" TargetMode="External" /><Relationship Type="http://schemas.openxmlformats.org/officeDocument/2006/relationships/hyperlink" Id="rId85" Target="https://doi.org/10.1016/S1470-2045(17)30444-8" TargetMode="External" /><Relationship Type="http://schemas.openxmlformats.org/officeDocument/2006/relationships/hyperlink" Id="rId109" Target="https://doi.org/10.1016/S1470-2045(18)30935-5" TargetMode="External" /><Relationship Type="http://schemas.openxmlformats.org/officeDocument/2006/relationships/hyperlink" Id="rId131" Target="https://doi.org/10.1016/S1470-2045(22)00339-4" TargetMode="External" /><Relationship Type="http://schemas.openxmlformats.org/officeDocument/2006/relationships/hyperlink" Id="rId113" Target="https://doi.org/10.1016/S2352-3026(19)30026-2" TargetMode="External" /><Relationship Type="http://schemas.openxmlformats.org/officeDocument/2006/relationships/hyperlink" Id="rId105" Target="https://doi.org/10.1016/j.ccell.2021.10.006" TargetMode="External" /><Relationship Type="http://schemas.openxmlformats.org/officeDocument/2006/relationships/hyperlink" Id="rId155" Target="https://doi.org/10.1016/j.ejca.2019.05.024" TargetMode="External" /><Relationship Type="http://schemas.openxmlformats.org/officeDocument/2006/relationships/hyperlink" Id="rId70" Target="https://doi.org/10.1016/j.pathol.2017.09.006" TargetMode="External" /><Relationship Type="http://schemas.openxmlformats.org/officeDocument/2006/relationships/hyperlink" Id="rId139" Target="https://doi.org/10.1038/s41571-022-00607-3" TargetMode="External" /><Relationship Type="http://schemas.openxmlformats.org/officeDocument/2006/relationships/hyperlink" Id="rId133" Target="https://doi.org/10.1038/s41591-022-01731-4" TargetMode="External" /><Relationship Type="http://schemas.openxmlformats.org/officeDocument/2006/relationships/hyperlink" Id="rId117" Target="https://doi.org/10.1056/NEJMoa2115304" TargetMode="External" /><Relationship Type="http://schemas.openxmlformats.org/officeDocument/2006/relationships/hyperlink" Id="rId129" Target="https://doi.org/10.1056/NEJMoa2116596" TargetMode="External" /><Relationship Type="http://schemas.openxmlformats.org/officeDocument/2006/relationships/hyperlink" Id="rId135" Target="https://doi.org/10.1080/19420862.2018.1556465" TargetMode="External" /><Relationship Type="http://schemas.openxmlformats.org/officeDocument/2006/relationships/hyperlink" Id="rId137" Target="https://doi.org/10.1080/19420862.2019.1703531" TargetMode="External" /><Relationship Type="http://schemas.openxmlformats.org/officeDocument/2006/relationships/hyperlink" Id="rId161" Target="https://doi.org/10.1093/annonc/mdz032" TargetMode="External" /><Relationship Type="http://schemas.openxmlformats.org/officeDocument/2006/relationships/hyperlink" Id="rId147" Target="https://doi.org/10.1093/neuonc/noy192" TargetMode="External" /><Relationship Type="http://schemas.openxmlformats.org/officeDocument/2006/relationships/hyperlink" Id="rId97" Target="https://doi.org/10.1111/bjh.14282" TargetMode="External" /><Relationship Type="http://schemas.openxmlformats.org/officeDocument/2006/relationships/hyperlink" Id="rId143" Target="https://doi.org/10.1158/1078-0432.CCR-18-1226" TargetMode="External" /><Relationship Type="http://schemas.openxmlformats.org/officeDocument/2006/relationships/hyperlink" Id="rId149" Target="https://doi.org/10.1182/BLOOD.2019002729" TargetMode="External" /><Relationship Type="http://schemas.openxmlformats.org/officeDocument/2006/relationships/hyperlink" Id="rId89" Target="https://doi.org/10.1182/BLOOD.2019003535" TargetMode="External" /><Relationship Type="http://schemas.openxmlformats.org/officeDocument/2006/relationships/hyperlink" Id="rId75" Target="https://doi.org/10.1182/asheducation-2016.1.366" TargetMode="External" /><Relationship Type="http://schemas.openxmlformats.org/officeDocument/2006/relationships/hyperlink" Id="rId99" Target="https://doi.org/10.1182/blood-2016-05-719641" TargetMode="External" /><Relationship Type="http://schemas.openxmlformats.org/officeDocument/2006/relationships/hyperlink" Id="rId81" Target="https://doi.org/10.1182/blood-2017-03-769620" TargetMode="External" /><Relationship Type="http://schemas.openxmlformats.org/officeDocument/2006/relationships/hyperlink" Id="rId141" Target="https://doi.org/10.1182/blood-2017-07-796342" TargetMode="External" /><Relationship Type="http://schemas.openxmlformats.org/officeDocument/2006/relationships/hyperlink" Id="rId125" Target="https://doi.org/10.1182/blood.2021015209" TargetMode="External" /><Relationship Type="http://schemas.openxmlformats.org/officeDocument/2006/relationships/hyperlink" Id="rId123" Target="https://doi.org/10.1182/blood.2022018893" TargetMode="External" /><Relationship Type="http://schemas.openxmlformats.org/officeDocument/2006/relationships/hyperlink" Id="rId103" Target="https://doi.org/10.1186/s12943-018-0779-z" TargetMode="External" /><Relationship Type="http://schemas.openxmlformats.org/officeDocument/2006/relationships/hyperlink" Id="rId159" Target="https://doi.org/10.1200/JCO.18.00605" TargetMode="External" /><Relationship Type="http://schemas.openxmlformats.org/officeDocument/2006/relationships/hyperlink" Id="rId95" Target="https://doi.org/10.1200/JCO.18.01314" TargetMode="External" /><Relationship Type="http://schemas.openxmlformats.org/officeDocument/2006/relationships/hyperlink" Id="rId93" Target="https://doi.org/10.1200/JCO.18.01583" TargetMode="External" /><Relationship Type="http://schemas.openxmlformats.org/officeDocument/2006/relationships/hyperlink" Id="rId77" Target="https://doi.org/10.1200/JCO.18.01994" TargetMode="External" /><Relationship Type="http://schemas.openxmlformats.org/officeDocument/2006/relationships/hyperlink" Id="rId101" Target="https://doi.org/10.1200/JCO.18.02403" TargetMode="External" /><Relationship Type="http://schemas.openxmlformats.org/officeDocument/2006/relationships/hyperlink" Id="rId111" Target="https://doi.org/10.1200/JCO.19.00172" TargetMode="External" /><Relationship Type="http://schemas.openxmlformats.org/officeDocument/2006/relationships/hyperlink" Id="rId107" Target="https://doi.org/10.1200/JCO.20.01366" TargetMode="External" /><Relationship Type="http://schemas.openxmlformats.org/officeDocument/2006/relationships/hyperlink" Id="rId145" Target="https://doi.org/10.1200/JCO.2015.65.6520" TargetMode="External" /><Relationship Type="http://schemas.openxmlformats.org/officeDocument/2006/relationships/hyperlink" Id="rId79" Target="https://doi.org/10.1200/JCO.2016.70.0765" TargetMode="External" /><Relationship Type="http://schemas.openxmlformats.org/officeDocument/2006/relationships/hyperlink" Id="rId91" Target="https://doi.org/10.1200/JCO.2016.70.3660" TargetMode="External" /><Relationship Type="http://schemas.openxmlformats.org/officeDocument/2006/relationships/hyperlink" Id="rId83" Target="https://doi.org/10.1200/JCO.2017.73.3402" TargetMode="External" /><Relationship Type="http://schemas.openxmlformats.org/officeDocument/2006/relationships/hyperlink" Id="rId151" Target="https://doi.org/10.3389/fonc.2026.1690426" TargetMode="External" /><Relationship Type="http://schemas.openxmlformats.org/officeDocument/2006/relationships/hyperlink" Id="rId153" Target="https://doi.org/10.3390/biom12060784" TargetMode="External" /><Relationship Type="http://schemas.openxmlformats.org/officeDocument/2006/relationships/hyperlink" Id="rId157" Target="https://doi.org/10.3390/cancers15030713" TargetMode="External" /><Relationship Type="http://schemas.openxmlformats.org/officeDocument/2006/relationships/hyperlink" Id="rId121" Target="https://doi.org/10.3390/ph13090245" TargetMode="External" /><Relationship Type="http://schemas.openxmlformats.org/officeDocument/2006/relationships/hyperlink" Id="rId68" Target="https://github.com/htlin222/robust-lit-review"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02/ajh.26151" TargetMode="External" /><Relationship Type="http://schemas.openxmlformats.org/officeDocument/2006/relationships/hyperlink" Id="rId115" Target="https://doi.org/10.1007/s40265-019-01175-0" TargetMode="External" /><Relationship Type="http://schemas.openxmlformats.org/officeDocument/2006/relationships/hyperlink" Id="rId119" Target="https://doi.org/10.1016/S0140-6736(19)31774-X" TargetMode="External" /><Relationship Type="http://schemas.openxmlformats.org/officeDocument/2006/relationships/hyperlink" Id="rId87" Target="https://doi.org/10.1016/S0140-6736(19)33008-9" TargetMode="External" /><Relationship Type="http://schemas.openxmlformats.org/officeDocument/2006/relationships/hyperlink" Id="rId127" Target="https://doi.org/10.1016/S0140-6736(22)00662-6" TargetMode="External" /><Relationship Type="http://schemas.openxmlformats.org/officeDocument/2006/relationships/hyperlink" Id="rId85" Target="https://doi.org/10.1016/S1470-2045(17)30444-8" TargetMode="External" /><Relationship Type="http://schemas.openxmlformats.org/officeDocument/2006/relationships/hyperlink" Id="rId109" Target="https://doi.org/10.1016/S1470-2045(18)30935-5" TargetMode="External" /><Relationship Type="http://schemas.openxmlformats.org/officeDocument/2006/relationships/hyperlink" Id="rId131" Target="https://doi.org/10.1016/S1470-2045(22)00339-4" TargetMode="External" /><Relationship Type="http://schemas.openxmlformats.org/officeDocument/2006/relationships/hyperlink" Id="rId113" Target="https://doi.org/10.1016/S2352-3026(19)30026-2" TargetMode="External" /><Relationship Type="http://schemas.openxmlformats.org/officeDocument/2006/relationships/hyperlink" Id="rId105" Target="https://doi.org/10.1016/j.ccell.2021.10.006" TargetMode="External" /><Relationship Type="http://schemas.openxmlformats.org/officeDocument/2006/relationships/hyperlink" Id="rId155" Target="https://doi.org/10.1016/j.ejca.2019.05.024" TargetMode="External" /><Relationship Type="http://schemas.openxmlformats.org/officeDocument/2006/relationships/hyperlink" Id="rId70" Target="https://doi.org/10.1016/j.pathol.2017.09.006" TargetMode="External" /><Relationship Type="http://schemas.openxmlformats.org/officeDocument/2006/relationships/hyperlink" Id="rId139" Target="https://doi.org/10.1038/s41571-022-00607-3" TargetMode="External" /><Relationship Type="http://schemas.openxmlformats.org/officeDocument/2006/relationships/hyperlink" Id="rId133" Target="https://doi.org/10.1038/s41591-022-01731-4" TargetMode="External" /><Relationship Type="http://schemas.openxmlformats.org/officeDocument/2006/relationships/hyperlink" Id="rId117" Target="https://doi.org/10.1056/NEJMoa2115304" TargetMode="External" /><Relationship Type="http://schemas.openxmlformats.org/officeDocument/2006/relationships/hyperlink" Id="rId129" Target="https://doi.org/10.1056/NEJMoa2116596" TargetMode="External" /><Relationship Type="http://schemas.openxmlformats.org/officeDocument/2006/relationships/hyperlink" Id="rId135" Target="https://doi.org/10.1080/19420862.2018.1556465" TargetMode="External" /><Relationship Type="http://schemas.openxmlformats.org/officeDocument/2006/relationships/hyperlink" Id="rId137" Target="https://doi.org/10.1080/19420862.2019.1703531" TargetMode="External" /><Relationship Type="http://schemas.openxmlformats.org/officeDocument/2006/relationships/hyperlink" Id="rId161" Target="https://doi.org/10.1093/annonc/mdz032" TargetMode="External" /><Relationship Type="http://schemas.openxmlformats.org/officeDocument/2006/relationships/hyperlink" Id="rId147" Target="https://doi.org/10.1093/neuonc/noy192" TargetMode="External" /><Relationship Type="http://schemas.openxmlformats.org/officeDocument/2006/relationships/hyperlink" Id="rId97" Target="https://doi.org/10.1111/bjh.14282" TargetMode="External" /><Relationship Type="http://schemas.openxmlformats.org/officeDocument/2006/relationships/hyperlink" Id="rId143" Target="https://doi.org/10.1158/1078-0432.CCR-18-1226" TargetMode="External" /><Relationship Type="http://schemas.openxmlformats.org/officeDocument/2006/relationships/hyperlink" Id="rId149" Target="https://doi.org/10.1182/BLOOD.2019002729" TargetMode="External" /><Relationship Type="http://schemas.openxmlformats.org/officeDocument/2006/relationships/hyperlink" Id="rId89" Target="https://doi.org/10.1182/BLOOD.2019003535" TargetMode="External" /><Relationship Type="http://schemas.openxmlformats.org/officeDocument/2006/relationships/hyperlink" Id="rId75" Target="https://doi.org/10.1182/asheducation-2016.1.366" TargetMode="External" /><Relationship Type="http://schemas.openxmlformats.org/officeDocument/2006/relationships/hyperlink" Id="rId99" Target="https://doi.org/10.1182/blood-2016-05-719641" TargetMode="External" /><Relationship Type="http://schemas.openxmlformats.org/officeDocument/2006/relationships/hyperlink" Id="rId81" Target="https://doi.org/10.1182/blood-2017-03-769620" TargetMode="External" /><Relationship Type="http://schemas.openxmlformats.org/officeDocument/2006/relationships/hyperlink" Id="rId141" Target="https://doi.org/10.1182/blood-2017-07-796342" TargetMode="External" /><Relationship Type="http://schemas.openxmlformats.org/officeDocument/2006/relationships/hyperlink" Id="rId125" Target="https://doi.org/10.1182/blood.2021015209" TargetMode="External" /><Relationship Type="http://schemas.openxmlformats.org/officeDocument/2006/relationships/hyperlink" Id="rId123" Target="https://doi.org/10.1182/blood.2022018893" TargetMode="External" /><Relationship Type="http://schemas.openxmlformats.org/officeDocument/2006/relationships/hyperlink" Id="rId103" Target="https://doi.org/10.1186/s12943-018-0779-z" TargetMode="External" /><Relationship Type="http://schemas.openxmlformats.org/officeDocument/2006/relationships/hyperlink" Id="rId159" Target="https://doi.org/10.1200/JCO.18.00605" TargetMode="External" /><Relationship Type="http://schemas.openxmlformats.org/officeDocument/2006/relationships/hyperlink" Id="rId95" Target="https://doi.org/10.1200/JCO.18.01314" TargetMode="External" /><Relationship Type="http://schemas.openxmlformats.org/officeDocument/2006/relationships/hyperlink" Id="rId93" Target="https://doi.org/10.1200/JCO.18.01583" TargetMode="External" /><Relationship Type="http://schemas.openxmlformats.org/officeDocument/2006/relationships/hyperlink" Id="rId77" Target="https://doi.org/10.1200/JCO.18.01994" TargetMode="External" /><Relationship Type="http://schemas.openxmlformats.org/officeDocument/2006/relationships/hyperlink" Id="rId101" Target="https://doi.org/10.1200/JCO.18.02403" TargetMode="External" /><Relationship Type="http://schemas.openxmlformats.org/officeDocument/2006/relationships/hyperlink" Id="rId111" Target="https://doi.org/10.1200/JCO.19.00172" TargetMode="External" /><Relationship Type="http://schemas.openxmlformats.org/officeDocument/2006/relationships/hyperlink" Id="rId107" Target="https://doi.org/10.1200/JCO.20.01366" TargetMode="External" /><Relationship Type="http://schemas.openxmlformats.org/officeDocument/2006/relationships/hyperlink" Id="rId145" Target="https://doi.org/10.1200/JCO.2015.65.6520" TargetMode="External" /><Relationship Type="http://schemas.openxmlformats.org/officeDocument/2006/relationships/hyperlink" Id="rId79" Target="https://doi.org/10.1200/JCO.2016.70.0765" TargetMode="External" /><Relationship Type="http://schemas.openxmlformats.org/officeDocument/2006/relationships/hyperlink" Id="rId91" Target="https://doi.org/10.1200/JCO.2016.70.3660" TargetMode="External" /><Relationship Type="http://schemas.openxmlformats.org/officeDocument/2006/relationships/hyperlink" Id="rId83" Target="https://doi.org/10.1200/JCO.2017.73.3402" TargetMode="External" /><Relationship Type="http://schemas.openxmlformats.org/officeDocument/2006/relationships/hyperlink" Id="rId151" Target="https://doi.org/10.3389/fonc.2026.1690426" TargetMode="External" /><Relationship Type="http://schemas.openxmlformats.org/officeDocument/2006/relationships/hyperlink" Id="rId153" Target="https://doi.org/10.3390/biom12060784" TargetMode="External" /><Relationship Type="http://schemas.openxmlformats.org/officeDocument/2006/relationships/hyperlink" Id="rId157" Target="https://doi.org/10.3390/cancers15030713" TargetMode="External" /><Relationship Type="http://schemas.openxmlformats.org/officeDocument/2006/relationships/hyperlink" Id="rId121" Target="https://doi.org/10.3390/ph13090245" TargetMode="External" /><Relationship Type="http://schemas.openxmlformats.org/officeDocument/2006/relationships/hyperlink" Id="rId68" Target="https://github.com/htlin222/robust-lit-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Frontline Treatment of Diffuse Large B-Cell Lymphoma: A Systematic Review (2016-2026)</dc:title>
  <dc:creator>Automated Literature Review Pipeline</dc:creator>
  <cp:keywords/>
  <dcterms:created xsi:type="dcterms:W3CDTF">2026-03-26T15:04:03Z</dcterms:created>
  <dcterms:modified xsi:type="dcterms:W3CDTF">2026-03-26T15:04:03Z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Diffuse large B-cell lymphoma (DLBCL) is the most common subtype of non-Hodgkin lymphoma, accounting for approximately 30–40% of new diagnoses worldwide. For over two decades, rituximab plus cyclophosphamide, doxorubicin, vincristine, and prednisone (R-CHOP) has served as the standard frontline regimen, curing roughly 60% of patients. However, the remaining 40% experience primary refractory disease or relapse, underscoring a critical unmet need. The period from 2016 to 2026 has witnessed transformative advances in molecular classification, antibody–drug conjugates, bispecific antibodies, and chimeric antigen receptor T-cell (CAR-T) therapies that are reshaping the frontline treatment landscape.Methods: A systematic review was conducted following the Preferred Reporting Items for Systematic Reviews and Meta-Analyses (PRISMA) 2020 guidelines. Comprehensive searches of Scopus, PubMed, and Embase were performed for English-language articles published between January 2016 and March 2026. The initial search yielded 500 records. After screening by title and abstract, followed by full-text eligibility assessment applying predefined inclusion criteria—peer-reviewed original research, clinical trials, systematic reviews, and meta-analyses published in journals with a CiteScore of 3.0 or higher—50 articles across 26 journals were included in the qualitative synthesis.Results: The included studies demonstrated that R-CHOP remains the backbone of frontline therapy, although the POLARIX trial established polatuzumab vedotin plus R-CHP (pola-R-CHP) as a new standard with superior progression-free survival. Molecular subtyping based on cell of origin (activated B-cell–like versus germinal center B-cell–like) and genetic classifiers has refined risk stratification, yet subtype-directed strategies such as ibrutinib plus R-CHOP and lenalidomide plus R-CHOP have not yielded consistent overall survival benefits. CAR-T cell therapy has demonstrated curative potential in the relapsed and refractory setting and is under investigation as frontline consolidation for high-risk patients. Bispecific antibodies and novel antibody–drug conjugates are expanding the therapeutic arsenal. Prognostic indices including the International Prognostic Index and its revised variants, along with double-hit and double-expresser biology, remain central to treatment decision-making.Conclusions: The frontline treatment of DLBCL is undergoing a paradigm shift driven by molecularly informed risk stratification and the emergence of targeted immunotherapies. While pola-R-CHP represents an incremental advance over R-CHOP, curative outcomes for high-risk molecular subtypes remain elusive. Future research should prioritize biomarker-guided treatment selection, earlier integration of CAR-T and bispecific antibody platforms, and strategies to overcome resistance in genetically adverse subgroups. Collaborative, molecularly stratified clinical trials are essential to translate these advances into durable survival improvements across all patient subsets.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https://raw.githubusercontent.com/citation-style-language/styles/master/american-medical-association.csl</vt:lpwstr>
  </property>
  <property fmtid="{D5CDD505-2E9C-101B-9397-08002B2CF9AE}" pid="8" name="date">
    <vt:lpwstr>2026-03-26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Systematic Literature Review</vt:lpwstr>
  </property>
  <property fmtid="{D5CDD505-2E9C-101B-9397-08002B2CF9AE}" pid="14" name="toc-title">
    <vt:lpwstr>Table of contents</vt:lpwstr>
  </property>
</Properties>
</file>