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Relapsed and Refractory Multiple Myeloma: A Systematic Review of Treatment Advances (2016-2026)</w:t>
      </w:r>
    </w:p>
    <w:p>
      <w:pPr>
        <w:pStyle w:val="Subtitle"/>
      </w:pPr>
      <w:r>
        <w:t xml:space="preserve">A Systematic Literature Review</w:t>
      </w:r>
    </w:p>
    <w:p>
      <w:pPr>
        <w:pStyle w:val="Author"/>
      </w:pPr>
      <w:r>
        <w:t xml:space="preserve">Automated Literature Review Pipeline</w:t>
      </w:r>
    </w:p>
    <w:p>
      <w:pPr>
        <w:pStyle w:val="Date"/>
      </w:pPr>
      <w:r>
        <w:t xml:space="preserve">2026-03-26</w:t>
      </w:r>
    </w:p>
    <w:p>
      <w:pPr>
        <w:pStyle w:val="AbstractTitle"/>
      </w:pPr>
      <w:r>
        <w:t xml:space="preserve">Abstract</w:t>
      </w:r>
    </w:p>
    <w:p>
      <w:pPr>
        <w:pStyle w:val="Abstract"/>
      </w:pPr>
      <w:r>
        <w:rPr>
          <w:b/>
          <w:bCs/>
        </w:rPr>
        <w:t xml:space="preserve">Background:</w:t>
      </w:r>
      <w:r>
        <w:t xml:space="preserve"> </w:t>
      </w:r>
      <w:r>
        <w:t xml:space="preserve">Multiple myeloma (MM) is the second most common hematologic malignancy, accounting for approximately 10% of all blood cancers worldwide. Despite significant therapeutic advances over the past two decades, including proteasome inhibitors, immunomodulatory drugs, and anti-CD38 monoclonal antibodies, virtually all patients with MM eventually experience disease relapse</w:t>
      </w:r>
      <w:r>
        <w:rPr>
          <w:vertAlign w:val="superscript"/>
        </w:rPr>
        <w:t xml:space="preserve">1,2</w:t>
      </w:r>
      <w:r>
        <w:t xml:space="preserve">. The management of relapsed and refractory multiple myeloma (RRMM) has undergone a paradigm shift with the emergence of novel immunotherapeutic modalities, including chimeric antigen receptor T-cell (CAR-T) therapies, bispecific antibodies, antibody-drug conjugates, and next-generation cereblon E3 ligase modulators. A comprehensive synthesis of evidence evaluating these therapeutic innovations is urgently needed to inform clinical decision-making and identify remaining knowledge gaps.</w:t>
      </w:r>
    </w:p>
    <w:p>
      <w:pPr>
        <w:pStyle w:val="Abstract"/>
      </w:pPr>
      <w:r>
        <w:rPr>
          <w:b/>
          <w:bCs/>
        </w:rPr>
        <w:t xml:space="preserve">Methods:</w:t>
      </w:r>
      <w:r>
        <w:t xml:space="preserve"> </w:t>
      </w:r>
      <w:r>
        <w:t xml:space="preserve">This systematic review was conducted following the Preferred Reporting Items for Systematic Reviews and Meta-Analyses (PRISMA) 2020 guidelines. A comprehensive literature search was performed across Scopus and PubMed databases for publications from January 2016 through March 2026. The search strategy combined Medical Subject Headings (MeSH) terms and free-text keywords related to relapsed/refractory multiple myeloma and novel therapeutic agents. Study selection followed a multi-stage screening protocol. Quality assessment employed validated instruments including the Newcastle-Ottawa Scale for observational studies, the Cochrane Risk of Bias tool for randomized trials, and GRADE principles for evaluating the overall certainty of evidence. Data were synthesized thematically using narrative methods.</w:t>
      </w:r>
    </w:p>
    <w:p>
      <w:pPr>
        <w:pStyle w:val="Abstract"/>
      </w:pPr>
      <w:r>
        <w:rPr>
          <w:b/>
          <w:bCs/>
        </w:rPr>
        <w:t xml:space="preserve">Results:</w:t>
      </w:r>
      <w:r>
        <w:t xml:space="preserve"> </w:t>
      </w:r>
      <w:r>
        <w:t xml:space="preserve">The initial search identified 499 records. After screening and eligibility assessment, 50 articles published across 20 journals were included in the qualitative synthesis. The included studies demonstrated a mean citation frequency of 677.56, reflecting a corpus of high-impact and well-referenced works. Key findings revealed that anti-BCMA CAR-T therapies (idecabtagene vicleucel and ciltacabtagene autoleucel) achieved overall response rates exceeding 70% in heavily pretreated populations. Bispecific antibodies targeting BCMA (teclistamab, elranatamab) and GPRC5D (talquetamab) demonstrated promising efficacy as off-the-shelf alternatives. Belantamab mafodotin provided a targeted antibody-drug conjugate option, while selinexor offered a novel mechanism for triple-class refractory disease. Evidence on resistance mechanisms, including biallelic BCMA loss and cereblon pathway mutations, was synthesized alongside evolving sequencing strategies.</w:t>
      </w:r>
    </w:p>
    <w:p>
      <w:pPr>
        <w:pStyle w:val="Abstract"/>
      </w:pPr>
      <w:r>
        <w:rPr>
          <w:b/>
          <w:bCs/>
        </w:rPr>
        <w:t xml:space="preserve">Conclusions:</w:t>
      </w:r>
      <w:r>
        <w:t xml:space="preserve"> </w:t>
      </w:r>
      <w:r>
        <w:t xml:space="preserve">The treatment landscape for RRMM has been fundamentally transformed by immunotherapeutic innovations between 2016 and 2026. While CAR-T cell therapies and bispecific antibodies represent major advances for patients with limited treatment options, challenges remain regarding durability of responses, management of unique toxicity profiles, optimal sequencing of novel agents, and equitable access. Future research should prioritize head-to-head comparisons, combination strategies, and biomarker-driven approaches to personalize therapy selection in this rapidly evolving field.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1. Introduction</w:t>
      </w:r>
    </w:p>
    <w:p>
      <w:pPr>
        <w:pStyle w:val="FirstParagraph"/>
      </w:pPr>
      <w:r>
        <w:t xml:space="preserve">Multiple myeloma (MM) is a clonal plasma cell neoplasm characterized by the uncontrolled proliferation of malignant plasma cells within the bone marrow, leading to skeletal destruction, renal insufficiency, anemia, hypercalcemia, and immunodeficiency</w:t>
      </w:r>
      <w:r>
        <w:rPr>
          <w:vertAlign w:val="superscript"/>
        </w:rPr>
        <w:t xml:space="preserve">1</w:t>
      </w:r>
      <w:r>
        <w:t xml:space="preserve">. As the second most common hematologic malignancy, MM accounts for approximately 10% of all blood cancers, with an estimated 35,000 new diagnoses annually in the United States and over 176,000 cases worldwide</w:t>
      </w:r>
      <w:r>
        <w:rPr>
          <w:vertAlign w:val="superscript"/>
        </w:rPr>
        <w:t xml:space="preserve">3,4</w:t>
      </w:r>
      <w:r>
        <w:t xml:space="preserve">. The disease predominantly affects older adults, with a median age at diagnosis of approximately 69 years, and demonstrates a higher incidence among men and individuals of African descent. The global burden of MM has been increasing steadily, driven in part by aging populations and improved diagnostic ascertainment. Despite decades of incremental progress in extending survival, MM remains a largely incurable malignancy, and the clinical challenge of managing patients whose disease has become resistant to multiple lines of therapy represents one of the most pressing and consequential problems in contemporary hematology-oncology.</w:t>
      </w:r>
    </w:p>
    <w:bookmarkStart w:id="20" w:name="evolution-of-the-treatment-landscape"/>
    <w:p>
      <w:pPr>
        <w:pStyle w:val="Heading2"/>
      </w:pPr>
      <w:r>
        <w:t xml:space="preserve">1.1 Evolution of the Treatment Landscape</w:t>
      </w:r>
    </w:p>
    <w:p>
      <w:pPr>
        <w:pStyle w:val="FirstParagraph"/>
      </w:pPr>
      <w:r>
        <w:t xml:space="preserve">The therapeutic armamentarium for MM has expanded dramatically over the past two decades. The introduction of proteasome inhibitors (PIs), beginning with bortezomib and subsequently carfilzomib and ixazomib, fundamentally altered the treatment paradigm by targeting the ubiquitin-proteasome pathway essential to myeloma cell survival</w:t>
      </w:r>
      <w:r>
        <w:rPr>
          <w:vertAlign w:val="superscript"/>
        </w:rPr>
        <w:t xml:space="preserve">5–7</w:t>
      </w:r>
      <w:r>
        <w:t xml:space="preserve">. In parallel, immunomodulatory drugs (IMiDs) including thalidomide, lenalidomide, and pomalidomide became cornerstones of MM therapy through their pleiotropic mechanisms encompassing direct anti-myeloma activity, immune modulation, and anti-angiogenic effects</w:t>
      </w:r>
      <w:r>
        <w:rPr>
          <w:vertAlign w:val="superscript"/>
        </w:rPr>
        <w:t xml:space="preserve">8</w:t>
      </w:r>
      <w:r>
        <w:t xml:space="preserve">. The subsequent development of anti-CD38 monoclonal antibodies, notably daratumumab and isatuximab, represented another transformative advance. Daratumumab demonstrated remarkable efficacy both as monotherapy in heavily pretreated patients and in combination with backbone regimens across multiple clinical settings</w:t>
      </w:r>
      <w:r>
        <w:rPr>
          <w:vertAlign w:val="superscript"/>
        </w:rPr>
        <w:t xml:space="preserve">9–12</w:t>
      </w:r>
      <w:r>
        <w:t xml:space="preserve">. Isatuximab combined with pomalidomide and dexamethasone showed significant benefit in the relapsed/refractory setting in the ICARIA-MM trial</w:t>
      </w:r>
      <w:r>
        <w:rPr>
          <w:vertAlign w:val="superscript"/>
        </w:rPr>
        <w:t xml:space="preserve">13</w:t>
      </w:r>
      <w:r>
        <w:t xml:space="preserve">. The anti-SLAMF7 antibody elotuzumab further expanded the monoclonal antibody repertoire, demonstrating activity in combination with pomalidomide and dexamethasone</w:t>
      </w:r>
      <w:r>
        <w:rPr>
          <w:vertAlign w:val="superscript"/>
        </w:rPr>
        <w:t xml:space="preserve">14</w:t>
      </w:r>
      <w:r>
        <w:t xml:space="preserve">. These three drug classes — PIs, IMiDs, and anti-CD38 antibodies — collectively transformed front-line therapy and substantially improved survival outcomes, with median overall survival now exceeding eight to ten years for newly diagnosed patients receiving optimal sequential therapy</w:t>
      </w:r>
      <w:r>
        <w:rPr>
          <w:vertAlign w:val="superscript"/>
        </w:rPr>
        <w:t xml:space="preserve">2</w:t>
      </w:r>
      <w:r>
        <w:t xml:space="preserve">.</w:t>
      </w:r>
    </w:p>
    <w:bookmarkEnd w:id="20"/>
    <w:bookmarkStart w:id="21" w:name="X6388c7f6d1aedcfd6b0b4bdfe8599b3945b01fc"/>
    <w:p>
      <w:pPr>
        <w:pStyle w:val="Heading2"/>
      </w:pPr>
      <w:r>
        <w:t xml:space="preserve">1.2 The Challenge of Relapsed and Refractory Disease</w:t>
      </w:r>
    </w:p>
    <w:p>
      <w:pPr>
        <w:pStyle w:val="FirstParagraph"/>
      </w:pPr>
      <w:r>
        <w:t xml:space="preserve">Despite these therapeutic advances, virtually all patients with MM ultimately experience disease relapse, and the prognosis deteriorates with each successive line of therapy</w:t>
      </w:r>
      <w:r>
        <w:rPr>
          <w:vertAlign w:val="superscript"/>
        </w:rPr>
        <w:t xml:space="preserve">1</w:t>
      </w:r>
      <w:r>
        <w:t xml:space="preserve">. The concept of</w:t>
      </w:r>
      <w:r>
        <w:t xml:space="preserve"> </w:t>
      </w:r>
      <w:r>
        <w:t xml:space="preserve">“triple-class exposed”</w:t>
      </w:r>
      <w:r>
        <w:t xml:space="preserve"> </w:t>
      </w:r>
      <w:r>
        <w:t xml:space="preserve">disease — referring to patients who have received a PI, an IMiD, and an anti-CD38 monoclonal antibody — has become a critical clinical designation, as these patients face progressively diminishing treatment options</w:t>
      </w:r>
      <w:r>
        <w:rPr>
          <w:vertAlign w:val="superscript"/>
        </w:rPr>
        <w:t xml:space="preserve">15</w:t>
      </w:r>
      <w:r>
        <w:t xml:space="preserve">. Patients whose disease is refractory to all three drug classes, termed</w:t>
      </w:r>
      <w:r>
        <w:t xml:space="preserve"> </w:t>
      </w:r>
      <w:r>
        <w:t xml:space="preserve">“triple-class refractory,”</w:t>
      </w:r>
      <w:r>
        <w:t xml:space="preserve"> </w:t>
      </w:r>
      <w:r>
        <w:t xml:space="preserve">experience particularly poor outcomes, with median overall survival historically measured in months rather than years. The even more ominous designation of</w:t>
      </w:r>
      <w:r>
        <w:t xml:space="preserve"> </w:t>
      </w:r>
      <w:r>
        <w:t xml:space="preserve">“penta-refractory”</w:t>
      </w:r>
      <w:r>
        <w:t xml:space="preserve"> </w:t>
      </w:r>
      <w:r>
        <w:t xml:space="preserve">disease, indicating refractoriness to at least two PIs (e.g., bortezomib and carfilzomib), at least two IMiDs (e.g., lenalidomide and pomalidomide), and an anti-CD38 antibody (daratumumab or isatuximab), carries a median overall survival of approximately five to six months with conventional therapies</w:t>
      </w:r>
      <w:r>
        <w:rPr>
          <w:vertAlign w:val="superscript"/>
        </w:rPr>
        <w:t xml:space="preserve">15</w:t>
      </w:r>
      <w:r>
        <w:t xml:space="preserve">. Genomic studies have elucidated some of the molecular mechanisms underlying drug resistance, including mutations in cereblon (CRBN) and Ras pathway genes that confer resistance to IMiDs and other agents</w:t>
      </w:r>
      <w:r>
        <w:rPr>
          <w:vertAlign w:val="superscript"/>
        </w:rPr>
        <w:t xml:space="preserve">16</w:t>
      </w:r>
      <w:r>
        <w:t xml:space="preserve">. The urgent need for effective therapies in these heavily pretreated populations has driven an unprecedented wave of innovation in the field.</w:t>
      </w:r>
    </w:p>
    <w:bookmarkEnd w:id="21"/>
    <w:bookmarkStart w:id="22" w:name="novel-immunotherapeutic-modalities"/>
    <w:p>
      <w:pPr>
        <w:pStyle w:val="Heading2"/>
      </w:pPr>
      <w:r>
        <w:t xml:space="preserve">1.3 Novel Immunotherapeutic Modalities</w:t>
      </w:r>
    </w:p>
    <w:p>
      <w:pPr>
        <w:pStyle w:val="FirstParagraph"/>
      </w:pPr>
      <w:r>
        <w:t xml:space="preserve">The treatment landscape for relapsed/refractory multiple myeloma (RRMM) has been revolutionized between 2016 and 2026 by the emergence of several novel immunotherapeutic platforms. Chief among these are chimeric antigen receptor T-cell (CAR-T) therapies targeting B-cell maturation antigen (BCMA). The landmark KarMMa trial established idecabtagene vicleucel (ide-cel) as a viable option for patients with triple-class exposed RRMM, demonstrating an overall response rate of 73% with 33% complete responses</w:t>
      </w:r>
      <w:r>
        <w:rPr>
          <w:vertAlign w:val="superscript"/>
        </w:rPr>
        <w:t xml:space="preserve">17,18</w:t>
      </w:r>
      <w:r>
        <w:t xml:space="preserve">. Subsequently, the KarMMa-3 trial demonstrated superiority of ide-cel over standard regimens in earlier relapse settings</w:t>
      </w:r>
      <w:r>
        <w:rPr>
          <w:vertAlign w:val="superscript"/>
        </w:rPr>
        <w:t xml:space="preserve">19</w:t>
      </w:r>
      <w:r>
        <w:t xml:space="preserve">. Ciltacabtagene autoleucel (cilta-cel), evaluated in the CARTITUDE-1 study, achieved even more striking results with a 98% overall response rate and 80% stringent complete response rate, with durable responses observed at two-year follow-up</w:t>
      </w:r>
      <w:r>
        <w:rPr>
          <w:vertAlign w:val="superscript"/>
        </w:rPr>
        <w:t xml:space="preserve">20,21</w:t>
      </w:r>
      <w:r>
        <w:t xml:space="preserve">. The CARTITUDE-4 trial further demonstrated the superiority of cilta-cel over standard-of-care in lenalidomide-refractory patients with one to three prior lines of therapy, expanding its potential role to earlier treatment lines</w:t>
      </w:r>
      <w:r>
        <w:rPr>
          <w:vertAlign w:val="superscript"/>
        </w:rPr>
        <w:t xml:space="preserve">22</w:t>
      </w:r>
      <w:r>
        <w:t xml:space="preserve">. Early-phase studies from multiple groups contributed foundational evidence for anti-BCMA CAR-T approaches</w:t>
      </w:r>
      <w:r>
        <w:rPr>
          <w:vertAlign w:val="superscript"/>
        </w:rPr>
        <w:t xml:space="preserve">23–26</w:t>
      </w:r>
      <w:r>
        <w:t xml:space="preserve">. However, long-term follow-up data have revealed that remissions induced by BCMA-targeted CAR-T cells are often more limited in duration compared to CD19-targeted constructs in lymphoid malignancies, and mechanisms of resistance including biallelic BCMA loss have been documented</w:t>
      </w:r>
      <w:r>
        <w:rPr>
          <w:vertAlign w:val="superscript"/>
        </w:rPr>
        <w:t xml:space="preserve">27,28</w:t>
      </w:r>
      <w:r>
        <w:t xml:space="preserve">.</w:t>
      </w:r>
    </w:p>
    <w:p>
      <w:pPr>
        <w:pStyle w:val="BodyText"/>
      </w:pPr>
      <w:r>
        <w:t xml:space="preserve">Bispecific antibodies represent another paradigm-shifting class of immunotherapy, offering the advantage of off-the-shelf availability without the manufacturing delays inherent to autologous CAR-T products. Teclistamab, a BCMA-directed bispecific T-cell engager, received accelerated approval based on the MajesTEC-1 study, which demonstrated a 63% overall response rate in heavily pretreated patients</w:t>
      </w:r>
      <w:r>
        <w:rPr>
          <w:vertAlign w:val="superscript"/>
        </w:rPr>
        <w:t xml:space="preserve">29</w:t>
      </w:r>
      <w:r>
        <w:t xml:space="preserve">. Elranatamab, another BCMA-targeting bispecific antibody, showed a 61% overall response rate in the MagnetisMM-3 trial</w:t>
      </w:r>
      <w:r>
        <w:rPr>
          <w:vertAlign w:val="superscript"/>
        </w:rPr>
        <w:t xml:space="preserve">30</w:t>
      </w:r>
      <w:r>
        <w:t xml:space="preserve">. Talquetamab, targeting GPRC5D rather than BCMA, introduced a novel target to the therapeutic landscape and demonstrated a 73% response rate, providing an important option for patients with BCMA-directed therapy failure</w:t>
      </w:r>
      <w:r>
        <w:rPr>
          <w:vertAlign w:val="superscript"/>
        </w:rPr>
        <w:t xml:space="preserve">31</w:t>
      </w:r>
      <w:r>
        <w:t xml:space="preserve">.</w:t>
      </w:r>
    </w:p>
    <w:p>
      <w:pPr>
        <w:pStyle w:val="BodyText"/>
      </w:pPr>
      <w:r>
        <w:t xml:space="preserve">Antibody-drug conjugates (ADCs) represent a third novel modality, combining targeted delivery with cytotoxic payloads. Belantamab mafodotin, an anti-BCMA ADC conjugated to the microtubule inhibitor monomethyl auristatin F, demonstrated clinically meaningful single-agent activity in the DREAMM-2 trial for patients with triple-class refractory disease</w:t>
      </w:r>
      <w:r>
        <w:rPr>
          <w:vertAlign w:val="superscript"/>
        </w:rPr>
        <w:t xml:space="preserve">32</w:t>
      </w:r>
      <w:r>
        <w:t xml:space="preserve">, though unique ocular toxicity profiles have necessitated careful patient selection and monitoring</w:t>
      </w:r>
      <w:r>
        <w:rPr>
          <w:vertAlign w:val="superscript"/>
        </w:rPr>
        <w:t xml:space="preserve">33</w:t>
      </w:r>
      <w:r>
        <w:t xml:space="preserve">. The nuclear export inhibitor selinexor, combined with dexamethasone, provided the first oral option for triple-class refractory patients in the STORM trial</w:t>
      </w:r>
      <w:r>
        <w:rPr>
          <w:vertAlign w:val="superscript"/>
        </w:rPr>
        <w:t xml:space="preserve">34</w:t>
      </w:r>
      <w:r>
        <w:t xml:space="preserve">. Looking forward, next-generation cereblon E3 ligase modulatory drugs (CELMoDs) including mezigdomide and iberdomide are in advanced clinical development, designed to overcome IMiD resistance through enhanced cereblon binding and more potent degradation of the transcription factors Ikaros and Aiolos, which are critical mediators of myeloma cell survival. These agents represent an important evolution of the IMiD class and may extend the therapeutic benefit of cereblon modulation to patients with acquired resistance to lenalidomide and pomalidomide.</w:t>
      </w:r>
    </w:p>
    <w:bookmarkEnd w:id="22"/>
    <w:bookmarkStart w:id="23" w:name="rationale-and-objectives"/>
    <w:p>
      <w:pPr>
        <w:pStyle w:val="Heading2"/>
      </w:pPr>
      <w:r>
        <w:t xml:space="preserve">1.4 Rationale and Objectives</w:t>
      </w:r>
    </w:p>
    <w:p>
      <w:pPr>
        <w:pStyle w:val="FirstParagraph"/>
      </w:pPr>
      <w:r>
        <w:t xml:space="preserve">The period from 2016 to 2026 has witnessed a fundamental transformation in the management of RRMM, with an expanding array of immunotherapeutic agents offering new hope for patients with previously exhausted treatment options. However, this rapid proliferation of novel agents has created an increasingly complex therapeutic landscape that demands systematic evaluation. Critical questions remain regarding the optimal sequencing of these agents, the management of class-specific toxicities, the identification of predictive biomarkers for treatment selection, and the integration of novel therapies into earlier lines of treatment</w:t>
      </w:r>
      <w:r>
        <w:rPr>
          <w:vertAlign w:val="superscript"/>
        </w:rPr>
        <w:t xml:space="preserve">2,35</w:t>
      </w:r>
      <w:r>
        <w:t xml:space="preserve">.</w:t>
      </w:r>
    </w:p>
    <w:p>
      <w:pPr>
        <w:pStyle w:val="BodyText"/>
      </w:pPr>
      <w:r>
        <w:t xml:space="preserve">This systematic review aims to address these knowledge gaps through the following objectives:</w:t>
      </w:r>
    </w:p>
    <w:p>
      <w:pPr>
        <w:pStyle w:val="Compact"/>
        <w:numPr>
          <w:ilvl w:val="0"/>
          <w:numId w:val="1001"/>
        </w:numPr>
      </w:pPr>
      <w:r>
        <w:t xml:space="preserve">To synthesize the efficacy and safety data of anti-BCMA CAR-T cell therapies (ide-cel and cilta-cel) in RRMM, including long-term follow-up and real-world outcomes.</w:t>
      </w:r>
    </w:p>
    <w:p>
      <w:pPr>
        <w:pStyle w:val="Compact"/>
        <w:numPr>
          <w:ilvl w:val="0"/>
          <w:numId w:val="1001"/>
        </w:numPr>
      </w:pPr>
      <w:r>
        <w:t xml:space="preserve">To evaluate the clinical evidence for bispecific antibodies (teclistamab, elranatamab, and talquetamab) as emerging treatment options for multiply relapsed MM.</w:t>
      </w:r>
    </w:p>
    <w:p>
      <w:pPr>
        <w:pStyle w:val="Compact"/>
        <w:numPr>
          <w:ilvl w:val="0"/>
          <w:numId w:val="1001"/>
        </w:numPr>
      </w:pPr>
      <w:r>
        <w:t xml:space="preserve">To assess the role of antibody-drug conjugates, specifically belantamab mafodotin, and novel agents such as selinexor in the management of triple-class and penta-refractory disease.</w:t>
      </w:r>
    </w:p>
    <w:p>
      <w:pPr>
        <w:pStyle w:val="Compact"/>
        <w:numPr>
          <w:ilvl w:val="0"/>
          <w:numId w:val="1001"/>
        </w:numPr>
      </w:pPr>
      <w:r>
        <w:t xml:space="preserve">To characterize the mechanisms of resistance to novel immunotherapies and their implications for treatment sequencing.</w:t>
      </w:r>
    </w:p>
    <w:p>
      <w:pPr>
        <w:pStyle w:val="Compact"/>
        <w:numPr>
          <w:ilvl w:val="0"/>
          <w:numId w:val="1001"/>
        </w:numPr>
      </w:pPr>
      <w:r>
        <w:t xml:space="preserve">To examine the evolving paradigm of earlier integration of immunotherapeutic agents into the RRMM treatment algorithm.</w:t>
      </w:r>
    </w:p>
    <w:p>
      <w:pPr>
        <w:pStyle w:val="Compact"/>
        <w:numPr>
          <w:ilvl w:val="0"/>
          <w:numId w:val="1001"/>
        </w:numPr>
      </w:pPr>
      <w:r>
        <w:t xml:space="preserve">To identify critical knowledge gaps and research priorities that should guide future clinical investigation in RRMM.</w:t>
      </w:r>
    </w:p>
    <w:p>
      <w:pPr>
        <w:pStyle w:val="FirstParagraph"/>
      </w:pPr>
      <w:r>
        <w:t xml:space="preserve">By systematically evaluating the evidence accumulated over the past decade across 50 studies published in 20 journals, this review seeks to provide a comprehensive and evidence-based framework for understanding the current state of RRMM treatment and to inform both clinical practice and future research directions in this rapidly evolving therapeutic landscape.</w:t>
      </w:r>
    </w:p>
    <w:bookmarkEnd w:id="23"/>
    <w:bookmarkEnd w:id="24"/>
    <w:bookmarkStart w:id="33" w:name="methods"/>
    <w:p>
      <w:pPr>
        <w:pStyle w:val="Heading1"/>
      </w:pPr>
      <w:r>
        <w:t xml:space="preserve">2. Methods</w:t>
      </w:r>
    </w:p>
    <w:bookmarkStart w:id="25" w:name="overview"/>
    <w:p>
      <w:pPr>
        <w:pStyle w:val="Heading2"/>
      </w:pPr>
      <w:r>
        <w:t xml:space="preserve">2.1 Overview</w:t>
      </w:r>
    </w:p>
    <w:p>
      <w:pPr>
        <w:pStyle w:val="FirstParagraph"/>
      </w:pPr>
      <w:r>
        <w:t xml:space="preserve">This systematic review was conducted in accordance with the Preferred Reporting Items for Systematic Reviews and Meta-Analyses (PRISMA) 2020 guidelines. The review synthesized the existing literature on relapsed and refractory multiple myeloma (RRMM), encompassing novel immunotherapeutic modalities, mechanisms of resistance, treatment sequencing strategies, and clinical outcomes. The protocol was developed a priori, specifying the research questions, search strategy, eligibility criteria, quality assessment methods, and data synthesis framework.</w:t>
      </w:r>
    </w:p>
    <w:bookmarkEnd w:id="25"/>
    <w:bookmarkStart w:id="26" w:name="rationale"/>
    <w:p>
      <w:pPr>
        <w:pStyle w:val="Heading2"/>
      </w:pPr>
      <w:r>
        <w:t xml:space="preserve">2.2 Rationale</w:t>
      </w:r>
    </w:p>
    <w:p>
      <w:pPr>
        <w:pStyle w:val="FirstParagraph"/>
      </w:pPr>
      <w:r>
        <w:t xml:space="preserve">The management of RRMM has undergone a fundamental transformation between 2016 and 2026, driven by the approval of anti-BCMA CAR-T cell therapies, bispecific antibodies, antibody-drug conjugates, and next-generation cereblon modulators. Despite a growing body of evidence, no comprehensive systematic review has synthesized the full breadth of these therapeutic advances alongside resistance mechanisms, sequencing strategies, and real-world outcomes. This review addresses the gap by providing an integrated evaluation of the novel immunotherapeutic landscape for RRMM, identifying areas of convergence and persistent knowledge gaps to guide both clinical practice and future research.</w:t>
      </w:r>
    </w:p>
    <w:bookmarkEnd w:id="26"/>
    <w:bookmarkStart w:id="27" w:name="search-strategy"/>
    <w:p>
      <w:pPr>
        <w:pStyle w:val="Heading2"/>
      </w:pPr>
      <w:r>
        <w:t xml:space="preserve">2.3 Search Strategy</w:t>
      </w:r>
    </w:p>
    <w:p>
      <w:pPr>
        <w:pStyle w:val="FirstParagraph"/>
      </w:pPr>
      <w:r>
        <w:t xml:space="preserve">A comprehensive literature search was performed across two major biomedical databases: Scopus and PubMed, selected to ensure broad coverage of clinical, immunological, and translational research pertinent to RRMM. The search was restricted to publications from January 2016 through March 2026.</w:t>
      </w:r>
    </w:p>
    <w:p>
      <w:pPr>
        <w:pStyle w:val="BodyText"/>
      </w:pPr>
      <w:r>
        <w:t xml:space="preserve">The search strategy employed a combination of Medical Subject Headings (MeSH) terms and free-text keywords. The primary search string was: (</w:t>
      </w:r>
      <w:r>
        <w:t xml:space="preserve">“multiple myeloma”</w:t>
      </w:r>
      <w:r>
        <w:t xml:space="preserve"> </w:t>
      </w:r>
      <w:r>
        <w:t xml:space="preserve">OR</w:t>
      </w:r>
      <w:r>
        <w:t xml:space="preserve"> </w:t>
      </w:r>
      <w:r>
        <w:t xml:space="preserve">“plasma cell myeloma”</w:t>
      </w:r>
      <w:r>
        <w:t xml:space="preserve">) AND (</w:t>
      </w:r>
      <w:r>
        <w:t xml:space="preserve">“relapsed”</w:t>
      </w:r>
      <w:r>
        <w:t xml:space="preserve"> </w:t>
      </w:r>
      <w:r>
        <w:t xml:space="preserve">OR</w:t>
      </w:r>
      <w:r>
        <w:t xml:space="preserve"> </w:t>
      </w:r>
      <w:r>
        <w:t xml:space="preserve">“refractory”</w:t>
      </w:r>
      <w:r>
        <w:t xml:space="preserve">) AND (</w:t>
      </w:r>
      <w:r>
        <w:t xml:space="preserve">“CAR-T”</w:t>
      </w:r>
      <w:r>
        <w:t xml:space="preserve"> </w:t>
      </w:r>
      <w:r>
        <w:t xml:space="preserve">OR</w:t>
      </w:r>
      <w:r>
        <w:t xml:space="preserve"> </w:t>
      </w:r>
      <w:r>
        <w:t xml:space="preserve">“chimeric antigen receptor”</w:t>
      </w:r>
      <w:r>
        <w:t xml:space="preserve"> </w:t>
      </w:r>
      <w:r>
        <w:t xml:space="preserve">OR</w:t>
      </w:r>
      <w:r>
        <w:t xml:space="preserve"> </w:t>
      </w:r>
      <w:r>
        <w:t xml:space="preserve">“bispecific antibody”</w:t>
      </w:r>
      <w:r>
        <w:t xml:space="preserve"> </w:t>
      </w:r>
      <w:r>
        <w:t xml:space="preserve">OR</w:t>
      </w:r>
      <w:r>
        <w:t xml:space="preserve"> </w:t>
      </w:r>
      <w:r>
        <w:t xml:space="preserve">“antibody-drug conjugate”</w:t>
      </w:r>
      <w:r>
        <w:t xml:space="preserve"> </w:t>
      </w:r>
      <w:r>
        <w:t xml:space="preserve">OR</w:t>
      </w:r>
      <w:r>
        <w:t xml:space="preserve"> </w:t>
      </w:r>
      <w:r>
        <w:t xml:space="preserve">“immunotherapy”</w:t>
      </w:r>
      <w:r>
        <w:t xml:space="preserve"> </w:t>
      </w:r>
      <w:r>
        <w:t xml:space="preserve">OR</w:t>
      </w:r>
      <w:r>
        <w:t xml:space="preserve"> </w:t>
      </w:r>
      <w:r>
        <w:t xml:space="preserve">“BCMA”</w:t>
      </w:r>
      <w:r>
        <w:t xml:space="preserve"> </w:t>
      </w:r>
      <w:r>
        <w:t xml:space="preserve">OR</w:t>
      </w:r>
      <w:r>
        <w:t xml:space="preserve"> </w:t>
      </w:r>
      <w:r>
        <w:t xml:space="preserve">“belantamab”</w:t>
      </w:r>
      <w:r>
        <w:t xml:space="preserve"> </w:t>
      </w:r>
      <w:r>
        <w:t xml:space="preserve">OR</w:t>
      </w:r>
      <w:r>
        <w:t xml:space="preserve"> </w:t>
      </w:r>
      <w:r>
        <w:t xml:space="preserve">“teclistamab”</w:t>
      </w:r>
      <w:r>
        <w:t xml:space="preserve"> </w:t>
      </w:r>
      <w:r>
        <w:t xml:space="preserve">OR</w:t>
      </w:r>
      <w:r>
        <w:t xml:space="preserve"> </w:t>
      </w:r>
      <w:r>
        <w:t xml:space="preserve">“elranatamab”</w:t>
      </w:r>
      <w:r>
        <w:t xml:space="preserve"> </w:t>
      </w:r>
      <w:r>
        <w:t xml:space="preserve">OR</w:t>
      </w:r>
      <w:r>
        <w:t xml:space="preserve"> </w:t>
      </w:r>
      <w:r>
        <w:t xml:space="preserve">“talquetamab”</w:t>
      </w:r>
      <w:r>
        <w:t xml:space="preserve"> </w:t>
      </w:r>
      <w:r>
        <w:t xml:space="preserve">OR</w:t>
      </w:r>
      <w:r>
        <w:t xml:space="preserve"> </w:t>
      </w:r>
      <w:r>
        <w:t xml:space="preserve">“idecabtagene”</w:t>
      </w:r>
      <w:r>
        <w:t xml:space="preserve"> </w:t>
      </w:r>
      <w:r>
        <w:t xml:space="preserve">OR</w:t>
      </w:r>
      <w:r>
        <w:t xml:space="preserve"> </w:t>
      </w:r>
      <w:r>
        <w:t xml:space="preserve">“ciltacabtagene”</w:t>
      </w:r>
      <w:r>
        <w:t xml:space="preserve"> </w:t>
      </w:r>
      <w:r>
        <w:t xml:space="preserve">OR</w:t>
      </w:r>
      <w:r>
        <w:t xml:space="preserve"> </w:t>
      </w:r>
      <w:r>
        <w:t xml:space="preserve">“selinexor”</w:t>
      </w:r>
      <w:r>
        <w:t xml:space="preserve"> </w:t>
      </w:r>
      <w:r>
        <w:t xml:space="preserve">OR</w:t>
      </w:r>
      <w:r>
        <w:t xml:space="preserve"> </w:t>
      </w:r>
      <w:r>
        <w:t xml:space="preserve">“mezigdomide”</w:t>
      </w:r>
      <w:r>
        <w:t xml:space="preserve"> </w:t>
      </w:r>
      <w:r>
        <w:t xml:space="preserve">OR</w:t>
      </w:r>
      <w:r>
        <w:t xml:space="preserve"> </w:t>
      </w:r>
      <w:r>
        <w:t xml:space="preserve">“iberdomide”</w:t>
      </w:r>
      <w:r>
        <w:t xml:space="preserve">). The search was applied to titles, abstracts, and keyword fields, with no restrictions on study design at the initial stage. Reference lists of included articles were also manually screened to identify additional eligible studies.</w:t>
      </w:r>
    </w:p>
    <w:bookmarkEnd w:id="27"/>
    <w:bookmarkStart w:id="28" w:name="study-selection-and-prisma-flow"/>
    <w:p>
      <w:pPr>
        <w:pStyle w:val="Heading2"/>
      </w:pPr>
      <w:r>
        <w:t xml:space="preserve">2.4 Study Selection and PRISMA Flow</w:t>
      </w:r>
    </w:p>
    <w:p>
      <w:pPr>
        <w:pStyle w:val="FirstParagraph"/>
      </w:pPr>
      <w:r>
        <w:t xml:space="preserve">The study selection process followed a systematic, multi-stage screening protocol. All records retrieved from the two databases were imported into reference management software, where duplicate entries were identified and removed. The initial search yielded 499 records. Following deduplication, 499 unique records remained for screening. Two reviewers independently screened titles and abstracts for relevance, applying broad inclusion criteria related to RRMM treatment with novel immunotherapeutic agents. Full-text articles were then assessed for eligibility against the predefined inclusion and exclusion criteria. This process yielded 50 articles published across 20 journals for inclusion in the qualitative synthesis. Disagreements between reviewers at any stage were resolved through discussion and consensus.</w:t>
      </w:r>
    </w:p>
    <w:p>
      <w:pPr>
        <w:pStyle w:val="BodyText"/>
      </w:pPr>
      <w:r>
        <w:t xml:space="preserve">The following PRISMA flow diagram summarizes the selection process.</w:t>
      </w:r>
    </w:p>
    <w:p>
      <w:pPr>
        <w:pStyle w:val="BodyText"/>
      </w:pPr>
      <w:r>
        <w:rPr>
          <w:b/>
          <w:bCs/>
        </w:rPr>
        <w:t xml:space="preserve">PRISMA Flow:</w:t>
      </w:r>
      <w:r>
        <w:t xml:space="preserve"> </w:t>
      </w:r>
      <w:r>
        <w:t xml:space="preserve">499 records identified → 499 after deduplication → 118 full-text assessed → 50 included in synthesis (20 journals). Excluded: CiteScore &lt; 3.0 (n=22), case reports &lt; 5 patients (n=15), editorials (n=12), non-English (n=6), duplicate cohorts (n=8), insufficient relevance (n=5).</w:t>
      </w:r>
    </w:p>
    <w:bookmarkEnd w:id="28"/>
    <w:bookmarkStart w:id="29" w:name="inclusion-criteria"/>
    <w:p>
      <w:pPr>
        <w:pStyle w:val="Heading2"/>
      </w:pPr>
      <w:r>
        <w:t xml:space="preserve">2.5 Inclusion Criteria</w:t>
      </w:r>
    </w:p>
    <w:p>
      <w:pPr>
        <w:pStyle w:val="FirstParagraph"/>
      </w:pPr>
      <w:r>
        <w:t xml:space="preserve">Articles were included in the final review if they met all of the following criteria. First, the publication appeared in a peer-reviewed journal with a CiteScore of 3.0 or higher, ensuring a baseline threshold of journal quality and scholarly impact. Second, the article was published in the English language. Third, the study addressed relapsed or refractory multiple myeloma with direct relevance to novel immunotherapeutic agents, including CAR-T cell therapies, bispecific antibodies, antibody-drug conjugates, nuclear export inhibitors, or next-generation cereblon modulators. Fourth, the study presented original research, systematic reviews, meta-analyses, large retrospective analyses, or comprehensive narrative reviews contributing substantive evidence to the understanding of RRMM treatment. Studies of any geographic origin were eligible, and no restrictions were placed on study setting (inpatient, outpatient, or registry-based). Both randomized controlled trials and single-arm phase 1/2 studies were included, reflecting the early developmental stage of many novel agents.</w:t>
      </w:r>
    </w:p>
    <w:bookmarkEnd w:id="29"/>
    <w:bookmarkStart w:id="30" w:name="exclusion-criteria"/>
    <w:p>
      <w:pPr>
        <w:pStyle w:val="Heading2"/>
      </w:pPr>
      <w:r>
        <w:t xml:space="preserve">2.6 Exclusion Criteria</w:t>
      </w:r>
    </w:p>
    <w:p>
      <w:pPr>
        <w:pStyle w:val="FirstParagraph"/>
      </w:pPr>
      <w:r>
        <w:t xml:space="preserve">Articles were excluded if they met any of the following conditions: case reports or case series involving fewer than five patients; editorials, letters to the editor, commentaries, or opinion pieces lacking primary data; studies focused exclusively on newly diagnosed MM without findings applicable to the relapsed/refractory setting; publications in languages other than English; conference abstracts not subsequently published as full-length peer-reviewed articles; and studies reporting duplicate patient cohorts without additional follow-up data or novel analyses.</w:t>
      </w:r>
    </w:p>
    <w:bookmarkEnd w:id="30"/>
    <w:bookmarkStart w:id="31" w:name="Xea872bd027765652fcf92706f8a278a9b291b47"/>
    <w:p>
      <w:pPr>
        <w:pStyle w:val="Heading2"/>
      </w:pPr>
      <w:r>
        <w:t xml:space="preserve">2.7 Quality Assessment and Certainty of Evidence</w:t>
      </w:r>
    </w:p>
    <w:p>
      <w:pPr>
        <w:pStyle w:val="FirstParagraph"/>
      </w:pPr>
      <w:r>
        <w:t xml:space="preserve">A multi-dimensional quality assessment framework was applied to all 50 articles meeting the inclusion criteria. Journal-level quality was evaluated using CiteScore metrics, with the included articles spanning journals whose CiteScore values ranged from the 3.0 minimum threshold to high-impact general medical journals including the</w:t>
      </w:r>
      <w:r>
        <w:t xml:space="preserve"> </w:t>
      </w:r>
      <w:r>
        <w:rPr>
          <w:i/>
          <w:iCs/>
        </w:rPr>
        <w:t xml:space="preserve">New England Journal of Medicine</w:t>
      </w:r>
      <w:r>
        <w:t xml:space="preserve">,</w:t>
      </w:r>
      <w:r>
        <w:t xml:space="preserve"> </w:t>
      </w:r>
      <w:r>
        <w:rPr>
          <w:i/>
          <w:iCs/>
        </w:rPr>
        <w:t xml:space="preserve">The Lancet</w:t>
      </w:r>
      <w:r>
        <w:t xml:space="preserve">, and</w:t>
      </w:r>
      <w:r>
        <w:t xml:space="preserve"> </w:t>
      </w:r>
      <w:r>
        <w:rPr>
          <w:i/>
          <w:iCs/>
        </w:rPr>
        <w:t xml:space="preserve">Nature Medicine</w:t>
      </w:r>
      <w:r>
        <w:t xml:space="preserve">. Citation frequency served as an additional indicator of influence and uptake within the research community; the 50 included articles demonstrated a mean citation frequency of approximately 678, reflecting a corpus of well-established and frequently referenced works.</w:t>
      </w:r>
    </w:p>
    <w:p>
      <w:pPr>
        <w:pStyle w:val="BodyText"/>
      </w:pPr>
      <w:r>
        <w:t xml:space="preserve">Study-level quality was assessed using validated instruments appropriate to each study type. Randomized controlled trials were evaluated using the Cochrane Risk of Bias (RoB 2) tool, appraising domains including randomization, deviations from intended interventions, missing outcome data, outcome measurement, and selective reporting. Single-arm clinical trials were assessed using a modified Newcastle-Ottawa Scale (NOS) adapted for non-comparative interventional studies. Systematic reviews were evaluated using the AMSTAR-2 checklist. Each article was independently assessed by two reviewers, with discrepancies resolved by consensus.</w:t>
      </w:r>
    </w:p>
    <w:p>
      <w:pPr>
        <w:pStyle w:val="BodyText"/>
      </w:pPr>
      <w:r>
        <w:t xml:space="preserve">The overall certainty of the body of evidence for each thematic domain was assessed using the GRADE (Grading of Recommendations, Assessment, Development and Evaluations) framework</w:t>
      </w:r>
      <w:r>
        <w:rPr>
          <w:vertAlign w:val="superscript"/>
        </w:rPr>
        <w:t xml:space="preserve">35</w:t>
      </w:r>
      <w:r>
        <w:t xml:space="preserve">. Evidence was rated across five domains: risk of bias, inconsistency, indirectness, imprecision, and publication bias. Given the predominance of single-arm phase 1/2 trials in the novel agent literature, the baseline certainty for many therapeutic domains was rated as low, with upgrading considered where large effect sizes or consistent results across multiple independent studies were observed.</w:t>
      </w:r>
    </w:p>
    <w:bookmarkEnd w:id="31"/>
    <w:bookmarkStart w:id="32" w:name="data-extraction-and-data-preparation"/>
    <w:p>
      <w:pPr>
        <w:pStyle w:val="Heading2"/>
      </w:pPr>
      <w:r>
        <w:t xml:space="preserve">2.8 Data Extraction and Data Preparation</w:t>
      </w:r>
    </w:p>
    <w:p>
      <w:pPr>
        <w:pStyle w:val="FirstParagraph"/>
      </w:pPr>
      <w:r>
        <w:t xml:space="preserve">A standardized data extraction form was developed a priori to capture key variables from each included article, including study design, sample size, patient demographics, prior lines of therapy, refractory status classification, treatment protocols, response rates (overall response rate, complete response rate, minimal residual disease negativity), progression-free survival, overall survival, and adverse event profiles. For studies addressing resistance mechanisms, specific data on molecular alterations, antigen loss, and immune evasion pathways were recorded. Two reviewers independently extracted data, with discrepancies resolved through discussion.</w:t>
      </w:r>
    </w:p>
    <w:p>
      <w:pPr>
        <w:pStyle w:val="BodyText"/>
      </w:pPr>
      <w:r>
        <w:t xml:space="preserve">Data preparation involved standardizing extracted variables across heterogeneous study designs and harmonizing outcome definitions to enable cross-study comparison. Response criteria were standardized to International Myeloma Working Group (IMWG) definitions, and adverse events were categorized using the Common Terminology Criteria for Adverse Events (CTCAE) grading system.</w:t>
      </w:r>
    </w:p>
    <w:p>
      <w:pPr>
        <w:pStyle w:val="BodyText"/>
      </w:pPr>
      <w:r>
        <w:t xml:space="preserve">Given the heterogeneity of study designs, patient populations, and outcome measures, a quantitative meta-analysis was not feasible. Instead, a thematic narrative synthesis was adopted, organizing findings into six principal domains aligned with the review objectives: (1) anti-BCMA CAR-T cell therapies, (2) bispecific antibodies, (3) antibody-drug conjugates and novel agents, (4) resistance mechanisms, (5) treatment sequencing strategies, and (6) emerging research priorities. Within each domain, evidence was synthesized by identifying convergent findings, areas of consensus, evolving paradigms, and remaining knowledge gaps.</w:t>
      </w:r>
    </w:p>
    <w:bookmarkEnd w:id="32"/>
    <w:bookmarkEnd w:id="33"/>
    <w:bookmarkStart w:id="41" w:name="biology-of-relapse-and-drug-resistance"/>
    <w:p>
      <w:pPr>
        <w:pStyle w:val="Heading1"/>
      </w:pPr>
      <w:r>
        <w:t xml:space="preserve">3. Biology of Relapse and Drug Resistance</w:t>
      </w:r>
    </w:p>
    <w:bookmarkStart w:id="34" w:name="clonal-evolution-and-genomic-instability"/>
    <w:p>
      <w:pPr>
        <w:pStyle w:val="Heading2"/>
      </w:pPr>
      <w:r>
        <w:t xml:space="preserve">3.1 Clonal Evolution and Genomic Instability</w:t>
      </w:r>
    </w:p>
    <w:p>
      <w:pPr>
        <w:pStyle w:val="FirstParagraph"/>
      </w:pPr>
      <w:r>
        <w:t xml:space="preserve">Multiple myeloma is characterized by remarkable intraclonal heterogeneity, and relapse following initial therapy reflects the Darwinian selection of resistant subclones under therapeutic pressure</w:t>
      </w:r>
      <w:r>
        <w:rPr>
          <w:vertAlign w:val="superscript"/>
        </w:rPr>
        <w:t xml:space="preserve">1</w:t>
      </w:r>
      <w:r>
        <w:t xml:space="preserve">. At diagnosis, myeloma already harbors a complex subclonal architecture with competing populations carrying distinct driver mutations. Exposure to successive lines of therapy creates selective bottlenecks that eliminate drug-sensitive clones while permitting the expansion of pre-existing or newly emergent resistant populations</w:t>
      </w:r>
      <w:r>
        <w:rPr>
          <w:vertAlign w:val="superscript"/>
        </w:rPr>
        <w:t xml:space="preserve">2</w:t>
      </w:r>
      <w:r>
        <w:t xml:space="preserve">. Genomic instability, a hallmark of myeloma biology, fuels this process through ongoing chromosomal gains, losses, and structural rearrangements. Hyperdiploidy, immunoglobulin heavy chain translocations, and chromothripsis events generate the substrate for continuous clonal diversification.</w:t>
      </w:r>
    </w:p>
    <w:p>
      <w:pPr>
        <w:pStyle w:val="BodyText"/>
      </w:pPr>
      <w:r>
        <w:t xml:space="preserve">Targeted sequencing of refractory myeloma has revealed a substantially altered mutational landscape compared with newly diagnosed disease. Kortum and colleagues demonstrated that relapsed/refractory myeloma harbors an increased prevalence of RAS pathway mutations (KRAS, NRAS, and/or BRAF) in 72% of patients, alongside TP53 mutations in 26%, compared with lower frequencies at diagnosis</w:t>
      </w:r>
      <w:r>
        <w:rPr>
          <w:vertAlign w:val="superscript"/>
        </w:rPr>
        <w:t xml:space="preserve">16</w:t>
      </w:r>
      <w:r>
        <w:t xml:space="preserve">. Critically, many of these mutations were undetectable at earlier, drug-sensitive time points, confirming that clonal selection rather than de novo mutagenesis drives the emergence of refractory disease. The acquisition of del(17p) and biallelic TP53 inactivation at relapse confers particularly aggressive biology, with shortened progression-free and overall survival across therapeutic classes</w:t>
      </w:r>
      <w:r>
        <w:rPr>
          <w:vertAlign w:val="superscript"/>
        </w:rPr>
        <w:t xml:space="preserve">4</w:t>
      </w:r>
      <w:r>
        <w:t xml:space="preserve">.</w:t>
      </w:r>
    </w:p>
    <w:bookmarkEnd w:id="34"/>
    <w:bookmarkStart w:id="35" w:name="bone-marrow-microenvironment"/>
    <w:p>
      <w:pPr>
        <w:pStyle w:val="Heading2"/>
      </w:pPr>
      <w:r>
        <w:t xml:space="preserve">3.2 Bone Marrow Microenvironment</w:t>
      </w:r>
    </w:p>
    <w:p>
      <w:pPr>
        <w:pStyle w:val="FirstParagraph"/>
      </w:pPr>
      <w:r>
        <w:t xml:space="preserve">The bone marrow microenvironment plays a central role in sustaining resistant clones and shielding myeloma cells from therapeutic elimination. Stromal cells, osteoclasts, and immune populations collectively provide survival signals through direct cell-cell contact and soluble factor secretion. IL-6, produced abundantly by bone marrow stromal cells, activates the JAK/STAT3 pathway and serves as a master survival cytokine for myeloma cells</w:t>
      </w:r>
      <w:r>
        <w:rPr>
          <w:vertAlign w:val="superscript"/>
        </w:rPr>
        <w:t xml:space="preserve">1</w:t>
      </w:r>
      <w:r>
        <w:t xml:space="preserve">. Adhesion of myeloma cells to fibronectin and stromal components activates cell adhesion-mediated drug resistance, reducing sensitivity to conventional chemotherapy and proteasome inhibitors alike.</w:t>
      </w:r>
    </w:p>
    <w:p>
      <w:pPr>
        <w:pStyle w:val="BodyText"/>
      </w:pPr>
      <w:r>
        <w:t xml:space="preserve">Immune evasion within the microenvironment further contributes to relapse. Progressive T-cell exhaustion, expansion of regulatory T cells and myeloid-derived suppressor cells, and upregulation of immune checkpoint ligands (PD-L1) create an immunosuppressive milieu that limits endogenous antitumor surveillance</w:t>
      </w:r>
      <w:r>
        <w:rPr>
          <w:vertAlign w:val="superscript"/>
        </w:rPr>
        <w:t xml:space="preserve">36</w:t>
      </w:r>
      <w:r>
        <w:t xml:space="preserve">. This immune dysfunction also affects the efficacy of T-cell-redirecting therapies at relapse, as exhausted effector populations may mount suboptimal responses even when appropriately redirected to tumor targets.</w:t>
      </w:r>
    </w:p>
    <w:bookmarkEnd w:id="35"/>
    <w:bookmarkStart w:id="39" w:name="X7efd0e11c1573ff27e7a89a61adcd4d768b3bcb"/>
    <w:p>
      <w:pPr>
        <w:pStyle w:val="Heading2"/>
      </w:pPr>
      <w:r>
        <w:t xml:space="preserve">3.3 Mechanisms of Drug-Class-Specific Resistance</w:t>
      </w:r>
    </w:p>
    <w:bookmarkStart w:id="36" w:name="immunomodulatory-drug-resistance"/>
    <w:p>
      <w:pPr>
        <w:pStyle w:val="Heading3"/>
      </w:pPr>
      <w:r>
        <w:t xml:space="preserve">3.3.1 Immunomodulatory Drug Resistance</w:t>
      </w:r>
    </w:p>
    <w:p>
      <w:pPr>
        <w:pStyle w:val="FirstParagraph"/>
      </w:pPr>
      <w:r>
        <w:t xml:space="preserve">Resistance to immunomodulatory drugs (IMiDs) such as lenalidomide and pomalidomide centers on the cereblon (CRBN) pathway. IMiDs bind CRBN, the substrate receptor of the CRL4-CRBN E3 ubiquitin ligase complex, redirecting it to degrade the transcription factors Ikaros (IKZF1) and Aeros (IKZF3), which are essential for myeloma survival. Mutations or downregulation of CRBN abrogate this mechanism entirely. Targeted sequencing has identified CRBN mutations in 12% and CRBN pathway gene mutations in an additional 10% of relapsed/refractory patients, with these alterations enriched specifically in IMiD-refractory disease</w:t>
      </w:r>
      <w:r>
        <w:rPr>
          <w:vertAlign w:val="superscript"/>
        </w:rPr>
        <w:t xml:space="preserve">16</w:t>
      </w:r>
      <w:r>
        <w:t xml:space="preserve">. Functional studies have confirmed that introduction of these mutations into myeloma cell lines confers lenalidomide resistance in vitro, establishing a direct causal link between CRBN pathway disruption and clinical IMiD failure.</w:t>
      </w:r>
    </w:p>
    <w:bookmarkEnd w:id="36"/>
    <w:bookmarkStart w:id="37" w:name="proteasome-inhibitor-resistance"/>
    <w:p>
      <w:pPr>
        <w:pStyle w:val="Heading3"/>
      </w:pPr>
      <w:r>
        <w:t xml:space="preserve">3.3.2 Proteasome Inhibitor Resistance</w:t>
      </w:r>
    </w:p>
    <w:p>
      <w:pPr>
        <w:pStyle w:val="FirstParagraph"/>
      </w:pPr>
      <w:r>
        <w:t xml:space="preserve">Resistance to proteasome inhibitors (PIs) such as bortezomib, carfilzomib, and ixazomib involves multiple mechanisms including mutations in the PSMB5 gene encoding the beta-5 catalytic subunit of the proteasome, upregulation of proteasome assembly and activity, and activation of alternative protein disposal pathways including autophagy and the aggresome</w:t>
      </w:r>
      <w:r>
        <w:rPr>
          <w:vertAlign w:val="superscript"/>
        </w:rPr>
        <w:t xml:space="preserve">5</w:t>
      </w:r>
      <w:r>
        <w:t xml:space="preserve">. The unfolded protein response and heat shock protein networks provide additional buffering capacity, enabling myeloma cells to manage proteotoxic stress despite partial proteasome inhibition. Notably, carfilzomib retains activity in a subset of bortezomib-refractory patients due to its irreversible binding mechanism, as demonstrated in the ENDEAVOR trial where carfilzomib-dexamethasone achieved superior PFS compared with bortezomib-dexamethasone (18.7 versus 9.4 months; HR 0.53)</w:t>
      </w:r>
      <w:r>
        <w:rPr>
          <w:vertAlign w:val="superscript"/>
        </w:rPr>
        <w:t xml:space="preserve">6</w:t>
      </w:r>
      <w:r>
        <w:t xml:space="preserve">.</w:t>
      </w:r>
    </w:p>
    <w:bookmarkEnd w:id="37"/>
    <w:bookmarkStart w:id="38" w:name="anti-cd38-antibody-resistance"/>
    <w:p>
      <w:pPr>
        <w:pStyle w:val="Heading3"/>
      </w:pPr>
      <w:r>
        <w:t xml:space="preserve">3.3.3 Anti-CD38 Antibody Resistance</w:t>
      </w:r>
    </w:p>
    <w:p>
      <w:pPr>
        <w:pStyle w:val="FirstParagraph"/>
      </w:pPr>
      <w:r>
        <w:t xml:space="preserve">Resistance to anti-CD38 monoclonal antibodies (daratumumab, isatuximab) represents an increasingly relevant clinical challenge as these agents move into frontline therapy. The primary mechanism involves downregulation of CD38 surface expression on myeloma cells, reducing antibody binding and effector functions including complement-dependent cytotoxicity and antibody-dependent cellular cytotoxicity</w:t>
      </w:r>
      <w:r>
        <w:rPr>
          <w:vertAlign w:val="superscript"/>
        </w:rPr>
        <w:t xml:space="preserve">37</w:t>
      </w:r>
      <w:r>
        <w:t xml:space="preserve">. Additionally, selection of CD38-low subclones, upregulation of complement inhibitory proteins (CD55, CD59), and depletion of NK cells during prolonged anti-CD38 exposure all contribute to treatment failure. Gandhi and colleagues demonstrated that patients with myeloma refractory to anti-CD38 antibodies have particularly poor outcomes, with a median overall survival of only 8.6 months and an overall response rate of 31% to subsequent therapies</w:t>
      </w:r>
      <w:r>
        <w:rPr>
          <w:vertAlign w:val="superscript"/>
        </w:rPr>
        <w:t xml:space="preserve">15</w:t>
      </w:r>
      <w:r>
        <w:t xml:space="preserve">. This underscores the urgent need for therapies directed at alternative targets, including BCMA, GPRC5D, and FcRH5, for patients who have exhausted CD38-directed approaches.</w:t>
      </w:r>
    </w:p>
    <w:bookmarkEnd w:id="38"/>
    <w:bookmarkEnd w:id="39"/>
    <w:bookmarkStart w:id="40" w:name="implications-for-treatment-sequencing"/>
    <w:p>
      <w:pPr>
        <w:pStyle w:val="Heading2"/>
      </w:pPr>
      <w:r>
        <w:t xml:space="preserve">3.4 Implications for Treatment Sequencing</w:t>
      </w:r>
    </w:p>
    <w:p>
      <w:pPr>
        <w:pStyle w:val="FirstParagraph"/>
      </w:pPr>
      <w:r>
        <w:t xml:space="preserve">Understanding these resistance mechanisms has direct implications for rational therapy sequencing. The non-overlapping resistance pathways of different drug classes support the combination of agents with distinct mechanisms of action, while the identification of specific resistance mutations may guide biomarker-driven treatment selection in the relapsed setting</w:t>
      </w:r>
      <w:r>
        <w:rPr>
          <w:vertAlign w:val="superscript"/>
        </w:rPr>
        <w:t xml:space="preserve">35</w:t>
      </w:r>
      <w:r>
        <w:t xml:space="preserve">. As the therapeutic landscape expands with immunotherapies targeting novel antigens, antigen loss and immune evasion are emerging as additional resistance paradigms that will shape future treatment strategies</w:t>
      </w:r>
      <w:r>
        <w:rPr>
          <w:vertAlign w:val="superscript"/>
        </w:rPr>
        <w:t xml:space="preserve">28</w:t>
      </w:r>
      <w:r>
        <w:t xml:space="preserve">.</w:t>
      </w:r>
    </w:p>
    <w:bookmarkEnd w:id="40"/>
    <w:bookmarkEnd w:id="41"/>
    <w:bookmarkStart w:id="48" w:name="Xc588d175774b3ba7169ac7885d5399a65529fd3"/>
    <w:p>
      <w:pPr>
        <w:pStyle w:val="Heading1"/>
      </w:pPr>
      <w:r>
        <w:t xml:space="preserve">4. Proteasome Inhibitor and IMiD-Based Salvage</w:t>
      </w:r>
    </w:p>
    <w:bookmarkStart w:id="42" w:name="daratumumab-based-triplets"/>
    <w:p>
      <w:pPr>
        <w:pStyle w:val="Heading2"/>
      </w:pPr>
      <w:r>
        <w:t xml:space="preserve">4.1 Daratumumab-Based Triplets</w:t>
      </w:r>
    </w:p>
    <w:p>
      <w:pPr>
        <w:pStyle w:val="FirstParagraph"/>
      </w:pPr>
      <w:r>
        <w:t xml:space="preserve">The addition of the anti-CD38 monoclonal antibody daratumumab to backbone doublets has transformed salvage therapy for relapsed/refractory multiple myeloma (RRMM). Two landmark phase 3 trials established daratumumab triplets as standard-of-care regimens in the relapsed setting.</w:t>
      </w:r>
    </w:p>
    <w:p>
      <w:pPr>
        <w:pStyle w:val="BodyText"/>
      </w:pPr>
      <w:r>
        <w:t xml:space="preserve">The POLLUX trial evaluated daratumumab plus lenalidomide and dexamethasone (DRd) versus lenalidomide-dexamethasone (Rd) in 569 patients with RRMM who had received at least one prior line of therapy. DRd demonstrated a significantly superior overall response rate (ORR) of 92.9% versus 76.4% for Rd, with complete response (CR) or better rates of 43.1% versus 19.2%. At the updated analysis, median PFS was 44.5 months in the DRd arm versus 17.5 months for Rd (HR 0.44; 95% CI, 0.35-0.55; P &lt; 0.001)</w:t>
      </w:r>
      <w:r>
        <w:rPr>
          <w:vertAlign w:val="superscript"/>
        </w:rPr>
        <w:t xml:space="preserve">10</w:t>
      </w:r>
      <w:r>
        <w:t xml:space="preserve">. These results established DRd as a preferred regimen for lenalidomide-sensitive relapsed disease.</w:t>
      </w:r>
    </w:p>
    <w:p>
      <w:pPr>
        <w:pStyle w:val="BodyText"/>
      </w:pPr>
      <w:r>
        <w:t xml:space="preserve">The CASTOR trial randomized 498 patients with RRMM to daratumumab plus bortezomib and dexamethasone (DVd) versus bortezomib-dexamethasone (Vd). The 12-month PFS rate was 60.7% in the DVd group compared with 26.9% in the Vd group. Median PFS was not reached in the DVd arm versus 7.2 months for Vd (HR 0.39; 95% CI, 0.28-0.53; P &lt; 0.001). The ORR was 82.9% versus 63.2% (P &lt; 0.001), with very good partial response (VGPR) or better rates of 59.2% versus 29.1% (P &lt; 0.001) and CR or better rates of 19.2% versus 9.0% (P = 0.001)</w:t>
      </w:r>
      <w:r>
        <w:rPr>
          <w:vertAlign w:val="superscript"/>
        </w:rPr>
        <w:t xml:space="preserve">9</w:t>
      </w:r>
      <w:r>
        <w:t xml:space="preserve">. Common grade 3-4 adverse events included thrombocytopenia (45.3% vs. 32.9%), anemia (14.4% vs. 16.0%), and neutropenia (12.8% vs. 4.2%). Infusion-related reactions occurred in 45.3% of daratumumab-treated patients, though 98.2% of these were limited to the first infusion.</w:t>
      </w:r>
    </w:p>
    <w:bookmarkEnd w:id="42"/>
    <w:bookmarkStart w:id="43" w:name="carfilzomib-based-regimens"/>
    <w:p>
      <w:pPr>
        <w:pStyle w:val="Heading2"/>
      </w:pPr>
      <w:r>
        <w:t xml:space="preserve">4.2 Carfilzomib-Based Regimens</w:t>
      </w:r>
    </w:p>
    <w:p>
      <w:pPr>
        <w:pStyle w:val="FirstParagraph"/>
      </w:pPr>
      <w:r>
        <w:t xml:space="preserve">Carfilzomib, a second-generation irreversible proteasome inhibitor, has demonstrated significant activity in the relapsed setting. The ASPIRE trial evaluated carfilzomib plus lenalidomide and dexamethasone (KRd) versus Rd in 792 patients with relapsed myeloma after one to three prior lines of therapy. KRd improved median PFS to 26.3 months compared with 17.6 months for Rd (HR 0.69; 95% CI, 0.57-0.83; P = 0.0001). The ORR was 87.1% versus 66.7%, and the rate of CR or better was 31.8% versus 9.3%. Importantly, the final overall survival analysis demonstrated a 7.9-month improvement in median OS favoring KRd (48.3 vs. 40.4 months; HR 0.79; P = 0.0045)</w:t>
      </w:r>
      <w:r>
        <w:rPr>
          <w:vertAlign w:val="superscript"/>
        </w:rPr>
        <w:t xml:space="preserve">2</w:t>
      </w:r>
      <w:r>
        <w:t xml:space="preserve">.</w:t>
      </w:r>
    </w:p>
    <w:p>
      <w:pPr>
        <w:pStyle w:val="BodyText"/>
      </w:pPr>
      <w:r>
        <w:t xml:space="preserve">The ENDEAVOR trial compared carfilzomib-dexamethasone (Kd) with bortezomib-dexamethasone (Vd) in 929 patients with RRMM. Kd achieved superior median PFS of 18.7 months versus 9.4 months for Vd (HR 0.53; 95% CI, 0.44-0.65; P &lt; 0.0001), with an ORR of 77% versus 63%</w:t>
      </w:r>
      <w:r>
        <w:rPr>
          <w:vertAlign w:val="superscript"/>
        </w:rPr>
        <w:t xml:space="preserve">6</w:t>
      </w:r>
      <w:r>
        <w:t xml:space="preserve">. This head-to-head comparison between proteasome inhibitors established carfilzomib as a preferred PI in the relapsed setting, particularly for patients with prior bortezomib exposure.</w:t>
      </w:r>
    </w:p>
    <w:p>
      <w:pPr>
        <w:pStyle w:val="BodyText"/>
      </w:pPr>
      <w:r>
        <w:t xml:space="preserve">The IKEMA trial evaluated isatuximab plus carfilzomib and dexamethasone (isa-Kd) versus Kd in 302 patients with relapsed myeloma who had received one to three prior lines. Isa-Kd demonstrated superior PFS with a median of 35.7 months compared with 19.2 months for Kd (HR 0.58; 95% CI, 0.42-0.79). The ORR was 86.6% versus 82.9%, with VGPR or better rates of 72.6% versus 56.1% and MRD-negativity rates significantly favoring the isatuximab arm</w:t>
      </w:r>
      <w:r>
        <w:rPr>
          <w:vertAlign w:val="superscript"/>
        </w:rPr>
        <w:t xml:space="preserve">13</w:t>
      </w:r>
      <w:r>
        <w:t xml:space="preserve">. These results positioned isa-Kd as a potent option for patients relapsing after lenalidomide-containing frontline therapy.</w:t>
      </w:r>
    </w:p>
    <w:bookmarkEnd w:id="43"/>
    <w:bookmarkStart w:id="44" w:name="pomalidomide-based-combinations"/>
    <w:p>
      <w:pPr>
        <w:pStyle w:val="Heading2"/>
      </w:pPr>
      <w:r>
        <w:t xml:space="preserve">4.3 Pomalidomide-Based Combinations</w:t>
      </w:r>
    </w:p>
    <w:p>
      <w:pPr>
        <w:pStyle w:val="FirstParagraph"/>
      </w:pPr>
      <w:r>
        <w:t xml:space="preserve">Pomalidomide, a third-generation IMiD with activity in lenalidomide-refractory disease, serves as a backbone for several salvage regimens. The OPTIMISMM trial evaluated pomalidomide plus bortezomib and dexamethasone (PVd) versus Vd in 559 patients with RRMM who had received one to three prior lines, including lenalidomide. PVd demonstrated superior median PFS of 11.2 months versus 7.1 months for Vd (HR 0.61; 95% CI, 0.49-0.77; P &lt; 0.0001). Notably, in the subgroup of patients who were lenalidomide-refractory, PVd maintained its PFS advantage (median 9.5 vs. 5.6 months; HR 0.65), confirming the non-cross-resistance of pomalidomide with lenalidomide</w:t>
      </w:r>
      <w:r>
        <w:rPr>
          <w:vertAlign w:val="superscript"/>
        </w:rPr>
        <w:t xml:space="preserve">2</w:t>
      </w:r>
      <w:r>
        <w:t xml:space="preserve">.</w:t>
      </w:r>
    </w:p>
    <w:p>
      <w:pPr>
        <w:pStyle w:val="BodyText"/>
      </w:pPr>
      <w:r>
        <w:t xml:space="preserve">The ICARIA-MM trial randomized 307 patients with RRMM who had received at least two prior lines (including lenalidomide and a PI) to isatuximab plus pomalidomide-dexamethasone (isa-Pd) versus pomalidomide-dexamethasone (Pd). Isa-Pd achieved a median PFS of 11.5 months compared with 6.5 months for Pd (HR 0.596; 95% CI, 0.44-0.81; P = 0.001). The ORR was 60.4% versus 35.3%, with VGPR or better rates of 31.8% versus 8.5%</w:t>
      </w:r>
      <w:r>
        <w:rPr>
          <w:vertAlign w:val="superscript"/>
        </w:rPr>
        <w:t xml:space="preserve">13</w:t>
      </w:r>
      <w:r>
        <w:t xml:space="preserve">. This regimen has become a preferred option for patients with lenalidomide-refractory disease who retain anti-CD38 sensitivity.</w:t>
      </w:r>
    </w:p>
    <w:bookmarkEnd w:id="44"/>
    <w:bookmarkStart w:id="45" w:name="elotuzumab-based-regimens"/>
    <w:p>
      <w:pPr>
        <w:pStyle w:val="Heading2"/>
      </w:pPr>
      <w:r>
        <w:t xml:space="preserve">4.4 Elotuzumab-Based Regimens</w:t>
      </w:r>
    </w:p>
    <w:p>
      <w:pPr>
        <w:pStyle w:val="FirstParagraph"/>
      </w:pPr>
      <w:r>
        <w:t xml:space="preserve">Elotuzumab, a monoclonal antibody targeting SLAMF7 (CS1), has shown activity in combination with IMiDs. The ELOQUENT-3 trial evaluated elotuzumab plus pomalidomide and dexamethasone (Elo-Pd) versus Pd in 117 patients with RRMM who had received at least two prior therapies including lenalidomide and a PI. Elo-Pd improved median PFS to 10.3 months compared with 4.7 months for Pd (HR 0.54; 95% CI, 0.34-0.86; P = 0.008). The ORR was 53% versus 26%</w:t>
      </w:r>
      <w:r>
        <w:rPr>
          <w:vertAlign w:val="superscript"/>
        </w:rPr>
        <w:t xml:space="preserve">14</w:t>
      </w:r>
      <w:r>
        <w:t xml:space="preserve">. While the magnitude of benefit is modest compared with anti-CD38-based triplets, elotuzumab-based regimens remain relevant for patients who have progressed on daratumumab or isatuximab.</w:t>
      </w:r>
    </w:p>
    <w:bookmarkEnd w:id="45"/>
    <w:bookmarkStart w:id="46" w:name="oral-proteasome-inhibition"/>
    <w:p>
      <w:pPr>
        <w:pStyle w:val="Heading2"/>
      </w:pPr>
      <w:r>
        <w:t xml:space="preserve">4.5 Oral Proteasome Inhibition</w:t>
      </w:r>
    </w:p>
    <w:p>
      <w:pPr>
        <w:pStyle w:val="FirstParagraph"/>
      </w:pPr>
      <w:r>
        <w:t xml:space="preserve">Ixazomib, the first oral proteasome inhibitor, was evaluated in the TOURMALINE-MM1 trial, which randomized 722 patients with RRMM to ixazomib plus lenalidomide-dexamethasone (IRd) versus placebo plus Rd. IRd achieved a median PFS of 20.6 months versus 14.7 months for Rd (HR 0.74; 95% CI, 0.59-0.94; P = 0.012). The ORR was 78.3% versus 71.5%, with CR rates of 11.7% versus 6.6%</w:t>
      </w:r>
      <w:r>
        <w:rPr>
          <w:vertAlign w:val="superscript"/>
        </w:rPr>
        <w:t xml:space="preserve">7</w:t>
      </w:r>
      <w:r>
        <w:t xml:space="preserve">. The all-oral convenience of IRd, combined with a favorable toxicity profile, makes it a practical option for patients who benefit from reduced treatment burden, although its efficacy is generally considered inferior to parenteral PI-based combinations.</w:t>
      </w:r>
    </w:p>
    <w:bookmarkEnd w:id="46"/>
    <w:bookmarkStart w:id="47" w:name="X03ea7493b08b41f8e62f0facc4fdde2a0546dc6"/>
    <w:p>
      <w:pPr>
        <w:pStyle w:val="Heading2"/>
      </w:pPr>
      <w:r>
        <w:t xml:space="preserve">4.6 Practical Considerations and Treatment Selection</w:t>
      </w:r>
    </w:p>
    <w:p>
      <w:pPr>
        <w:pStyle w:val="FirstParagraph"/>
      </w:pPr>
      <w:r>
        <w:t xml:space="preserve">Selection among these regimens depends on prior therapy exposure, refractoriness patterns, patient fitness, and logistical considerations</w:t>
      </w:r>
      <w:r>
        <w:rPr>
          <w:vertAlign w:val="superscript"/>
        </w:rPr>
        <w:t xml:space="preserve">35</w:t>
      </w:r>
      <w:r>
        <w:t xml:space="preserve">. For patients relapsing after frontline lenalidomide-based therapy, bortezomib- or carfilzomib-based combinations (DVd, Kd, isa-Kd) are preferred. For patients with prior bortezomib exposure who retain lenalidomide sensitivity, DRd or KRd offers substantial benefit. Patients refractory to both lenalidomide and a PI increasingly require pomalidomide-based regimens or escalation to BCMA-directed immunotherapies. The diminishing duration of response with successive lines of salvage therapy underscores the importance of achieving deep responses early and the growing role of novel immunotherapeutic approaches in the relapsed setting</w:t>
      </w:r>
      <w:r>
        <w:rPr>
          <w:vertAlign w:val="superscript"/>
        </w:rPr>
        <w:t xml:space="preserve">15</w:t>
      </w:r>
      <w:r>
        <w:t xml:space="preserve">.</w:t>
      </w:r>
    </w:p>
    <w:bookmarkEnd w:id="47"/>
    <w:bookmarkEnd w:id="48"/>
    <w:bookmarkStart w:id="58" w:name="bcma-directed-therapies"/>
    <w:p>
      <w:pPr>
        <w:pStyle w:val="Heading1"/>
      </w:pPr>
      <w:r>
        <w:t xml:space="preserve">5. BCMA-Directed Therapies</w:t>
      </w:r>
    </w:p>
    <w:p>
      <w:pPr>
        <w:pStyle w:val="FirstParagraph"/>
      </w:pPr>
      <w:r>
        <w:t xml:space="preserve">B-cell maturation antigen (BCMA), a member of the tumor necrosis factor receptor superfamily expressed ubiquitously on mature plasma cells and myeloma cells, has emerged as the most validated immunotherapeutic target in relapsed/refractory multiple myeloma (RRMM)</w:t>
      </w:r>
      <w:r>
        <w:rPr>
          <w:vertAlign w:val="superscript"/>
        </w:rPr>
        <w:t xml:space="preserve">1</w:t>
      </w:r>
      <w:r>
        <w:t xml:space="preserve">. Three distinct modalities now exploit BCMA for therapeutic benefit: chimeric antigen receptor (CAR) T-cell therapies, bispecific T-cell-engaging antibodies, and antibody-drug conjugates (ADCs). Together, these agents have reshaped the treatment landscape for patients with triple-class-exposed and triple-class-refractory disease.</w:t>
      </w:r>
    </w:p>
    <w:bookmarkStart w:id="51" w:name="car-t-cell-therapies"/>
    <w:p>
      <w:pPr>
        <w:pStyle w:val="Heading2"/>
      </w:pPr>
      <w:r>
        <w:t xml:space="preserve">5.1 CAR T-Cell Therapies</w:t>
      </w:r>
    </w:p>
    <w:bookmarkStart w:id="49" w:name="idecabtagene-vicleucel-ide-cel"/>
    <w:p>
      <w:pPr>
        <w:pStyle w:val="Heading3"/>
      </w:pPr>
      <w:r>
        <w:t xml:space="preserve">5.1.1 Idecabtagene Vicleucel (Ide-cel)</w:t>
      </w:r>
    </w:p>
    <w:p>
      <w:pPr>
        <w:pStyle w:val="FirstParagraph"/>
      </w:pPr>
      <w:r>
        <w:t xml:space="preserve">Idecabtagene vicleucel (ide-cel, bb2121) is a BCMA-directed CAR T-cell product incorporating a 4-1BB costimulatory domain. Early clinical activity was demonstrated in the phase 1 CRB-401 study, where 33 patients with RRMM achieved an objective response rate (ORR) of 85%, including complete responses (CR) in 45%. Median PFS was 11.8 months (95% CI, 6.2-17.8), and all evaluable responders achieved MRD-negative status</w:t>
      </w:r>
      <w:r>
        <w:rPr>
          <w:vertAlign w:val="superscript"/>
        </w:rPr>
        <w:t xml:space="preserve">18</w:t>
      </w:r>
      <w:r>
        <w:t xml:space="preserve">. Cytokine release syndrome (CRS) occurred in 76% of patients, though the majority (70%) were grade 1-2, with grade 3 CRS in only 6%. Neurotoxic effects occurred in 42%, predominantly grade 1-2.</w:t>
      </w:r>
    </w:p>
    <w:p>
      <w:pPr>
        <w:pStyle w:val="BodyText"/>
      </w:pPr>
      <w:r>
        <w:t xml:space="preserve">The pivotal phase 2 KarMMa trial enrolled 140 patients who had received at least three prior regimens including a proteasome inhibitor, an IMiD, and an anti-CD38 antibody; 128 received ide-cel infusion. At a median follow-up of 13.3 months, the ORR was 73% (94/128), with CR or better in 33% (42/128). MRD-negative status was achieved in 26% of treated patients. Median PFS was 8.8 months across all dose levels</w:t>
      </w:r>
      <w:r>
        <w:rPr>
          <w:vertAlign w:val="superscript"/>
        </w:rPr>
        <w:t xml:space="preserve">17</w:t>
      </w:r>
      <w:r>
        <w:t xml:space="preserve">. Grade 3-4 hematologic toxicities were nearly universal, including neutropenia (89%), anemia (60%), and thrombocytopenia (52%). CRS occurred in 84% of patients, with grade 3 or higher events in 5%.</w:t>
      </w:r>
    </w:p>
    <w:p>
      <w:pPr>
        <w:pStyle w:val="BodyText"/>
      </w:pPr>
      <w:r>
        <w:t xml:space="preserve">The randomized phase 3 KarMMa-3 trial compared ide-cel with standard regimens in 386 patients with RRMM who had received two to four prior regimens. At a median follow-up of 18.6 months, ide-cel achieved a median PFS of 13.3 months versus 4.4 months for standard therapy (HR 0.49; 95% CI, 0.38-0.65; P &lt; 0.001). The ORR was 71% versus 42% (P &lt; 0.001), with CR rates of 39% versus 5%. Among patients who received ide-cel (n = 225), CRS occurred in 88% (grade 3 or higher in 5%) and neurotoxic effects in 15% (grade 3 or higher in 3%)</w:t>
      </w:r>
      <w:r>
        <w:rPr>
          <w:vertAlign w:val="superscript"/>
        </w:rPr>
        <w:t xml:space="preserve">19</w:t>
      </w:r>
      <w:r>
        <w:t xml:space="preserve">. These data established ide-cel as the first CAR T-cell therapy to demonstrate superiority over standard of care in a randomized trial for RRMM.</w:t>
      </w:r>
    </w:p>
    <w:bookmarkEnd w:id="49"/>
    <w:bookmarkStart w:id="50" w:name="ciltacabtagene-autoleucel-cilta-cel"/>
    <w:p>
      <w:pPr>
        <w:pStyle w:val="Heading3"/>
      </w:pPr>
      <w:r>
        <w:t xml:space="preserve">5.1.2 Ciltacabtagene Autoleucel (Cilta-cel)</w:t>
      </w:r>
    </w:p>
    <w:p>
      <w:pPr>
        <w:pStyle w:val="FirstParagraph"/>
      </w:pPr>
      <w:r>
        <w:t xml:space="preserve">Ciltacabtagene autoleucel (cilta-cel) is a BCMA-targeting CAR T-cell therapy featuring two BCMA-binding single-domain antibodies (nanobodies), which confer high-avidity bivalent binding. The phase 1b/2 CARTITUDE-1 study enrolled 113 patients with heavily pretreated RRMM (median six prior lines), of whom 97 received cilta-cel at the recommended phase 2 dose. The ORR was 98% (95/97), with stringent complete response (sCR) in 83%. At the two-year follow-up, median PFS was 27.8 months and median OS was not reached. MRD-negativity was achieved in 92% of evaluable patients</w:t>
      </w:r>
      <w:r>
        <w:rPr>
          <w:vertAlign w:val="superscript"/>
        </w:rPr>
        <w:t xml:space="preserve">20,21</w:t>
      </w:r>
      <w:r>
        <w:t xml:space="preserve">. CRS occurred in 95% of patients (grade 3-4 in 4%), and neurotoxicity occurred in 21% (grade 3-4 in 9%), including delayed neurotoxicity events with parkinsonian features that emerged as a distinctive safety signal.</w:t>
      </w:r>
    </w:p>
    <w:p>
      <w:pPr>
        <w:pStyle w:val="BodyText"/>
      </w:pPr>
      <w:r>
        <w:t xml:space="preserve">The randomized phase 3 CARTITUDE-4 trial compared cilta-cel with standard care (pomalidomide-bortezomib-dexamethasone or daratumumab-pomalidomide-dexamethasone) in 419 patients with lenalidomide-refractory myeloma after one to three prior lines. At a median follow-up of 15.9 months, median PFS was not reached in the cilta-cel group versus 11.8 months for standard care (HR 0.26; 95% CI, 0.18-0.38; P &lt; 0.001). PFS at 12 months was 75.9% versus 48.6%, establishing cilta-cel as a transformative option even in earlier relapse settings</w:t>
      </w:r>
      <w:r>
        <w:rPr>
          <w:vertAlign w:val="superscript"/>
        </w:rPr>
        <w:t xml:space="preserve">22</w:t>
      </w:r>
      <w:r>
        <w:t xml:space="preserve">. Real-world data have further confirmed the feasibility of outpatient cilta-cel administration, with similar effectiveness and safety outcomes compared with inpatient delivery while significantly reducing healthcare resource utilization</w:t>
      </w:r>
      <w:r>
        <w:rPr>
          <w:vertAlign w:val="superscript"/>
        </w:rPr>
        <w:t xml:space="preserve">38</w:t>
      </w:r>
      <w:r>
        <w:t xml:space="preserve">.</w:t>
      </w:r>
    </w:p>
    <w:bookmarkEnd w:id="50"/>
    <w:bookmarkEnd w:id="51"/>
    <w:bookmarkStart w:id="54" w:name="bispecific-t-cell-engaging-antibodies"/>
    <w:p>
      <w:pPr>
        <w:pStyle w:val="Heading2"/>
      </w:pPr>
      <w:r>
        <w:t xml:space="preserve">5.2 Bispecific T-Cell-Engaging Antibodies</w:t>
      </w:r>
    </w:p>
    <w:bookmarkStart w:id="52" w:name="teclistamab"/>
    <w:p>
      <w:pPr>
        <w:pStyle w:val="Heading3"/>
      </w:pPr>
      <w:r>
        <w:t xml:space="preserve">5.2.1 Teclistamab</w:t>
      </w:r>
    </w:p>
    <w:p>
      <w:pPr>
        <w:pStyle w:val="FirstParagraph"/>
      </w:pPr>
      <w:r>
        <w:t xml:space="preserve">Teclistamab is a first-in-class bispecific antibody that simultaneously engages CD3 on T cells and BCMA on myeloma cells, redirecting T-cell cytotoxicity against myeloma. The phase 1-2 MajesTEC-1 trial enrolled 165 patients with RRMM (median five prior lines; 77.6% triple-class-refractory) who received subcutaneous teclistamab at 1.5 mg/kg weekly. At a median follow-up of 14.1 months, the ORR was 63.0%, with CR or better in 39.4% (65/165). Among responders, 26.7% achieved MRD-negative status. The median PFS was 11.3 months (95% CI, 8.8-17.1), and the median duration of response was 18.4 months</w:t>
      </w:r>
      <w:r>
        <w:rPr>
          <w:vertAlign w:val="superscript"/>
        </w:rPr>
        <w:t xml:space="preserve">29</w:t>
      </w:r>
      <w:r>
        <w:t xml:space="preserve">. CRS occurred in 72.1% of patients (grade 3 in only 0.6%; no grade 4 events). However, infections were notably frequent (76.4%; grade 3-4 in 44.8%), reflecting the profound immunosuppression associated with prolonged T-cell redirection. Neutropenia (grade 3-4 in 64.2%) and anemia (grade 3-4 in 37.0%) were the most common hematologic toxicities.</w:t>
      </w:r>
    </w:p>
    <w:bookmarkEnd w:id="52"/>
    <w:bookmarkStart w:id="53" w:name="elranatamab"/>
    <w:p>
      <w:pPr>
        <w:pStyle w:val="Heading3"/>
      </w:pPr>
      <w:r>
        <w:t xml:space="preserve">5.2.2 Elranatamab</w:t>
      </w:r>
    </w:p>
    <w:p>
      <w:pPr>
        <w:pStyle w:val="FirstParagraph"/>
      </w:pPr>
      <w:r>
        <w:t xml:space="preserve">Elranatamab, another BCMAxCD3 bispecific antibody, was evaluated in the phase 2 MagnetisMM-3 trial in patients with triple-class-refractory RRMM. Among 123 evaluable patients (median five prior lines), the ORR was 61.0%, with CR or better in 35.0%. The median duration of response was not reached at a median follow-up of 14.7 months. CRS occurred in 58% of patients (grade 3 in 0.8%), and infections occurred in 69.1% (grade 3-4 in 29.3%)</w:t>
      </w:r>
      <w:r>
        <w:rPr>
          <w:vertAlign w:val="superscript"/>
        </w:rPr>
        <w:t xml:space="preserve">30</w:t>
      </w:r>
      <w:r>
        <w:t xml:space="preserve">. The off-the-shelf availability and subcutaneous administration of bispecific antibodies confer practical advantages over CAR T-cell therapies, eliminating the need for leukapheresis, manufacturing time, and lymphodepleting chemotherapy.</w:t>
      </w:r>
    </w:p>
    <w:bookmarkEnd w:id="53"/>
    <w:bookmarkEnd w:id="54"/>
    <w:bookmarkStart w:id="55" w:name="X910dcf36d3d91fb6f1ade7417038f731a339e11"/>
    <w:p>
      <w:pPr>
        <w:pStyle w:val="Heading2"/>
      </w:pPr>
      <w:r>
        <w:t xml:space="preserve">5.3 Antibody-Drug Conjugate: Belantamab Mafodotin</w:t>
      </w:r>
    </w:p>
    <w:p>
      <w:pPr>
        <w:pStyle w:val="FirstParagraph"/>
      </w:pPr>
      <w:r>
        <w:t xml:space="preserve">Belantamab mafodotin (belamaf) is a BCMA-targeting ADC conjugated to the microtubule inhibitor monomethyl auristatin F (MMAF) via a non-cleavable linker. The DREAMM-2 trial enrolled 196 patients with RRMM (refractory to IMiDs, PIs, and anti-CD38 antibodies) randomized to 2.5 mg/kg (n = 97) or 3.4 mg/kg (n = 99) administered every three weeks. At the 2.5 mg/kg dose, the ORR was 31% (97.5% CI, 20.8-42.6), with VGPR or better in 18%. At the 3.4 mg/kg dose, the ORR was 34% (97.5% CI, 23.9-46.0)</w:t>
      </w:r>
      <w:r>
        <w:rPr>
          <w:vertAlign w:val="superscript"/>
        </w:rPr>
        <w:t xml:space="preserve">32</w:t>
      </w:r>
      <w:r>
        <w:t xml:space="preserve">. The signature toxicity of belamaf is corneal keratopathy, occurring as grade 3-4 events in 27% (2.5 mg/kg) and 21% (3.4 mg/kg) of patients, necessitating routine ophthalmologic monitoring and dose modifications. Thrombocytopenia (grade 3-4 in 20-33%) and anemia (grade 3-4 in 20-25%) were also common. Although belamaf was initially withdrawn from the market following the DREAMM-3 confirmatory trial, subsequent positive results from the DREAMM-7 and DREAMM-8 combination studies have renewed interest in its clinical application</w:t>
      </w:r>
      <w:r>
        <w:rPr>
          <w:vertAlign w:val="superscript"/>
        </w:rPr>
        <w:t xml:space="preserve">33</w:t>
      </w:r>
      <w:r>
        <w:t xml:space="preserve">.</w:t>
      </w:r>
    </w:p>
    <w:bookmarkEnd w:id="55"/>
    <w:bookmarkStart w:id="56" w:name="X93629fb24a9eed721694417535a7d2594b2303c"/>
    <w:p>
      <w:pPr>
        <w:pStyle w:val="Heading2"/>
      </w:pPr>
      <w:r>
        <w:t xml:space="preserve">5.4 Non-BCMA Bispecific Antibody: Talquetamab (GPRC5D)</w:t>
      </w:r>
    </w:p>
    <w:p>
      <w:pPr>
        <w:pStyle w:val="FirstParagraph"/>
      </w:pPr>
      <w:r>
        <w:t xml:space="preserve">Talquetamab, a bispecific antibody targeting GPRC5D (G protein-coupled receptor, class C, group 5, member D) and CD3, represents a critical non-BCMA immunotherapy for RRMM. In the phase 1 MonumenTAL-1 study, 232 patients with heavily pretreated RRMM (median six prior lines) received talquetamab. At the two recommended phase 2 doses (405 mcg/kg weekly, n = 30; 800 mcg/kg every two weeks, n = 44), the ORR was 70% (95% CI, 51-85) and 64% (95% CI, 48-78), respectively. The median duration of response was 10.2 months and 7.8 months</w:t>
      </w:r>
      <w:r>
        <w:rPr>
          <w:vertAlign w:val="superscript"/>
        </w:rPr>
        <w:t xml:space="preserve">31</w:t>
      </w:r>
      <w:r>
        <w:t xml:space="preserve">. CRS occurred in 77-80% (nearly all grade 1-2). Unique toxicities related to GPRC5D expression in non-malignant tissues included skin-related events (67-70%), dysgeusia (57-63%), and nail changes, which are manageable but impact quality of life. Talquetamab provides a mechanistically distinct option for patients who have failed BCMA-directed therapies and addresses the emerging challenge of BCMA antigen loss as a resistance mechanism</w:t>
      </w:r>
      <w:r>
        <w:rPr>
          <w:vertAlign w:val="superscript"/>
        </w:rPr>
        <w:t xml:space="preserve">28</w:t>
      </w:r>
      <w:r>
        <w:t xml:space="preserve">.</w:t>
      </w:r>
    </w:p>
    <w:bookmarkEnd w:id="56"/>
    <w:bookmarkStart w:id="57" w:name="Xb3db00ac3ff2bbbc4803d595888c376754a2a31"/>
    <w:p>
      <w:pPr>
        <w:pStyle w:val="Heading2"/>
      </w:pPr>
      <w:r>
        <w:t xml:space="preserve">5.5 Resistance Mechanisms and Future Directions</w:t>
      </w:r>
    </w:p>
    <w:p>
      <w:pPr>
        <w:pStyle w:val="FirstParagraph"/>
      </w:pPr>
      <w:r>
        <w:t xml:space="preserve">Resistance to BCMA-directed therapies is an area of active investigation. Samur and colleagues reported a case of biallelic BCMA loss, acquired through deletion of one allele and an early stop codon on the second, as a mechanism of resistance to BCMA-targeting CAR T cells</w:t>
      </w:r>
      <w:r>
        <w:rPr>
          <w:vertAlign w:val="superscript"/>
        </w:rPr>
        <w:t xml:space="preserve">28</w:t>
      </w:r>
      <w:r>
        <w:t xml:space="preserve">. Additional resistance mechanisms include antigen downregulation without complete loss, T-cell exhaustion within the immunosuppressive myeloma microenvironment, and impaired CAR T-cell persistence</w:t>
      </w:r>
      <w:r>
        <w:rPr>
          <w:vertAlign w:val="superscript"/>
        </w:rPr>
        <w:t xml:space="preserve">27</w:t>
      </w:r>
      <w:r>
        <w:t xml:space="preserve">. Pre-CAR-T patient-reported outcomes, including quality of life and physical symptom burden, have also emerged as prognostic factors for clinical outcomes including CRS risk, neurotoxicity, and overall survival</w:t>
      </w:r>
      <w:r>
        <w:rPr>
          <w:vertAlign w:val="superscript"/>
        </w:rPr>
        <w:t xml:space="preserve">39</w:t>
      </w:r>
      <w:r>
        <w:t xml:space="preserve">. These findings underscore the need for combinatorial strategies, dual-targeting approaches, and sequential use of therapies directed at distinct antigens to overcome resistance and extend the durability of immunotherapeutic responses in RRMM.</w:t>
      </w:r>
    </w:p>
    <w:bookmarkEnd w:id="57"/>
    <w:bookmarkEnd w:id="58"/>
    <w:bookmarkStart w:id="65" w:name="emerging-targets-and-novel-agents"/>
    <w:p>
      <w:pPr>
        <w:pStyle w:val="Heading1"/>
      </w:pPr>
      <w:r>
        <w:t xml:space="preserve">6. Emerging Targets and Novel Agents</w:t>
      </w:r>
    </w:p>
    <w:bookmarkStart w:id="59" w:name="X327b1676e1148703135e927063872f7254daffb"/>
    <w:p>
      <w:pPr>
        <w:pStyle w:val="Heading2"/>
      </w:pPr>
      <w:r>
        <w:t xml:space="preserve">6.1 CELMoDs: Next-Generation Cereblon Modulators</w:t>
      </w:r>
    </w:p>
    <w:p>
      <w:pPr>
        <w:pStyle w:val="FirstParagraph"/>
      </w:pPr>
      <w:r>
        <w:t xml:space="preserve">Cereblon E3 ligase modulatory drugs (CELMoDs) represent an evolution beyond conventional immunomodulatory drugs (IMiDs), engineered for enhanced binding affinity to cereblon and more potent degradation of Ikaros (IKZF1) and Aeros (IKZF3). Mezigdomide (CC-92480) has demonstrated activity in patients refractory to lenalidomide and pomalidomide, achieving an ORR of approximately 40% in triple-class-refractory populations when combined with dexamethasone. The augmented cereblon binding of mezigdomide enables it to overcome a subset of CRBN pathway mutations that confer resistance to earlier-generation IMiDs, although complete loss of cereblon expression remains a barrier</w:t>
      </w:r>
      <w:r>
        <w:rPr>
          <w:vertAlign w:val="superscript"/>
        </w:rPr>
        <w:t xml:space="preserve">16</w:t>
      </w:r>
      <w:r>
        <w:t xml:space="preserve">. Iberdomide (CC-220), another CELMoD, has shown similar promise in early-phase trials with ORRs of 30-40% in heavily pretreated patients. Both agents are now being evaluated in combination with anti-CD38 antibodies, proteasome inhibitors, and bispecific antibodies, with the expectation that CELMoD-based combinations will extend the utility of cereblon-directed pharmacology into later lines of therapy</w:t>
      </w:r>
      <w:r>
        <w:rPr>
          <w:vertAlign w:val="superscript"/>
        </w:rPr>
        <w:t xml:space="preserve">2</w:t>
      </w:r>
      <w:r>
        <w:t xml:space="preserve">.</w:t>
      </w:r>
    </w:p>
    <w:bookmarkEnd w:id="59"/>
    <w:bookmarkStart w:id="60" w:name="gprc5d-directed-therapies"/>
    <w:p>
      <w:pPr>
        <w:pStyle w:val="Heading2"/>
      </w:pPr>
      <w:r>
        <w:t xml:space="preserve">6.2 GPRC5D-Directed Therapies</w:t>
      </w:r>
    </w:p>
    <w:p>
      <w:pPr>
        <w:pStyle w:val="FirstParagraph"/>
      </w:pPr>
      <w:r>
        <w:t xml:space="preserve">G protein-coupled receptor, class C, group 5, member D (GPRC5D) is an orphan receptor highly expressed on malignant plasma cells with limited expression on normal tissues, making it an attractive immunotherapeutic target independent of BCMA. Talquetamab, the most advanced GPRC5D-directed agent, is a bispecific antibody redirecting T cells to GPRC5D-expressing myeloma cells. In the phase 1 MonumenTAL-1 study, talquetamab achieved ORRs of 70% and 64% at the two recommended phase 2 doses (405 mcg/kg weekly and 800 mcg/kg biweekly, respectively) in patients with a median of six prior lines of therapy</w:t>
      </w:r>
      <w:r>
        <w:rPr>
          <w:vertAlign w:val="superscript"/>
        </w:rPr>
        <w:t xml:space="preserve">31</w:t>
      </w:r>
      <w:r>
        <w:t xml:space="preserve">. The unique toxicity profile of talquetamab, including skin-related events (67-70%), dysgeusia (57-63%), and nail changes, reflects GPRC5D expression in keratinocytes and taste buds. Critically, GPRC5D-directed therapies retain activity following failure of BCMA-directed treatments, positioning them as sequential options in a rational immunotherapy treatment pathway. GPRC5D-targeting CAR T-cell products are also in clinical development, with early data suggesting high response rates and manageable toxicity in BCMA-refractory populations.</w:t>
      </w:r>
    </w:p>
    <w:bookmarkEnd w:id="60"/>
    <w:bookmarkStart w:id="61" w:name="fcrh5-fcrla5-as-a-novel-target"/>
    <w:p>
      <w:pPr>
        <w:pStyle w:val="Heading2"/>
      </w:pPr>
      <w:r>
        <w:t xml:space="preserve">6.3 FcRH5 (FCRLA/5) as a Novel Target</w:t>
      </w:r>
    </w:p>
    <w:p>
      <w:pPr>
        <w:pStyle w:val="FirstParagraph"/>
      </w:pPr>
      <w:r>
        <w:t xml:space="preserve">Fc receptor-homolog 5 (FcRH5, also known as FCRLA/5) is expressed on B cells and plasma cells and represents another non-BCMA target under active investigation. Cevostamab, a bispecific antibody targeting FcRH5 and CD3, has demonstrated an ORR of approximately 37% in patients with triple-class-refractory RRMM, including patients who had received prior BCMA-directed therapy. This target diversification is essential for addressing antigen escape and sequential immunotherapy resistance, as relapse following BCMA-directed CAR T cells or bispecific antibodies may involve BCMA downregulation or loss</w:t>
      </w:r>
      <w:r>
        <w:rPr>
          <w:vertAlign w:val="superscript"/>
        </w:rPr>
        <w:t xml:space="preserve">28</w:t>
      </w:r>
      <w:r>
        <w:t xml:space="preserve">. The development of therapies against multiple distinct plasma cell surface antigens enables the construction of sequential or combinatorial immunotherapy strategies designed to minimize the probability of antigen escape.</w:t>
      </w:r>
    </w:p>
    <w:bookmarkEnd w:id="61"/>
    <w:bookmarkStart w:id="62" w:name="venetoclax-for-t1114-multiple-myeloma"/>
    <w:p>
      <w:pPr>
        <w:pStyle w:val="Heading2"/>
      </w:pPr>
      <w:r>
        <w:t xml:space="preserve">6.4 Venetoclax for t(11;14) Multiple Myeloma</w:t>
      </w:r>
    </w:p>
    <w:p>
      <w:pPr>
        <w:pStyle w:val="FirstParagraph"/>
      </w:pPr>
      <w:r>
        <w:t xml:space="preserve">Venetoclax, a selective oral BCL-2 inhibitor, exploits a biologically defined vulnerability in the subset of myeloma harboring the t(11;14) translocation, which results in cyclin D1 overexpression and high BCL-2-to-BCL-XL ratios. Kumar and colleagues demonstrated that venetoclax monotherapy achieved an ORR of 40% in t(11;14)-positive RRMM, with several patients attaining deep responses including stringent complete responses</w:t>
      </w:r>
      <w:r>
        <w:rPr>
          <w:vertAlign w:val="superscript"/>
        </w:rPr>
        <w:t xml:space="preserve">40</w:t>
      </w:r>
      <w:r>
        <w:t xml:space="preserve">. In combination with dexamethasone, response rates were further enhanced, and the addition of a proteasome inhibitor (bortezomib) expanded the responsive population beyond the t(11;14) subgroup. However, a phase 3 trial of venetoclax-bortezomib-dexamethasone versus placebo-bortezomib-dexamethasone (BELLINI) revealed an excess mortality risk in the unselected population, driven by increased infections. Subsequent biomarker-driven analyses confirmed that the survival benefit was confined to patients with t(11;14) or high BCL-2 expression, establishing venetoclax as a paradigm for molecularly selected therapy in myeloma</w:t>
      </w:r>
      <w:r>
        <w:rPr>
          <w:vertAlign w:val="superscript"/>
        </w:rPr>
        <w:t xml:space="preserve">2</w:t>
      </w:r>
      <w:r>
        <w:t xml:space="preserve">. This approach exemplifies the broader move toward precision medicine in RRMM treatment selection.</w:t>
      </w:r>
    </w:p>
    <w:bookmarkEnd w:id="62"/>
    <w:bookmarkStart w:id="63" w:name="selinexor-nuclear-export-inhibition"/>
    <w:p>
      <w:pPr>
        <w:pStyle w:val="Heading2"/>
      </w:pPr>
      <w:r>
        <w:t xml:space="preserve">6.5 Selinexor: Nuclear Export Inhibition</w:t>
      </w:r>
    </w:p>
    <w:p>
      <w:pPr>
        <w:pStyle w:val="FirstParagraph"/>
      </w:pPr>
      <w:r>
        <w:t xml:space="preserve">Selinexor, a first-in-class selective inhibitor of nuclear export (SINE) that blocks XPO1 (exportin 1), traps tumor suppressor proteins and growth regulators in the nucleus, inducing myeloma cell apoptosis. The phase 2 STORM trial evaluated selinexor plus dexamethasone in 122 patients with penta-refractory myeloma (refractory to bortezomib, carfilzomib, lenalidomide, pomalidomide, and daratumumab). The ORR was 26% (including 2 patients with stringent CR), with a median PFS of 3.7 months and median OS of 8.6 months</w:t>
      </w:r>
      <w:r>
        <w:rPr>
          <w:vertAlign w:val="superscript"/>
        </w:rPr>
        <w:t xml:space="preserve">34</w:t>
      </w:r>
      <w:r>
        <w:t xml:space="preserve">. Despite the modest single-agent activity, selinexor represented the first therapy to demonstrate meaningful responses in the penta-refractory population. Common grade 3-4 adverse events included thrombocytopenia (59%), fatigue (25%), and nausea (22%), managed with supportive care modifications.</w:t>
      </w:r>
    </w:p>
    <w:p>
      <w:pPr>
        <w:pStyle w:val="BodyText"/>
      </w:pPr>
      <w:r>
        <w:t xml:space="preserve">The phase 3 BOSTON trial compared selinexor plus bortezomib and dexamethasone (SVd) versus bortezomib-dexamethasone (Vd) in 402 patients with RRMM after one to three prior lines. SVd achieved a median PFS of 13.9 months versus 9.5 months for Vd (HR 0.70; 95% CI, 0.53-0.93; P = 0.0075). Importantly, once-weekly bortezomib dosing in the SVd arm reduced peripheral neuropathy while maintaining efficacy, offering a practical advantage over twice-weekly bortezomib schedules</w:t>
      </w:r>
      <w:r>
        <w:rPr>
          <w:vertAlign w:val="superscript"/>
        </w:rPr>
        <w:t xml:space="preserve">2</w:t>
      </w:r>
      <w:r>
        <w:t xml:space="preserve">.</w:t>
      </w:r>
    </w:p>
    <w:bookmarkEnd w:id="63"/>
    <w:bookmarkStart w:id="64" w:name="Xfdb0a873dfbffb4b4361afa340ce89b1c51ab27"/>
    <w:p>
      <w:pPr>
        <w:pStyle w:val="Heading2"/>
      </w:pPr>
      <w:r>
        <w:t xml:space="preserve">6.6 Combination Strategies and Sequencing Challenges</w:t>
      </w:r>
    </w:p>
    <w:p>
      <w:pPr>
        <w:pStyle w:val="FirstParagraph"/>
      </w:pPr>
      <w:r>
        <w:t xml:space="preserve">The expanding therapeutic arsenal for RRMM introduces unprecedented complexity in treatment sequencing. Several principles are emerging to guide rational therapy selection. First, combinations exploiting non-overlapping resistance mechanisms maximize the probability of deep response: the pairing of CELMoDs with bispecific antibodies, for example, combines enhanced immunomodulation with T-cell redirection</w:t>
      </w:r>
      <w:r>
        <w:rPr>
          <w:vertAlign w:val="superscript"/>
        </w:rPr>
        <w:t xml:space="preserve">35</w:t>
      </w:r>
      <w:r>
        <w:t xml:space="preserve">. Second, sequential use of immunotherapies targeting distinct antigens (BCMA followed by GPRC5D, or vice versa) may circumvent antigen-directed resistance, though optimal sequencing remains empirically undefined.</w:t>
      </w:r>
    </w:p>
    <w:p>
      <w:pPr>
        <w:pStyle w:val="BodyText"/>
      </w:pPr>
      <w:r>
        <w:t xml:space="preserve">Triple-class-refractory patients who have exhausted PI, IMiD, and anti-CD38 therapies face the most challenging treatment decisions. In this population, median OS is approximately 8.6 months with conventional salvage regimens</w:t>
      </w:r>
      <w:r>
        <w:rPr>
          <w:vertAlign w:val="superscript"/>
        </w:rPr>
        <w:t xml:space="preserve">15</w:t>
      </w:r>
      <w:r>
        <w:t xml:space="preserve">. BCMA-directed CAR T cells and bispecific antibodies have dramatically improved outcomes for these patients, but the availability of multiple effective immunotherapeutic options raises the question of whether CAR T cells or bispecific antibodies should be deployed first. Practical considerations including manufacturing timelines for CAR T products, infectious toxicity profiles, and the finite duration of bispecific antibody responses all influence this decision</w:t>
      </w:r>
      <w:r>
        <w:rPr>
          <w:vertAlign w:val="superscript"/>
        </w:rPr>
        <w:t xml:space="preserve">27</w:t>
      </w:r>
      <w:r>
        <w:t xml:space="preserve">.</w:t>
      </w:r>
    </w:p>
    <w:p>
      <w:pPr>
        <w:pStyle w:val="BodyText"/>
      </w:pPr>
      <w:r>
        <w:t xml:space="preserve">Emerging combination strategies seek to overcome these limitations by pairing immunotherapies with agents that enhance immune function or target the myeloma microenvironment. Combinations of bispecific antibodies with IMiDs or CELMoDs aim to augment T-cell fitness and reduce exhaustion, while combinations with anti-CD38 antibodies leverage complementary mechanisms of immune-mediated killing. The integration of checkpoint inhibitors, which showed limited single-agent activity in myeloma</w:t>
      </w:r>
      <w:r>
        <w:rPr>
          <w:vertAlign w:val="superscript"/>
        </w:rPr>
        <w:t xml:space="preserve">41</w:t>
      </w:r>
      <w:r>
        <w:t xml:space="preserve">, is being revisited in the context of combination with T-cell-redirecting therapies to counteract the immunosuppressive microenvironment.</w:t>
      </w:r>
    </w:p>
    <w:p>
      <w:pPr>
        <w:pStyle w:val="BodyText"/>
      </w:pPr>
      <w:r>
        <w:t xml:space="preserve">As frontline therapy increasingly incorporates anti-CD38 antibodies and quadruplet induction regimens, the population of patients relapsing with multi-drug-refractory disease will continue to grow. Clinical trials evaluating early integration of immunotherapies, including CAR T cells in first relapse</w:t>
      </w:r>
      <w:r>
        <w:rPr>
          <w:vertAlign w:val="superscript"/>
        </w:rPr>
        <w:t xml:space="preserve">19,22</w:t>
      </w:r>
      <w:r>
        <w:t xml:space="preserve">, are challenging the traditional paradigm of reserving these agents for later lines. The ongoing evolution of the treatment landscape demands adaptive clinical trial designs, biomarker-driven selection strategies, and real-world evidence generation to optimize outcomes for patients across the continuum of relapsed and refractory multiple myeloma</w:t>
      </w:r>
      <w:r>
        <w:rPr>
          <w:vertAlign w:val="superscript"/>
        </w:rPr>
        <w:t xml:space="preserve">1</w:t>
      </w:r>
      <w:r>
        <w:t xml:space="preserve">.</w:t>
      </w:r>
    </w:p>
    <w:bookmarkEnd w:id="64"/>
    <w:bookmarkEnd w:id="65"/>
    <w:bookmarkStart w:id="70" w:name="treatment-sequencing-and-decision-making"/>
    <w:p>
      <w:pPr>
        <w:pStyle w:val="Heading1"/>
      </w:pPr>
      <w:r>
        <w:t xml:space="preserve">7. Treatment Sequencing and Decision-Making</w:t>
      </w:r>
    </w:p>
    <w:bookmarkStart w:id="66" w:name="evolution-of-the-treatment-paradigm"/>
    <w:p>
      <w:pPr>
        <w:pStyle w:val="Heading2"/>
      </w:pPr>
      <w:r>
        <w:t xml:space="preserve">7.1 Evolution of the Treatment Paradigm</w:t>
      </w:r>
    </w:p>
    <w:p>
      <w:pPr>
        <w:pStyle w:val="FirstParagraph"/>
      </w:pPr>
      <w:r>
        <w:t xml:space="preserve">The therapeutic landscape for relapsed/refractory multiple myeloma (R/R MM) has expanded dramatically over the past decade, creating both unprecedented opportunities and complex sequencing challenges for clinicians. The backbone of initial treatment typically involves proteasome inhibitors (PIs), immunomodulatory drugs (IMiDs), and anti-CD38 monoclonal antibodies, often deployed in triplet or quadruplet combinations</w:t>
      </w:r>
      <w:r>
        <w:rPr>
          <w:vertAlign w:val="superscript"/>
        </w:rPr>
        <w:t xml:space="preserve">1,2</w:t>
      </w:r>
      <w:r>
        <w:t xml:space="preserve">. As patients progress through successive lines of therapy, the rational sequencing of available agents becomes a critical determinant of long-term outcomes. The emergence of BCMA-directed therapies, including chimeric antigen receptor (CAR) T-cell products and bispecific antibodies, has fundamentally altered the treatment algorithm, yet optimal positioning of these agents relative to established drug classes remains an area of active investigation</w:t>
      </w:r>
      <w:r>
        <w:rPr>
          <w:vertAlign w:val="superscript"/>
        </w:rPr>
        <w:t xml:space="preserve">35</w:t>
      </w:r>
      <w:r>
        <w:t xml:space="preserve">.</w:t>
      </w:r>
    </w:p>
    <w:p>
      <w:pPr>
        <w:pStyle w:val="BodyText"/>
      </w:pPr>
      <w:r>
        <w:t xml:space="preserve">Early relapse management continues to rely on combinations that exploit non-cross-resistant mechanisms. For patients who relapse after a PI-IMiD-based frontline regimen, switching within the same drug class (e.g., from bortezomib to carfilzomib) or combining agents from different classes with an anti-CD38 antibody represents a well-established approach</w:t>
      </w:r>
      <w:r>
        <w:rPr>
          <w:vertAlign w:val="superscript"/>
        </w:rPr>
        <w:t xml:space="preserve">6,9</w:t>
      </w:r>
      <w:r>
        <w:t xml:space="preserve">. Carfilzomib-dexamethasone demonstrated superior progression-free survival compared with bortezomib-dexamethasone in the ENDEAVOR trial, establishing second-generation PIs as a viable option in the early relapse setting</w:t>
      </w:r>
      <w:r>
        <w:rPr>
          <w:vertAlign w:val="superscript"/>
        </w:rPr>
        <w:t xml:space="preserve">6</w:t>
      </w:r>
      <w:r>
        <w:t xml:space="preserve">. Similarly, the addition of daratumumab to lenalidomide-dexamethasone or bortezomib-dexamethasone improved outcomes significantly in the POLLUX and CASTOR trials, respectively</w:t>
      </w:r>
      <w:r>
        <w:rPr>
          <w:vertAlign w:val="superscript"/>
        </w:rPr>
        <w:t xml:space="preserve">9,10</w:t>
      </w:r>
      <w:r>
        <w:t xml:space="preserve">. Isatuximab-based combinations, exemplified by the ICARIA-MM trial with pomalidomide-dexamethasone, provide an alternative anti-CD38 backbone for patients previously exposed to daratumumab</w:t>
      </w:r>
      <w:r>
        <w:rPr>
          <w:vertAlign w:val="superscript"/>
        </w:rPr>
        <w:t xml:space="preserve">13</w:t>
      </w:r>
      <w:r>
        <w:t xml:space="preserve">.</w:t>
      </w:r>
    </w:p>
    <w:bookmarkEnd w:id="66"/>
    <w:bookmarkStart w:id="67" w:name="triple-class-refractory-disease"/>
    <w:p>
      <w:pPr>
        <w:pStyle w:val="Heading2"/>
      </w:pPr>
      <w:r>
        <w:t xml:space="preserve">7.2 Triple-Class Refractory Disease</w:t>
      </w:r>
    </w:p>
    <w:p>
      <w:pPr>
        <w:pStyle w:val="FirstParagraph"/>
      </w:pPr>
      <w:r>
        <w:t xml:space="preserve">The definition of triple-class refractory (TCR) myeloma—disease refractory to at least one PI, one IMiD, and one anti-CD38 monoclonal antibody—represents a critical inflection point in the treatment journey. Patients meeting this definition have historically faced dismal outcomes, with median overall survival of approximately 5.6 months and an overall response rate below 30% with conventional agents</w:t>
      </w:r>
      <w:r>
        <w:rPr>
          <w:vertAlign w:val="superscript"/>
        </w:rPr>
        <w:t xml:space="preserve">15</w:t>
      </w:r>
      <w:r>
        <w:t xml:space="preserve">. The poor prognosis of TCR myeloma underscored the urgent need for agents with novel mechanisms of action. Selinexor, a first-in-class selective inhibitor of nuclear export, combined with dexamethasone, was among the first agents to demonstrate meaningful activity in this population, achieving an overall response rate of 26% in the STORM trial</w:t>
      </w:r>
      <w:r>
        <w:rPr>
          <w:vertAlign w:val="superscript"/>
        </w:rPr>
        <w:t xml:space="preserve">34</w:t>
      </w:r>
      <w:r>
        <w:t xml:space="preserve">.</w:t>
      </w:r>
    </w:p>
    <w:p>
      <w:pPr>
        <w:pStyle w:val="BodyText"/>
      </w:pPr>
      <w:r>
        <w:t xml:space="preserve">The introduction of BCMA-directed therapies has transformed the outlook for TCR patients. Idecabtagene vicleucel (ide-cel) demonstrated an overall response rate of 73% in the KarMMa trial, with a median progression-free survival of 8.8 months in heavily pretreated patients who had received a median of six prior lines of therapy</w:t>
      </w:r>
      <w:r>
        <w:rPr>
          <w:vertAlign w:val="superscript"/>
        </w:rPr>
        <w:t xml:space="preserve">17</w:t>
      </w:r>
      <w:r>
        <w:t xml:space="preserve">. Ciltacabtagene autoleucel (cilta-cel) achieved even more striking results in CARTITUDE-1, with an overall response rate of 98% and a stringent complete response rate of 83% at extended follow-up</w:t>
      </w:r>
      <w:r>
        <w:rPr>
          <w:vertAlign w:val="superscript"/>
        </w:rPr>
        <w:t xml:space="preserve">20,21</w:t>
      </w:r>
      <w:r>
        <w:t xml:space="preserve">. Bispecific antibodies targeting BCMA, including teclistamab and elranatamab, offer an off-the-shelf alternative with meaningful efficacy in this population</w:t>
      </w:r>
      <w:r>
        <w:rPr>
          <w:vertAlign w:val="superscript"/>
        </w:rPr>
        <w:t xml:space="preserve">29,30</w:t>
      </w:r>
      <w:r>
        <w:t xml:space="preserve">.</w:t>
      </w:r>
    </w:p>
    <w:bookmarkEnd w:id="67"/>
    <w:bookmarkStart w:id="68" w:name="mrd-guided-therapeutic-strategies"/>
    <w:p>
      <w:pPr>
        <w:pStyle w:val="Heading2"/>
      </w:pPr>
      <w:r>
        <w:t xml:space="preserve">7.3 MRD-Guided Therapeutic Strategies</w:t>
      </w:r>
    </w:p>
    <w:p>
      <w:pPr>
        <w:pStyle w:val="FirstParagraph"/>
      </w:pPr>
      <w:r>
        <w:t xml:space="preserve">Measurable residual disease (MRD) assessment has emerged as a key tool for evaluating treatment depth and guiding subsequent decision-making. Achievement of MRD negativity, typically defined at a sensitivity of 10</w:t>
      </w:r>
      <w:r>
        <w:rPr>
          <w:vertAlign w:val="superscript"/>
        </w:rPr>
        <w:t xml:space="preserve">-5</w:t>
      </w:r>
      <w:r>
        <w:t xml:space="preserve"> </w:t>
      </w:r>
      <w:r>
        <w:t xml:space="preserve">or 10</w:t>
      </w:r>
      <w:r>
        <w:rPr>
          <w:vertAlign w:val="superscript"/>
        </w:rPr>
        <w:t xml:space="preserve">-6</w:t>
      </w:r>
      <w:r>
        <w:t xml:space="preserve"> </w:t>
      </w:r>
      <w:r>
        <w:t xml:space="preserve">by next-generation flow cytometry or next-generation sequencing, correlates strongly with prolonged progression-free and overall survival across therapeutic settings</w:t>
      </w:r>
      <w:r>
        <w:rPr>
          <w:vertAlign w:val="superscript"/>
        </w:rPr>
        <w:t xml:space="preserve">4</w:t>
      </w:r>
      <w:r>
        <w:t xml:space="preserve">. Functional imaging with</w:t>
      </w:r>
      <w:r>
        <w:t xml:space="preserve"> </w:t>
      </w:r>
      <w:r>
        <w:rPr>
          <w:vertAlign w:val="superscript"/>
        </w:rPr>
        <w:t xml:space="preserve">18</w:t>
      </w:r>
      <w:r>
        <w:t xml:space="preserve">F-FDG PET/CT provides complementary spatial information, detecting extramedullary disease and focal lesions that may escape bone marrow-based MRD assays, and the International Myeloma Working Group has endorsed its integration into response assessment frameworks</w:t>
      </w:r>
      <w:r>
        <w:rPr>
          <w:vertAlign w:val="superscript"/>
        </w:rPr>
        <w:t xml:space="preserve">42</w:t>
      </w:r>
      <w:r>
        <w:t xml:space="preserve">.</w:t>
      </w:r>
    </w:p>
    <w:p>
      <w:pPr>
        <w:pStyle w:val="BodyText"/>
      </w:pPr>
      <w:r>
        <w:t xml:space="preserve">In the context of BCMA-directed CAR T-cell therapy, patients who achieve sustained MRD negativity exhibit significantly longer duration of response, suggesting that MRD status may help identify patients who derive the most durable benefit from these treatments</w:t>
      </w:r>
      <w:r>
        <w:rPr>
          <w:vertAlign w:val="superscript"/>
        </w:rPr>
        <w:t xml:space="preserve">21,27</w:t>
      </w:r>
      <w:r>
        <w:t xml:space="preserve">. Among cilta-cel-treated patients in CARTITUDE-1, the rate of MRD negativity at 10</w:t>
      </w:r>
      <w:r>
        <w:rPr>
          <w:vertAlign w:val="superscript"/>
        </w:rPr>
        <w:t xml:space="preserve">-5</w:t>
      </w:r>
      <w:r>
        <w:t xml:space="preserve"> </w:t>
      </w:r>
      <w:r>
        <w:t xml:space="preserve">exceeded 50%, and sustained MRD-negative status at twelve months was associated with markedly prolonged progression-free survival</w:t>
      </w:r>
      <w:r>
        <w:rPr>
          <w:vertAlign w:val="superscript"/>
        </w:rPr>
        <w:t xml:space="preserve">21</w:t>
      </w:r>
      <w:r>
        <w:t xml:space="preserve">. Whether MRD-guided de-escalation or treatment discontinuation strategies can be safely implemented in R/R MM remains an open question, though emerging data from ongoing trials are expected to clarify this issue. The integration of multimodal MRD assessment—combining molecular techniques with functional imaging—may ultimately provide the most comprehensive evaluation of treatment response and inform individualized sequencing decisions</w:t>
      </w:r>
      <w:r>
        <w:rPr>
          <w:vertAlign w:val="superscript"/>
        </w:rPr>
        <w:t xml:space="preserve">2</w:t>
      </w:r>
      <w:r>
        <w:t xml:space="preserve">.</w:t>
      </w:r>
    </w:p>
    <w:bookmarkEnd w:id="68"/>
    <w:bookmarkStart w:id="69" w:name="real-world-outcomes-versus-trial-data"/>
    <w:p>
      <w:pPr>
        <w:pStyle w:val="Heading2"/>
      </w:pPr>
      <w:r>
        <w:t xml:space="preserve">7.4 Real-World Outcomes Versus Trial Data</w:t>
      </w:r>
    </w:p>
    <w:p>
      <w:pPr>
        <w:pStyle w:val="FirstParagraph"/>
      </w:pPr>
      <w:r>
        <w:t xml:space="preserve">A persistent gap exists between outcomes observed in clinical trials and those achieved in routine clinical practice. Trial populations are inherently selected for adequate organ function, performance status, and absence of comorbidities that commonly affect real-world patients. In the KarMMa trial, for example, patients were required to have adequate hematologic, hepatic, and renal function, criteria that exclude a substantial proportion of real-world R/R MM patients who may nonetheless benefit from CAR T-cell therapy</w:t>
      </w:r>
      <w:r>
        <w:rPr>
          <w:vertAlign w:val="superscript"/>
        </w:rPr>
        <w:t xml:space="preserve">17</w:t>
      </w:r>
      <w:r>
        <w:t xml:space="preserve">. For CAR T-cell therapies, manufacturing delays, bridging therapy requirements, and attrition during the apheresis-to-infusion interval further limit the generalizability of trial results. Studies have reported that up to 15–20% of patients who undergo leukapheresis never receive the manufactured product due to disease progression, manufacturing failure, or clinical deterioration during the bridging interval. Real-world analyses of cilta-cel have reported healthcare resource utilization patterns and clinical outcomes that, while broadly consistent with registration trial data, reflect the complexities of managing these therapies in both inpatient and outpatient settings</w:t>
      </w:r>
      <w:r>
        <w:rPr>
          <w:vertAlign w:val="superscript"/>
        </w:rPr>
        <w:t xml:space="preserve">38</w:t>
      </w:r>
      <w:r>
        <w:t xml:space="preserve">. Patient-reported outcomes prior to CAR T-cell infusion may also influence clinical trajectories, highlighting the importance of holistic assessment in treatment planning</w:t>
      </w:r>
      <w:r>
        <w:rPr>
          <w:vertAlign w:val="superscript"/>
        </w:rPr>
        <w:t xml:space="preserve">39</w:t>
      </w:r>
      <w:r>
        <w:t xml:space="preserve">. The integration of real-world evidence with clinical trial data will be essential for refining treatment algorithms and ensuring equitable access to these transformative therapies</w:t>
      </w:r>
      <w:r>
        <w:rPr>
          <w:vertAlign w:val="superscript"/>
        </w:rPr>
        <w:t xml:space="preserve">35</w:t>
      </w:r>
      <w:r>
        <w:t xml:space="preserve">.</w:t>
      </w:r>
    </w:p>
    <w:bookmarkEnd w:id="69"/>
    <w:bookmarkEnd w:id="70"/>
    <w:bookmarkStart w:id="78" w:name="discussion"/>
    <w:p>
      <w:pPr>
        <w:pStyle w:val="Heading1"/>
      </w:pPr>
      <w:r>
        <w:t xml:space="preserve">8. Discussion</w:t>
      </w:r>
    </w:p>
    <w:bookmarkStart w:id="71" w:name="X047b1da9e9aa60f353b8a3702b9a4c0ca8fd267"/>
    <w:p>
      <w:pPr>
        <w:pStyle w:val="Heading2"/>
      </w:pPr>
      <w:r>
        <w:t xml:space="preserve">8.1 Synthesis of Evidence: The BCMA Revolution</w:t>
      </w:r>
    </w:p>
    <w:p>
      <w:pPr>
        <w:pStyle w:val="FirstParagraph"/>
      </w:pPr>
      <w:r>
        <w:t xml:space="preserve">This systematic review demonstrates that BCMA-directed therapies have fundamentally transformed the treatment landscape for relapsed/refractory multiple myeloma (R/R MM). The evidence, drawn from pivotal registration trials, long-term follow-up analyses, and emerging real-world data, consistently indicates that both CAR T-cell products and bispecific antibodies targeting BCMA achieve unprecedented response rates in heavily pretreated patients, including those with triple-class refractory disease. Idecabtagene vicleucel (ide-cel) yielded an overall response rate of 73% in KarMMa</w:t>
      </w:r>
      <w:r>
        <w:rPr>
          <w:vertAlign w:val="superscript"/>
        </w:rPr>
        <w:t xml:space="preserve">17</w:t>
      </w:r>
      <w:r>
        <w:t xml:space="preserve">, while ciltacabtagene autoleucel (cilta-cel) achieved 98% in CARTITUDE-1 with deep and durable responses at two-year follow-up</w:t>
      </w:r>
      <w:r>
        <w:rPr>
          <w:vertAlign w:val="superscript"/>
        </w:rPr>
        <w:t xml:space="preserve">20,21</w:t>
      </w:r>
      <w:r>
        <w:t xml:space="preserve">. The randomized phase 3 KarMMa-3 and CARTITUDE-4 trials subsequently confirmed the superiority of these agents over standard-of-care regimens in earlier lines of relapse, with significant improvements in progression-free survival</w:t>
      </w:r>
      <w:r>
        <w:rPr>
          <w:vertAlign w:val="superscript"/>
        </w:rPr>
        <w:t xml:space="preserve">19,22</w:t>
      </w:r>
      <w:r>
        <w:t xml:space="preserve">. These findings collectively establish BCMA-directed CAR T-cell therapy as a new standard of care for patients who have exhausted conventional options.</w:t>
      </w:r>
    </w:p>
    <w:p>
      <w:pPr>
        <w:pStyle w:val="BodyText"/>
      </w:pPr>
      <w:r>
        <w:t xml:space="preserve">Bispecific antibodies represent a complementary modality within the BCMA-directed armamentarium. Teclistamab demonstrated an overall response rate of 63% in the MajesTEC-1 trial among patients with a median of five prior lines of therapy</w:t>
      </w:r>
      <w:r>
        <w:rPr>
          <w:vertAlign w:val="superscript"/>
        </w:rPr>
        <w:t xml:space="preserve">29</w:t>
      </w:r>
      <w:r>
        <w:t xml:space="preserve">, while elranatamab achieved 61% in MagnetisMM-3</w:t>
      </w:r>
      <w:r>
        <w:rPr>
          <w:vertAlign w:val="superscript"/>
        </w:rPr>
        <w:t xml:space="preserve">30</w:t>
      </w:r>
      <w:r>
        <w:t xml:space="preserve">. Although cross-trial comparisons must be interpreted cautiously, the slightly lower response rates observed with bispecific antibodies relative to CAR T-cell products may reflect differences in patient populations, depth of prior treatment exposure, and mechanistic distinctions in how these agents engage T cells. The ability of bispecific antibodies to be administered off-the-shelf without the manufacturing delays inherent to autologous CAR T-cell production represents a substantial practical advantage, particularly for patients with rapidly progressive disease who cannot afford the four-to-six-week manufacturing interval</w:t>
      </w:r>
      <w:r>
        <w:rPr>
          <w:vertAlign w:val="superscript"/>
        </w:rPr>
        <w:t xml:space="preserve">27</w:t>
      </w:r>
      <w:r>
        <w:t xml:space="preserve">.</w:t>
      </w:r>
    </w:p>
    <w:bookmarkEnd w:id="71"/>
    <w:bookmarkStart w:id="72" w:name="treatment-sequencing-challenges"/>
    <w:p>
      <w:pPr>
        <w:pStyle w:val="Heading2"/>
      </w:pPr>
      <w:r>
        <w:t xml:space="preserve">8.2 Treatment Sequencing Challenges</w:t>
      </w:r>
    </w:p>
    <w:p>
      <w:pPr>
        <w:pStyle w:val="FirstParagraph"/>
      </w:pPr>
      <w:r>
        <w:t xml:space="preserve">The proliferation of effective agents across multiple drug classes has created complex sequencing dilemmas. The conventional paradigm of PI-IMiD-anti-CD38 antibody combinations in early lines followed by BCMA-directed therapy at later relapse is increasingly being challenged by data supporting earlier deployment of immunotherapy</w:t>
      </w:r>
      <w:r>
        <w:rPr>
          <w:vertAlign w:val="superscript"/>
        </w:rPr>
        <w:t xml:space="preserve">19,22</w:t>
      </w:r>
      <w:r>
        <w:t xml:space="preserve">. The CARTITUDE-4 trial demonstrated that cilta-cel significantly improved progression-free survival compared with physician’s choice in lenalidomide-refractory patients after one to three prior lines of therapy, raising the question of whether delaying BCMA-directed therapy until patients are heavily pretreated and immunologically compromised may represent a missed opportunity</w:t>
      </w:r>
      <w:r>
        <w:rPr>
          <w:vertAlign w:val="superscript"/>
        </w:rPr>
        <w:t xml:space="preserve">22</w:t>
      </w:r>
      <w:r>
        <w:t xml:space="preserve">.</w:t>
      </w:r>
    </w:p>
    <w:p>
      <w:pPr>
        <w:pStyle w:val="BodyText"/>
      </w:pPr>
      <w:r>
        <w:t xml:space="preserve">However, several factors complicate earlier use of these therapies. The finite duration of CAR T-cell responses, even in patients achieving deep remissions, means that retreatment strategies must be considered</w:t>
      </w:r>
      <w:r>
        <w:rPr>
          <w:vertAlign w:val="superscript"/>
        </w:rPr>
        <w:t xml:space="preserve">27</w:t>
      </w:r>
      <w:r>
        <w:t xml:space="preserve">. Resistance mechanisms, including biallelic loss of BCMA, antigen downregulation, and T-cell exhaustion, have been documented and may limit the efficacy of subsequent BCMA-directed approaches</w:t>
      </w:r>
      <w:r>
        <w:rPr>
          <w:vertAlign w:val="superscript"/>
        </w:rPr>
        <w:t xml:space="preserve">28</w:t>
      </w:r>
      <w:r>
        <w:t xml:space="preserve">. The availability of non-BCMA targets such as GPRC5D, as exemplified by talquetamab, provides an alternative pathway for patients who progress after BCMA-directed therapy, though the optimal sequencing of these agents relative to BCMA-targeted treatments remains undefined</w:t>
      </w:r>
      <w:r>
        <w:rPr>
          <w:vertAlign w:val="superscript"/>
        </w:rPr>
        <w:t xml:space="preserve">31</w:t>
      </w:r>
      <w:r>
        <w:t xml:space="preserve">.</w:t>
      </w:r>
    </w:p>
    <w:bookmarkEnd w:id="72"/>
    <w:bookmarkStart w:id="73" w:name="X2bdcd093dad70b7d2ee224737b0ff8acdad509c"/>
    <w:p>
      <w:pPr>
        <w:pStyle w:val="Heading2"/>
      </w:pPr>
      <w:r>
        <w:t xml:space="preserve">8.3 CAR T-Cell Therapy Versus Bispecific Antibodies</w:t>
      </w:r>
    </w:p>
    <w:p>
      <w:pPr>
        <w:pStyle w:val="FirstParagraph"/>
      </w:pPr>
      <w:r>
        <w:t xml:space="preserve">The comparison between CAR T-cell therapy and bispecific antibodies represents one of the most clinically relevant questions in R/R MM management. Both modalities redirect autologous T cells to target myeloma cells but differ fundamentally in their delivery, kinetics, and toxicity profiles. CAR T-cell therapy offers the advantage of a one-time infusion with the potential for prolonged antitumor activity mediated by in vivo expansion and persistence of engineered T cells</w:t>
      </w:r>
      <w:r>
        <w:rPr>
          <w:vertAlign w:val="superscript"/>
        </w:rPr>
        <w:t xml:space="preserve">17,18</w:t>
      </w:r>
      <w:r>
        <w:t xml:space="preserve">. In contrast, bispecific antibodies require continuous or repeated dosing but provide immediate availability and the capacity for dose modification in response to adverse events</w:t>
      </w:r>
      <w:r>
        <w:rPr>
          <w:vertAlign w:val="superscript"/>
        </w:rPr>
        <w:t xml:space="preserve">29</w:t>
      </w:r>
      <w:r>
        <w:t xml:space="preserve">.</w:t>
      </w:r>
    </w:p>
    <w:p>
      <w:pPr>
        <w:pStyle w:val="BodyText"/>
      </w:pPr>
      <w:r>
        <w:t xml:space="preserve">From a toxicity standpoint, cytokine release syndrome (CRS) occurs with both modalities but tends to be more severe with CAR T-cell therapy. Neurotoxicity, including the distinctive movement and neurocognitive treatment-emergent adverse events (MNT) observed with cilta-cel, represents a unique concern for certain CAR T-cell products</w:t>
      </w:r>
      <w:r>
        <w:rPr>
          <w:vertAlign w:val="superscript"/>
        </w:rPr>
        <w:t xml:space="preserve">20</w:t>
      </w:r>
      <w:r>
        <w:t xml:space="preserve">. Bispecific antibodies are associated with high rates of infection, partly attributable to sustained hypogammaglobulinemia and T-cell dysfunction resulting from ongoing target engagement</w:t>
      </w:r>
      <w:r>
        <w:rPr>
          <w:vertAlign w:val="superscript"/>
        </w:rPr>
        <w:t xml:space="preserve">29,30</w:t>
      </w:r>
      <w:r>
        <w:t xml:space="preserve">. Head-to-head trials comparing these modalities are not yet available, and treatment selection currently depends on clinical factors including disease kinetics, patient fitness, logistical considerations, and institutional capabilities.</w:t>
      </w:r>
    </w:p>
    <w:bookmarkEnd w:id="73"/>
    <w:bookmarkStart w:id="74" w:name="access-cost-and-health-equity"/>
    <w:p>
      <w:pPr>
        <w:pStyle w:val="Heading2"/>
      </w:pPr>
      <w:r>
        <w:t xml:space="preserve">8.4 Access, Cost, and Health Equity</w:t>
      </w:r>
    </w:p>
    <w:p>
      <w:pPr>
        <w:pStyle w:val="FirstParagraph"/>
      </w:pPr>
      <w:r>
        <w:t xml:space="preserve">The transformative efficacy of BCMA-directed therapies is tempered by significant barriers to access. CAR T-cell manufacturing requires specialized infrastructure, REMS-certified treatment centers, and substantial financial resources, with costs exceeding several hundred thousand dollars per patient in the United States. Real-world data indicate that healthcare resource utilization varies substantially between inpatient and outpatient CAR T-cell delivery settings, with implications for both costs and clinical outcomes</w:t>
      </w:r>
      <w:r>
        <w:rPr>
          <w:vertAlign w:val="superscript"/>
        </w:rPr>
        <w:t xml:space="preserve">38</w:t>
      </w:r>
      <w:r>
        <w:t xml:space="preserve">. Bispecific antibodies, while more readily available, require indefinite dosing with associated cumulative costs and the burden of frequent clinic visits. Geographic disparities in access to both modalities disproportionately affect patients in low- and middle-income countries, where anti-CD38 antibodies may themselves be inaccessible, let alone next-generation immunotherapies</w:t>
      </w:r>
      <w:r>
        <w:rPr>
          <w:vertAlign w:val="superscript"/>
        </w:rPr>
        <w:t xml:space="preserve">1,3</w:t>
      </w:r>
      <w:r>
        <w:t xml:space="preserve">.</w:t>
      </w:r>
    </w:p>
    <w:bookmarkEnd w:id="74"/>
    <w:bookmarkStart w:id="75" w:name="Xdb96b5610f29c907946bb67365680a4c1849f60"/>
    <w:p>
      <w:pPr>
        <w:pStyle w:val="Heading2"/>
      </w:pPr>
      <w:r>
        <w:t xml:space="preserve">8.5 Infection Risk with T-Cell Redirecting Therapies</w:t>
      </w:r>
    </w:p>
    <w:p>
      <w:pPr>
        <w:pStyle w:val="FirstParagraph"/>
      </w:pPr>
      <w:r>
        <w:t xml:space="preserve">A critical and underappreciated consequence of T-cell redirecting therapies is the heightened susceptibility to infections. Both CAR T-cell products and bispecific antibodies deplete normal B-cell and plasma cell populations, resulting in prolonged hypogammaglobulinemia and impaired humoral immunity</w:t>
      </w:r>
      <w:r>
        <w:rPr>
          <w:vertAlign w:val="superscript"/>
        </w:rPr>
        <w:t xml:space="preserve">27</w:t>
      </w:r>
      <w:r>
        <w:t xml:space="preserve">. Infections represent a leading cause of non-relapse mortality following BCMA-directed therapy, with opportunistic infections including Pneumocystis jirovecii pneumonia, cytomegalovirus reactivation, and invasive fungal disease reported across clinical trials. The infectious risk is compounded in heavily pretreated patients whose immune systems are already compromised by prior therapies, including high-dose alkylators and prolonged corticosteroid exposure</w:t>
      </w:r>
      <w:r>
        <w:rPr>
          <w:vertAlign w:val="superscript"/>
        </w:rPr>
        <w:t xml:space="preserve">2</w:t>
      </w:r>
      <w:r>
        <w:t xml:space="preserve">. Standardized prophylactic strategies, including immunoglobulin replacement, antimicrobial prophylaxis, and vaccination protocols, are evolving but lack robust evidence from randomized trials.</w:t>
      </w:r>
    </w:p>
    <w:bookmarkEnd w:id="75"/>
    <w:bookmarkStart w:id="76" w:name="strengths-and-limitations"/>
    <w:p>
      <w:pPr>
        <w:pStyle w:val="Heading2"/>
      </w:pPr>
      <w:r>
        <w:t xml:space="preserve">8.6 Strengths and Limitations</w:t>
      </w:r>
    </w:p>
    <w:p>
      <w:pPr>
        <w:pStyle w:val="FirstParagraph"/>
      </w:pPr>
      <w:r>
        <w:t xml:space="preserve">This review has several strengths. It provides a comprehensive synthesis of the evidence base spanning proteasome inhibitors, immunomodulatory drugs, anti-CD38 antibodies, BCMA-directed CAR T-cell therapies, bispecific antibodies, and emerging non-BCMA targets. The inclusion of both randomized controlled trials and real-world evidence offers a balanced perspective on efficacy and effectiveness. Systematic search strategies across multiple databases minimize the risk of omitting relevant studies.</w:t>
      </w:r>
    </w:p>
    <w:p>
      <w:pPr>
        <w:pStyle w:val="BodyText"/>
      </w:pPr>
      <w:r>
        <w:t xml:space="preserve">Several limitations warrant acknowledgment. First, publication bias may have led to the over-representation of positive results, particularly for newer agents where industry-sponsored trials predominate. Negative or equivocal studies may remain unpublished or published only as conference abstracts, introducing reporting bias into the evidence base. Second, the certainty of evidence varies substantially across therapeutic domains. While BCMA-directed CAR T-cell therapies are supported by randomized phase 3 data, many bispecific antibody and non-BCMA target studies remain at the single-arm phase 1/2 level, limiting the ability to draw definitive comparative conclusions. Formal GRADE (Grading of Recommendations, Assessment, Development, and Evaluations) assessment of the evidence was not performed for all outcomes, which limits the ability to assign standardized certainty ratings across the full scope of this review. The rationale for this decision reflects the heterogeneity of study designs and endpoints across the included literature. Third, the rapidly evolving landscape means that studies published after our search date may alter the conclusions drawn here, representing an inherent gap in any systematic review of an active field. Fourth, cross-trial comparisons are limited by differences in patient populations, eligibility criteria, response assessment methods, and follow-up duration.</w:t>
      </w:r>
    </w:p>
    <w:bookmarkEnd w:id="76"/>
    <w:bookmarkStart w:id="77" w:name="future-directions"/>
    <w:p>
      <w:pPr>
        <w:pStyle w:val="Heading2"/>
      </w:pPr>
      <w:r>
        <w:t xml:space="preserve">8.7 Future Directions</w:t>
      </w:r>
    </w:p>
    <w:p>
      <w:pPr>
        <w:pStyle w:val="FirstParagraph"/>
      </w:pPr>
      <w:r>
        <w:t xml:space="preserve">Several promising avenues are poised to reshape the R/R MM treatment paradigm. The movement toward earlier deployment of immunotherapy, supported by the CARTITUDE-4 and KarMMa-3 results, is likely to accelerate, with ongoing trials evaluating BCMA-directed agents in newly diagnosed high-risk patients</w:t>
      </w:r>
      <w:r>
        <w:rPr>
          <w:vertAlign w:val="superscript"/>
        </w:rPr>
        <w:t xml:space="preserve">19,22</w:t>
      </w:r>
      <w:r>
        <w:t xml:space="preserve">. Combination strategies pairing bispecific antibodies with IMiDs, anti-CD38 antibodies, or other bispecific antibodies targeting different antigens represent a logical evolution aimed at deepening responses and overcoming resistance mechanisms.</w:t>
      </w:r>
    </w:p>
    <w:p>
      <w:pPr>
        <w:pStyle w:val="BodyText"/>
      </w:pPr>
      <w:r>
        <w:t xml:space="preserve">The development of allogeneic or off-the-shelf CAR T-cell products addresses the critical limitation of manufacturing time and could democratize access to cellular therapy</w:t>
      </w:r>
      <w:r>
        <w:rPr>
          <w:vertAlign w:val="superscript"/>
        </w:rPr>
        <w:t xml:space="preserve">43</w:t>
      </w:r>
      <w:r>
        <w:t xml:space="preserve">. Gene-editing technologies, including CRISPR-Cas9-mediated approaches, offer the potential for universal donor cells with reduced alloreactivity. Simultaneously, a deeper understanding of resistance mechanisms—including antigen loss, T-cell exhaustion, and microenvironmental immunosuppression—will inform the design of next-generation therapies</w:t>
      </w:r>
      <w:r>
        <w:rPr>
          <w:vertAlign w:val="superscript"/>
        </w:rPr>
        <w:t xml:space="preserve">28,44</w:t>
      </w:r>
      <w:r>
        <w:t xml:space="preserve">. The integration of MRD-guided strategies with functional immune profiling may ultimately enable precision sequencing of therapies, moving the field toward an individualized treatment paradigm that maximizes duration of disease control while minimizing cumulative toxicity</w:t>
      </w:r>
      <w:r>
        <w:rPr>
          <w:vertAlign w:val="superscript"/>
        </w:rPr>
        <w:t xml:space="preserve">2</w:t>
      </w:r>
      <w:r>
        <w:t xml:space="preserve">.</w:t>
      </w:r>
    </w:p>
    <w:bookmarkEnd w:id="77"/>
    <w:bookmarkEnd w:id="78"/>
    <w:bookmarkStart w:id="79" w:name="conclusion"/>
    <w:p>
      <w:pPr>
        <w:pStyle w:val="Heading1"/>
      </w:pPr>
      <w:r>
        <w:t xml:space="preserve">9. Conclusion</w:t>
      </w:r>
    </w:p>
    <w:p>
      <w:pPr>
        <w:pStyle w:val="FirstParagraph"/>
      </w:pPr>
      <w:r>
        <w:t xml:space="preserve">This systematic review synthesizes the current evidence on therapeutic strategies for relapsed/refractory multiple myeloma, a disease that despite remarkable advances remains incurable for the majority of patients. The past decade has witnessed a paradigm shift from reliance on proteasome inhibitors, immunomodulatory drugs, and anti-CD38 monoclonal antibodies as the primary therapeutic backbone to the incorporation of BCMA-directed immunotherapies that achieve response rates previously unattainable in heavily pretreated populations</w:t>
      </w:r>
      <w:r>
        <w:rPr>
          <w:vertAlign w:val="superscript"/>
        </w:rPr>
        <w:t xml:space="preserve">17,20,29</w:t>
      </w:r>
      <w:r>
        <w:t xml:space="preserve">.</w:t>
      </w:r>
    </w:p>
    <w:p>
      <w:pPr>
        <w:pStyle w:val="BodyText"/>
      </w:pPr>
      <w:r>
        <w:t xml:space="preserve">The evidence reviewed here supports several key conclusions. First, BCMA-directed CAR T-cell therapies—ide-cel and cilta-cel—represent the most efficacious agents available for triple-class refractory myeloma, with randomized data now confirming benefit in earlier relapse settings</w:t>
      </w:r>
      <w:r>
        <w:rPr>
          <w:vertAlign w:val="superscript"/>
        </w:rPr>
        <w:t xml:space="preserve">19,22</w:t>
      </w:r>
      <w:r>
        <w:t xml:space="preserve">. Second, bispecific antibodies targeting BCMA and GPRC5D provide critical off-the-shelf alternatives that expand treatment options, though their long-term efficacy and infectious complications require ongoing scrutiny</w:t>
      </w:r>
      <w:r>
        <w:rPr>
          <w:vertAlign w:val="superscript"/>
        </w:rPr>
        <w:t xml:space="preserve">29–31</w:t>
      </w:r>
      <w:r>
        <w:t xml:space="preserve">. Third, treatment sequencing remains an unresolved challenge, with the optimal integration of novel immunotherapies into the broader treatment algorithm requiring prospective evaluation.</w:t>
      </w:r>
    </w:p>
    <w:p>
      <w:pPr>
        <w:pStyle w:val="BodyText"/>
      </w:pPr>
      <w:r>
        <w:t xml:space="preserve">Critical gaps persist. Access to BCMA-directed therapies remains inequitable, with cost, infrastructure, and geographic barriers limiting their reach. The infectious complications of T-cell redirecting therapies demand better prophylactic and supportive care frameworks. Resistance mechanisms, including antigen loss and T-cell exhaustion, necessitate continued investment in next-generation platforms such as allogeneic CAR T cells, multi-targeted approaches, and rationally designed combination regimens</w:t>
      </w:r>
      <w:r>
        <w:rPr>
          <w:vertAlign w:val="superscript"/>
        </w:rPr>
        <w:t xml:space="preserve">28,43</w:t>
      </w:r>
      <w:r>
        <w:t xml:space="preserve">. As the therapeutic armamentarium continues to expand, the integration of MRD-guided strategies, real-world evidence, and patient-centered outcomes will be essential for translating the promise of these innovations into sustained improvements in survival and quality of life for all patients with R/R MM.</w:t>
      </w:r>
    </w:p>
    <w:bookmarkEnd w:id="79"/>
    <w:bookmarkStart w:id="81" w:name="prisma-2020-checklist"/>
    <w:p>
      <w:pPr>
        <w:pStyle w:val="Heading1"/>
      </w:pPr>
      <w:r>
        <w:t xml:space="preserve">10. PRISMA 2020 Checklist</w:t>
      </w:r>
    </w:p>
    <w:p>
      <w:pPr>
        <w:pStyle w:val="FirstParagraph"/>
      </w:pPr>
      <w:r>
        <w:t xml:space="preserve">This systematic review was conducted and reported in accordance with the Preferred Reporting Items for Systematic Reviews and Meta-Analyses (PRISMA) 2020 statement. The following checklist documents compliance with each of the 27 items.</w:t>
      </w:r>
    </w:p>
    <w:tbl>
      <w:tblPr>
        <w:tblStyle w:val="Table"/>
        <w:tblW w:type="pct" w:w="5000"/>
        <w:tblLayout w:type="fixed"/>
        <w:tblLook w:firstRow="1" w:lastRow="0" w:firstColumn="0" w:lastColumn="0" w:noHBand="0" w:noVBand="0" w:val="0020"/>
      </w:tblPr>
      <w:tblGrid>
        <w:gridCol w:w="1657"/>
        <w:gridCol w:w="1105"/>
        <w:gridCol w:w="2762"/>
        <w:gridCol w:w="2394"/>
      </w:tblGrid>
      <w:tr>
        <w:trPr>
          <w:tblHeader w:val="on"/>
        </w:trPr>
        <w:tc>
          <w:tcPr/>
          <w:p>
            <w:pPr>
              <w:pStyle w:val="Compact"/>
            </w:pPr>
            <w:r>
              <w:t xml:space="preserve">Section</w:t>
            </w:r>
          </w:p>
        </w:tc>
        <w:tc>
          <w:tcPr/>
          <w:p>
            <w:pPr>
              <w:pStyle w:val="Compact"/>
            </w:pPr>
            <w:r>
              <w:t xml:space="preserve">Item</w:t>
            </w:r>
          </w:p>
        </w:tc>
        <w:tc>
          <w:tcPr/>
          <w:p>
            <w:pPr>
              <w:pStyle w:val="Compact"/>
            </w:pPr>
            <w:r>
              <w:t xml:space="preserve">Checklist Item</w:t>
            </w:r>
          </w:p>
        </w:tc>
        <w:tc>
          <w:tcPr/>
          <w:p>
            <w:pPr>
              <w:pStyle w:val="Compact"/>
            </w:pPr>
            <w:r>
              <w:t xml:space="preserve">Reported on</w:t>
            </w:r>
          </w:p>
        </w:tc>
      </w:tr>
      <w:tr>
        <w:tc>
          <w:tcPr/>
          <w:p>
            <w:pPr>
              <w:pStyle w:val="Compact"/>
            </w:pPr>
            <w:r>
              <w:rPr>
                <w:b/>
                <w:bCs/>
              </w:rPr>
              <w:t xml:space="preserve">TITLE</w:t>
            </w:r>
          </w:p>
        </w:tc>
        <w:tc>
          <w:tcPr/>
          <w:p>
            <w:pPr>
              <w:pStyle w:val="Compact"/>
            </w:pPr>
          </w:p>
        </w:tc>
        <w:tc>
          <w:tcPr/>
          <w:p>
            <w:pPr>
              <w:pStyle w:val="Compact"/>
            </w:pPr>
          </w:p>
        </w:tc>
        <w:tc>
          <w:tcPr/>
          <w:p>
            <w:pPr>
              <w:pStyle w:val="Compact"/>
            </w:pPr>
          </w:p>
        </w:tc>
      </w:tr>
      <w:tr>
        <w:tc>
          <w:tcPr/>
          <w:p>
            <w:pPr>
              <w:pStyle w:val="Compact"/>
            </w:pPr>
            <w:r>
              <w:t xml:space="preserve">Title</w:t>
            </w:r>
          </w:p>
        </w:tc>
        <w:tc>
          <w:tcPr/>
          <w:p>
            <w:pPr>
              <w:pStyle w:val="Compact"/>
            </w:pPr>
            <w:r>
              <w:t xml:space="preserve">1</w:t>
            </w:r>
          </w:p>
        </w:tc>
        <w:tc>
          <w:tcPr/>
          <w:p>
            <w:pPr>
              <w:pStyle w:val="Compact"/>
            </w:pPr>
            <w:r>
              <w:t xml:space="preserve">Identify the report as a systematic review</w:t>
            </w:r>
          </w:p>
        </w:tc>
        <w:tc>
          <w:tcPr/>
          <w:p>
            <w:pPr>
              <w:pStyle w:val="Compact"/>
            </w:pPr>
            <w:r>
              <w:t xml:space="preserve">Title page</w:t>
            </w:r>
          </w:p>
        </w:tc>
      </w:tr>
      <w:tr>
        <w:tc>
          <w:tcPr/>
          <w:p>
            <w:pPr>
              <w:pStyle w:val="Compact"/>
            </w:pPr>
            <w:r>
              <w:rPr>
                <w:b/>
                <w:bCs/>
              </w:rPr>
              <w:t xml:space="preserve">ABSTRACT</w:t>
            </w:r>
          </w:p>
        </w:tc>
        <w:tc>
          <w:tcPr/>
          <w:p>
            <w:pPr>
              <w:pStyle w:val="Compact"/>
            </w:pPr>
          </w:p>
        </w:tc>
        <w:tc>
          <w:tcPr/>
          <w:p>
            <w:pPr>
              <w:pStyle w:val="Compact"/>
            </w:pPr>
          </w:p>
        </w:tc>
        <w:tc>
          <w:tcPr/>
          <w:p>
            <w:pPr>
              <w:pStyle w:val="Compact"/>
            </w:pPr>
          </w:p>
        </w:tc>
      </w:tr>
      <w:tr>
        <w:tc>
          <w:tcPr/>
          <w:p>
            <w:pPr>
              <w:pStyle w:val="Compact"/>
            </w:pPr>
            <w:r>
              <w:t xml:space="preserve">Abstract</w:t>
            </w:r>
          </w:p>
        </w:tc>
        <w:tc>
          <w:tcPr/>
          <w:p>
            <w:pPr>
              <w:pStyle w:val="Compact"/>
            </w:pPr>
            <w:r>
              <w:t xml:space="preserve">2</w:t>
            </w:r>
          </w:p>
        </w:tc>
        <w:tc>
          <w:tcPr/>
          <w:p>
            <w:pPr>
              <w:pStyle w:val="Compact"/>
            </w:pPr>
            <w:r>
              <w:t xml:space="preserve">Structured summary (background, objectives, methods, results, conclusions)</w:t>
            </w:r>
          </w:p>
        </w:tc>
        <w:tc>
          <w:tcPr/>
          <w:p>
            <w:pPr>
              <w:pStyle w:val="Compact"/>
            </w:pPr>
            <w:r>
              <w:t xml:space="preserve">Abstract</w:t>
            </w:r>
          </w:p>
        </w:tc>
      </w:tr>
      <w:tr>
        <w:tc>
          <w:tcPr/>
          <w:p>
            <w:pPr>
              <w:pStyle w:val="Compact"/>
            </w:pPr>
            <w:r>
              <w:rPr>
                <w:b/>
                <w:bCs/>
              </w:rPr>
              <w:t xml:space="preserve">INTRODUCTION</w:t>
            </w:r>
          </w:p>
        </w:tc>
        <w:tc>
          <w:tcPr/>
          <w:p>
            <w:pPr>
              <w:pStyle w:val="Compact"/>
            </w:pPr>
          </w:p>
        </w:tc>
        <w:tc>
          <w:tcPr/>
          <w:p>
            <w:pPr>
              <w:pStyle w:val="Compact"/>
            </w:pPr>
          </w:p>
        </w:tc>
        <w:tc>
          <w:tcPr/>
          <w:p>
            <w:pPr>
              <w:pStyle w:val="Compact"/>
            </w:pPr>
          </w:p>
        </w:tc>
      </w:tr>
      <w:tr>
        <w:tc>
          <w:tcPr/>
          <w:p>
            <w:pPr>
              <w:pStyle w:val="Compact"/>
            </w:pPr>
            <w:r>
              <w:t xml:space="preserve">Rationale</w:t>
            </w:r>
          </w:p>
        </w:tc>
        <w:tc>
          <w:tcPr/>
          <w:p>
            <w:pPr>
              <w:pStyle w:val="Compact"/>
            </w:pPr>
            <w:r>
              <w:t xml:space="preserve">3</w:t>
            </w:r>
          </w:p>
        </w:tc>
        <w:tc>
          <w:tcPr/>
          <w:p>
            <w:pPr>
              <w:pStyle w:val="Compact"/>
            </w:pPr>
            <w:r>
              <w:t xml:space="preserve">Describe the rationale for the review in the context of existing knowledge</w:t>
            </w:r>
          </w:p>
        </w:tc>
        <w:tc>
          <w:tcPr/>
          <w:p>
            <w:pPr>
              <w:pStyle w:val="Compact"/>
            </w:pPr>
            <w:r>
              <w:t xml:space="preserve">Section 1, para 1–3</w:t>
            </w:r>
          </w:p>
        </w:tc>
      </w:tr>
      <w:tr>
        <w:tc>
          <w:tcPr/>
          <w:p>
            <w:pPr>
              <w:pStyle w:val="Compact"/>
            </w:pPr>
            <w:r>
              <w:t xml:space="preserve">Objectives</w:t>
            </w:r>
          </w:p>
        </w:tc>
        <w:tc>
          <w:tcPr/>
          <w:p>
            <w:pPr>
              <w:pStyle w:val="Compact"/>
            </w:pPr>
            <w:r>
              <w:t xml:space="preserve">4</w:t>
            </w:r>
          </w:p>
        </w:tc>
        <w:tc>
          <w:tcPr/>
          <w:p>
            <w:pPr>
              <w:pStyle w:val="Compact"/>
            </w:pPr>
            <w:r>
              <w:t xml:space="preserve">Provide an explicit statement of the objectives or questions the review addresses</w:t>
            </w:r>
          </w:p>
        </w:tc>
        <w:tc>
          <w:tcPr/>
          <w:p>
            <w:pPr>
              <w:pStyle w:val="Compact"/>
            </w:pPr>
            <w:r>
              <w:t xml:space="preserve">Section 1, objectives list</w:t>
            </w:r>
          </w:p>
        </w:tc>
      </w:tr>
      <w:tr>
        <w:tc>
          <w:tcPr/>
          <w:p>
            <w:pPr>
              <w:pStyle w:val="Compact"/>
            </w:pPr>
            <w:r>
              <w:rPr>
                <w:b/>
                <w:bCs/>
              </w:rPr>
              <w:t xml:space="preserve">METHODS</w:t>
            </w:r>
          </w:p>
        </w:tc>
        <w:tc>
          <w:tcPr/>
          <w:p>
            <w:pPr>
              <w:pStyle w:val="Compact"/>
            </w:pPr>
          </w:p>
        </w:tc>
        <w:tc>
          <w:tcPr/>
          <w:p>
            <w:pPr>
              <w:pStyle w:val="Compact"/>
            </w:pPr>
          </w:p>
        </w:tc>
        <w:tc>
          <w:tcPr/>
          <w:p>
            <w:pPr>
              <w:pStyle w:val="Compact"/>
            </w:pPr>
          </w:p>
        </w:tc>
      </w:tr>
      <w:tr>
        <w:tc>
          <w:tcPr/>
          <w:p>
            <w:pPr>
              <w:pStyle w:val="Compact"/>
            </w:pPr>
            <w:r>
              <w:t xml:space="preserve">Eligibility criteria</w:t>
            </w:r>
          </w:p>
        </w:tc>
        <w:tc>
          <w:tcPr/>
          <w:p>
            <w:pPr>
              <w:pStyle w:val="Compact"/>
            </w:pPr>
            <w:r>
              <w:t xml:space="preserve">5</w:t>
            </w:r>
          </w:p>
        </w:tc>
        <w:tc>
          <w:tcPr/>
          <w:p>
            <w:pPr>
              <w:pStyle w:val="Compact"/>
            </w:pPr>
            <w:r>
              <w:t xml:space="preserve">Specify inclusion and exclusion criteria for the review</w:t>
            </w:r>
          </w:p>
        </w:tc>
        <w:tc>
          <w:tcPr/>
          <w:p>
            <w:pPr>
              <w:pStyle w:val="Compact"/>
            </w:pPr>
            <w:r>
              <w:t xml:space="preserve">Sections 2.4, 2.5</w:t>
            </w:r>
          </w:p>
        </w:tc>
      </w:tr>
      <w:tr>
        <w:tc>
          <w:tcPr/>
          <w:p>
            <w:pPr>
              <w:pStyle w:val="Compact"/>
            </w:pPr>
            <w:r>
              <w:t xml:space="preserve">Information sources</w:t>
            </w:r>
          </w:p>
        </w:tc>
        <w:tc>
          <w:tcPr/>
          <w:p>
            <w:pPr>
              <w:pStyle w:val="Compact"/>
            </w:pPr>
            <w:r>
              <w:t xml:space="preserve">6</w:t>
            </w:r>
          </w:p>
        </w:tc>
        <w:tc>
          <w:tcPr/>
          <w:p>
            <w:pPr>
              <w:pStyle w:val="Compact"/>
            </w:pPr>
            <w:r>
              <w:t xml:space="preserve">Specify all databases, registers, websites, and other sources searched</w:t>
            </w:r>
          </w:p>
        </w:tc>
        <w:tc>
          <w:tcPr/>
          <w:p>
            <w:pPr>
              <w:pStyle w:val="Compact"/>
            </w:pPr>
            <w:r>
              <w:t xml:space="preserve">Section 2.2</w:t>
            </w:r>
          </w:p>
        </w:tc>
      </w:tr>
      <w:tr>
        <w:tc>
          <w:tcPr/>
          <w:p>
            <w:pPr>
              <w:pStyle w:val="Compact"/>
            </w:pPr>
            <w:r>
              <w:t xml:space="preserve">Search strategy</w:t>
            </w:r>
          </w:p>
        </w:tc>
        <w:tc>
          <w:tcPr/>
          <w:p>
            <w:pPr>
              <w:pStyle w:val="Compact"/>
            </w:pPr>
            <w:r>
              <w:t xml:space="preserve">7</w:t>
            </w:r>
          </w:p>
        </w:tc>
        <w:tc>
          <w:tcPr/>
          <w:p>
            <w:pPr>
              <w:pStyle w:val="Compact"/>
            </w:pPr>
            <w:r>
              <w:t xml:space="preserve">Present the full search strategies for all databases</w:t>
            </w:r>
          </w:p>
        </w:tc>
        <w:tc>
          <w:tcPr/>
          <w:p>
            <w:pPr>
              <w:pStyle w:val="Compact"/>
            </w:pPr>
            <w:r>
              <w:t xml:space="preserve">Section 2.2</w:t>
            </w:r>
          </w:p>
        </w:tc>
      </w:tr>
      <w:tr>
        <w:tc>
          <w:tcPr/>
          <w:p>
            <w:pPr>
              <w:pStyle w:val="Compact"/>
            </w:pPr>
            <w:r>
              <w:t xml:space="preserve">Selection process</w:t>
            </w:r>
          </w:p>
        </w:tc>
        <w:tc>
          <w:tcPr/>
          <w:p>
            <w:pPr>
              <w:pStyle w:val="Compact"/>
            </w:pPr>
            <w:r>
              <w:t xml:space="preserve">8</w:t>
            </w:r>
          </w:p>
        </w:tc>
        <w:tc>
          <w:tcPr/>
          <w:p>
            <w:pPr>
              <w:pStyle w:val="Compact"/>
            </w:pPr>
            <w:r>
              <w:t xml:space="preserve">Specify methods used to decide whether a study met inclusion criteria</w:t>
            </w:r>
          </w:p>
        </w:tc>
        <w:tc>
          <w:tcPr/>
          <w:p>
            <w:pPr>
              <w:pStyle w:val="Compact"/>
            </w:pPr>
            <w:r>
              <w:t xml:space="preserve">Section 2.3</w:t>
            </w:r>
          </w:p>
        </w:tc>
      </w:tr>
      <w:tr>
        <w:tc>
          <w:tcPr/>
          <w:p>
            <w:pPr>
              <w:pStyle w:val="Compact"/>
            </w:pPr>
            <w:r>
              <w:t xml:space="preserve">Data collection process</w:t>
            </w:r>
          </w:p>
        </w:tc>
        <w:tc>
          <w:tcPr/>
          <w:p>
            <w:pPr>
              <w:pStyle w:val="Compact"/>
            </w:pPr>
            <w:r>
              <w:t xml:space="preserve">9</w:t>
            </w:r>
          </w:p>
        </w:tc>
        <w:tc>
          <w:tcPr/>
          <w:p>
            <w:pPr>
              <w:pStyle w:val="Compact"/>
            </w:pPr>
            <w:r>
              <w:t xml:space="preserve">Specify methods used to collect data from reports</w:t>
            </w:r>
          </w:p>
        </w:tc>
        <w:tc>
          <w:tcPr/>
          <w:p>
            <w:pPr>
              <w:pStyle w:val="Compact"/>
            </w:pPr>
            <w:r>
              <w:t xml:space="preserve">Section 2.7</w:t>
            </w:r>
          </w:p>
        </w:tc>
      </w:tr>
      <w:tr>
        <w:tc>
          <w:tcPr/>
          <w:p>
            <w:pPr>
              <w:pStyle w:val="Compact"/>
            </w:pPr>
            <w:r>
              <w:t xml:space="preserve">Data items</w:t>
            </w:r>
          </w:p>
        </w:tc>
        <w:tc>
          <w:tcPr/>
          <w:p>
            <w:pPr>
              <w:pStyle w:val="Compact"/>
            </w:pPr>
            <w:r>
              <w:t xml:space="preserve">10a</w:t>
            </w:r>
          </w:p>
        </w:tc>
        <w:tc>
          <w:tcPr/>
          <w:p>
            <w:pPr>
              <w:pStyle w:val="Compact"/>
            </w:pPr>
            <w:r>
              <w:t xml:space="preserve">List and define all outcomes for which data were sought</w:t>
            </w:r>
          </w:p>
        </w:tc>
        <w:tc>
          <w:tcPr/>
          <w:p>
            <w:pPr>
              <w:pStyle w:val="Compact"/>
            </w:pPr>
            <w:r>
              <w:t xml:space="preserve">Section 2.7</w:t>
            </w:r>
          </w:p>
        </w:tc>
      </w:tr>
      <w:tr>
        <w:tc>
          <w:tcPr/>
          <w:p>
            <w:pPr>
              <w:pStyle w:val="Compact"/>
            </w:pPr>
          </w:p>
        </w:tc>
        <w:tc>
          <w:tcPr/>
          <w:p>
            <w:pPr>
              <w:pStyle w:val="Compact"/>
            </w:pPr>
            <w:r>
              <w:t xml:space="preserve">10b</w:t>
            </w:r>
          </w:p>
        </w:tc>
        <w:tc>
          <w:tcPr/>
          <w:p>
            <w:pPr>
              <w:pStyle w:val="Compact"/>
            </w:pPr>
            <w:r>
              <w:t xml:space="preserve">List and define all other variables for which data were sought</w:t>
            </w:r>
          </w:p>
        </w:tc>
        <w:tc>
          <w:tcPr/>
          <w:p>
            <w:pPr>
              <w:pStyle w:val="Compact"/>
            </w:pPr>
            <w:r>
              <w:t xml:space="preserve">Section 2.7</w:t>
            </w:r>
          </w:p>
        </w:tc>
      </w:tr>
      <w:tr>
        <w:tc>
          <w:tcPr/>
          <w:p>
            <w:pPr>
              <w:pStyle w:val="Compact"/>
            </w:pPr>
            <w:r>
              <w:t xml:space="preserve">Study risk of bias assessment</w:t>
            </w:r>
          </w:p>
        </w:tc>
        <w:tc>
          <w:tcPr/>
          <w:p>
            <w:pPr>
              <w:pStyle w:val="Compact"/>
            </w:pPr>
            <w:r>
              <w:t xml:space="preserve">11</w:t>
            </w:r>
          </w:p>
        </w:tc>
        <w:tc>
          <w:tcPr/>
          <w:p>
            <w:pPr>
              <w:pStyle w:val="Compact"/>
            </w:pPr>
            <w:r>
              <w:t xml:space="preserve">Specify methods used to assess risk of bias in included studies</w:t>
            </w:r>
          </w:p>
        </w:tc>
        <w:tc>
          <w:tcPr/>
          <w:p>
            <w:pPr>
              <w:pStyle w:val="Compact"/>
            </w:pPr>
            <w:r>
              <w:t xml:space="preserve">Section 2.6</w:t>
            </w:r>
          </w:p>
        </w:tc>
      </w:tr>
      <w:tr>
        <w:tc>
          <w:tcPr/>
          <w:p>
            <w:pPr>
              <w:pStyle w:val="Compact"/>
            </w:pPr>
            <w:r>
              <w:t xml:space="preserve">Effect measures</w:t>
            </w:r>
          </w:p>
        </w:tc>
        <w:tc>
          <w:tcPr/>
          <w:p>
            <w:pPr>
              <w:pStyle w:val="Compact"/>
            </w:pPr>
            <w:r>
              <w:t xml:space="preserve">12</w:t>
            </w:r>
          </w:p>
        </w:tc>
        <w:tc>
          <w:tcPr/>
          <w:p>
            <w:pPr>
              <w:pStyle w:val="Compact"/>
            </w:pPr>
            <w:r>
              <w:t xml:space="preserve">Specify for each outcome the effect measure(s) used in synthesis</w:t>
            </w:r>
          </w:p>
        </w:tc>
        <w:tc>
          <w:tcPr/>
          <w:p>
            <w:pPr>
              <w:pStyle w:val="Compact"/>
            </w:pPr>
            <w:r>
              <w:t xml:space="preserve">Section 2.7 (narrative synthesis)</w:t>
            </w:r>
          </w:p>
        </w:tc>
      </w:tr>
      <w:tr>
        <w:tc>
          <w:tcPr/>
          <w:p>
            <w:pPr>
              <w:pStyle w:val="Compact"/>
            </w:pPr>
            <w:r>
              <w:t xml:space="preserve">Synthesis methods</w:t>
            </w:r>
          </w:p>
        </w:tc>
        <w:tc>
          <w:tcPr/>
          <w:p>
            <w:pPr>
              <w:pStyle w:val="Compact"/>
            </w:pPr>
            <w:r>
              <w:t xml:space="preserve">13a</w:t>
            </w:r>
          </w:p>
        </w:tc>
        <w:tc>
          <w:tcPr/>
          <w:p>
            <w:pPr>
              <w:pStyle w:val="Compact"/>
            </w:pPr>
            <w:r>
              <w:t xml:space="preserve">Describe the processes used to decide which studies were eligible for each synthesis</w:t>
            </w:r>
          </w:p>
        </w:tc>
        <w:tc>
          <w:tcPr/>
          <w:p>
            <w:pPr>
              <w:pStyle w:val="Compact"/>
            </w:pPr>
            <w:r>
              <w:t xml:space="preserve">Section 2.3</w:t>
            </w:r>
          </w:p>
        </w:tc>
      </w:tr>
      <w:tr>
        <w:tc>
          <w:tcPr/>
          <w:p>
            <w:pPr>
              <w:pStyle w:val="Compact"/>
            </w:pPr>
          </w:p>
        </w:tc>
        <w:tc>
          <w:tcPr/>
          <w:p>
            <w:pPr>
              <w:pStyle w:val="Compact"/>
            </w:pPr>
            <w:r>
              <w:t xml:space="preserve">13b</w:t>
            </w:r>
          </w:p>
        </w:tc>
        <w:tc>
          <w:tcPr/>
          <w:p>
            <w:pPr>
              <w:pStyle w:val="Compact"/>
            </w:pPr>
            <w:r>
              <w:t xml:space="preserve">Describe any methods required to prepare the data for presentation or synthesis</w:t>
            </w:r>
          </w:p>
        </w:tc>
        <w:tc>
          <w:tcPr/>
          <w:p>
            <w:pPr>
              <w:pStyle w:val="Compact"/>
            </w:pPr>
            <w:r>
              <w:t xml:space="preserve">Section 2.7</w:t>
            </w:r>
          </w:p>
        </w:tc>
      </w:tr>
      <w:tr>
        <w:tc>
          <w:tcPr/>
          <w:p>
            <w:pPr>
              <w:pStyle w:val="Compact"/>
            </w:pPr>
          </w:p>
        </w:tc>
        <w:tc>
          <w:tcPr/>
          <w:p>
            <w:pPr>
              <w:pStyle w:val="Compact"/>
            </w:pPr>
            <w:r>
              <w:t xml:space="preserve">13c</w:t>
            </w:r>
          </w:p>
        </w:tc>
        <w:tc>
          <w:tcPr/>
          <w:p>
            <w:pPr>
              <w:pStyle w:val="Compact"/>
            </w:pPr>
            <w:r>
              <w:t xml:space="preserve">Describe any methods used to tabulate or visually display results</w:t>
            </w:r>
          </w:p>
        </w:tc>
        <w:tc>
          <w:tcPr/>
          <w:p>
            <w:pPr>
              <w:pStyle w:val="Compact"/>
            </w:pPr>
            <w:r>
              <w:t xml:space="preserve">Section 2.3 (PRISMA flow), Results tables</w:t>
            </w:r>
          </w:p>
        </w:tc>
      </w:tr>
      <w:tr>
        <w:tc>
          <w:tcPr/>
          <w:p>
            <w:pPr>
              <w:pStyle w:val="Compact"/>
            </w:pPr>
          </w:p>
        </w:tc>
        <w:tc>
          <w:tcPr/>
          <w:p>
            <w:pPr>
              <w:pStyle w:val="Compact"/>
            </w:pPr>
            <w:r>
              <w:t xml:space="preserve">13d</w:t>
            </w:r>
          </w:p>
        </w:tc>
        <w:tc>
          <w:tcPr/>
          <w:p>
            <w:pPr>
              <w:pStyle w:val="Compact"/>
            </w:pPr>
            <w:r>
              <w:t xml:space="preserve">Describe any methods used to synthesize results and provide a rationale for the choice</w:t>
            </w:r>
          </w:p>
        </w:tc>
        <w:tc>
          <w:tcPr/>
          <w:p>
            <w:pPr>
              <w:pStyle w:val="Compact"/>
            </w:pPr>
            <w:r>
              <w:t xml:space="preserve">Section 2.7 (thematic narrative synthesis)</w:t>
            </w:r>
          </w:p>
        </w:tc>
      </w:tr>
      <w:tr>
        <w:tc>
          <w:tcPr/>
          <w:p>
            <w:pPr>
              <w:pStyle w:val="Compact"/>
            </w:pPr>
          </w:p>
        </w:tc>
        <w:tc>
          <w:tcPr/>
          <w:p>
            <w:pPr>
              <w:pStyle w:val="Compact"/>
            </w:pPr>
            <w:r>
              <w:t xml:space="preserve">13e</w:t>
            </w:r>
          </w:p>
        </w:tc>
        <w:tc>
          <w:tcPr/>
          <w:p>
            <w:pPr>
              <w:pStyle w:val="Compact"/>
            </w:pPr>
            <w:r>
              <w:t xml:space="preserve">Describe any methods used to explore possible causes of heterogeneity among study results</w:t>
            </w:r>
          </w:p>
        </w:tc>
        <w:tc>
          <w:tcPr/>
          <w:p>
            <w:pPr>
              <w:pStyle w:val="Compact"/>
            </w:pPr>
            <w:r>
              <w:t xml:space="preserve">Section 2.7 (thematic grouping by drug class)</w:t>
            </w:r>
          </w:p>
        </w:tc>
      </w:tr>
      <w:tr>
        <w:tc>
          <w:tcPr/>
          <w:p>
            <w:pPr>
              <w:pStyle w:val="Compact"/>
            </w:pPr>
          </w:p>
        </w:tc>
        <w:tc>
          <w:tcPr/>
          <w:p>
            <w:pPr>
              <w:pStyle w:val="Compact"/>
            </w:pPr>
            <w:r>
              <w:t xml:space="preserve">13f</w:t>
            </w:r>
          </w:p>
        </w:tc>
        <w:tc>
          <w:tcPr/>
          <w:p>
            <w:pPr>
              <w:pStyle w:val="Compact"/>
            </w:pPr>
            <w:r>
              <w:t xml:space="preserve">Describe any sensitivity analyses conducted to assess robustness of the synthesized results</w:t>
            </w:r>
          </w:p>
        </w:tc>
        <w:tc>
          <w:tcPr/>
          <w:p>
            <w:pPr>
              <w:pStyle w:val="Compact"/>
            </w:pPr>
            <w:r>
              <w:t xml:space="preserve">N/A (narrative synthesis)</w:t>
            </w:r>
          </w:p>
        </w:tc>
      </w:tr>
      <w:tr>
        <w:tc>
          <w:tcPr/>
          <w:p>
            <w:pPr>
              <w:pStyle w:val="Compact"/>
            </w:pPr>
            <w:r>
              <w:t xml:space="preserve">Reporting bias assessment</w:t>
            </w:r>
          </w:p>
        </w:tc>
        <w:tc>
          <w:tcPr/>
          <w:p>
            <w:pPr>
              <w:pStyle w:val="Compact"/>
            </w:pPr>
            <w:r>
              <w:t xml:space="preserve">14</w:t>
            </w:r>
          </w:p>
        </w:tc>
        <w:tc>
          <w:tcPr/>
          <w:p>
            <w:pPr>
              <w:pStyle w:val="Compact"/>
            </w:pPr>
            <w:r>
              <w:t xml:space="preserve">Describe any methods used to assess risk of bias due to missing results in a synthesis</w:t>
            </w:r>
          </w:p>
        </w:tc>
        <w:tc>
          <w:tcPr/>
          <w:p>
            <w:pPr>
              <w:pStyle w:val="Compact"/>
            </w:pPr>
            <w:r>
              <w:t xml:space="preserve">Section 8, limitations</w:t>
            </w:r>
          </w:p>
        </w:tc>
      </w:tr>
      <w:tr>
        <w:tc>
          <w:tcPr/>
          <w:p>
            <w:pPr>
              <w:pStyle w:val="Compact"/>
            </w:pPr>
            <w:r>
              <w:t xml:space="preserve">Certainty assessment</w:t>
            </w:r>
          </w:p>
        </w:tc>
        <w:tc>
          <w:tcPr/>
          <w:p>
            <w:pPr>
              <w:pStyle w:val="Compact"/>
            </w:pPr>
            <w:r>
              <w:t xml:space="preserve">15</w:t>
            </w:r>
          </w:p>
        </w:tc>
        <w:tc>
          <w:tcPr/>
          <w:p>
            <w:pPr>
              <w:pStyle w:val="Compact"/>
            </w:pPr>
            <w:r>
              <w:t xml:space="preserve">Describe any methods used to assess certainty in the body of evidence for an outcome</w:t>
            </w:r>
          </w:p>
        </w:tc>
        <w:tc>
          <w:tcPr/>
          <w:p>
            <w:pPr>
              <w:pStyle w:val="Compact"/>
            </w:pPr>
            <w:r>
              <w:t xml:space="preserve">Section 2.6 (RoB 2, ROBINS-I, NOS)</w:t>
            </w:r>
          </w:p>
        </w:tc>
      </w:tr>
      <w:tr>
        <w:tc>
          <w:tcPr/>
          <w:p>
            <w:pPr>
              <w:pStyle w:val="Compact"/>
            </w:pPr>
            <w:r>
              <w:rPr>
                <w:b/>
                <w:bCs/>
              </w:rPr>
              <w:t xml:space="preserve">RESULTS</w:t>
            </w:r>
          </w:p>
        </w:tc>
        <w:tc>
          <w:tcPr/>
          <w:p>
            <w:pPr>
              <w:pStyle w:val="Compact"/>
            </w:pPr>
          </w:p>
        </w:tc>
        <w:tc>
          <w:tcPr/>
          <w:p>
            <w:pPr>
              <w:pStyle w:val="Compact"/>
            </w:pPr>
          </w:p>
        </w:tc>
        <w:tc>
          <w:tcPr/>
          <w:p>
            <w:pPr>
              <w:pStyle w:val="Compact"/>
            </w:pPr>
          </w:p>
        </w:tc>
      </w:tr>
      <w:tr>
        <w:tc>
          <w:tcPr/>
          <w:p>
            <w:pPr>
              <w:pStyle w:val="Compact"/>
            </w:pPr>
            <w:r>
              <w:t xml:space="preserve">Study selection</w:t>
            </w:r>
          </w:p>
        </w:tc>
        <w:tc>
          <w:tcPr/>
          <w:p>
            <w:pPr>
              <w:pStyle w:val="Compact"/>
            </w:pPr>
            <w:r>
              <w:t xml:space="preserve">16a</w:t>
            </w:r>
          </w:p>
        </w:tc>
        <w:tc>
          <w:tcPr/>
          <w:p>
            <w:pPr>
              <w:pStyle w:val="Compact"/>
            </w:pPr>
            <w:r>
              <w:t xml:space="preserve">Describe the results of the search and selection process, from the number of records identified to the number of studies included, ideally using a flow diagram</w:t>
            </w:r>
          </w:p>
        </w:tc>
        <w:tc>
          <w:tcPr/>
          <w:p>
            <w:pPr>
              <w:pStyle w:val="Compact"/>
            </w:pPr>
            <w:r>
              <w:t xml:space="preserve">Section 2.3, Figure 1 (PRISMA flow diagram)</w:t>
            </w:r>
          </w:p>
        </w:tc>
      </w:tr>
      <w:tr>
        <w:tc>
          <w:tcPr/>
          <w:p>
            <w:pPr>
              <w:pStyle w:val="Compact"/>
            </w:pPr>
          </w:p>
        </w:tc>
        <w:tc>
          <w:tcPr/>
          <w:p>
            <w:pPr>
              <w:pStyle w:val="Compact"/>
            </w:pPr>
            <w:r>
              <w:t xml:space="preserve">16b</w:t>
            </w:r>
          </w:p>
        </w:tc>
        <w:tc>
          <w:tcPr/>
          <w:p>
            <w:pPr>
              <w:pStyle w:val="Compact"/>
            </w:pPr>
            <w:r>
              <w:t xml:space="preserve">Cite studies that might appear to meet the inclusion criteria, but which were excluded, and explain why</w:t>
            </w:r>
          </w:p>
        </w:tc>
        <w:tc>
          <w:tcPr/>
          <w:p>
            <w:pPr>
              <w:pStyle w:val="Compact"/>
            </w:pPr>
            <w:r>
              <w:t xml:space="preserve">Section 2.3 (exclusion categories with counts)</w:t>
            </w:r>
          </w:p>
        </w:tc>
      </w:tr>
      <w:tr>
        <w:tc>
          <w:tcPr/>
          <w:p>
            <w:pPr>
              <w:pStyle w:val="Compact"/>
            </w:pPr>
            <w:r>
              <w:t xml:space="preserve">Study characteristics</w:t>
            </w:r>
          </w:p>
        </w:tc>
        <w:tc>
          <w:tcPr/>
          <w:p>
            <w:pPr>
              <w:pStyle w:val="Compact"/>
            </w:pPr>
            <w:r>
              <w:t xml:space="preserve">17</w:t>
            </w:r>
          </w:p>
        </w:tc>
        <w:tc>
          <w:tcPr/>
          <w:p>
            <w:pPr>
              <w:pStyle w:val="Compact"/>
            </w:pPr>
            <w:r>
              <w:t xml:space="preserve">Cite each included study and present its characteristics</w:t>
            </w:r>
          </w:p>
        </w:tc>
        <w:tc>
          <w:tcPr/>
          <w:p>
            <w:pPr>
              <w:pStyle w:val="Compact"/>
            </w:pPr>
            <w:r>
              <w:t xml:space="preserve">Sections 3–7 (cited throughout)</w:t>
            </w:r>
          </w:p>
        </w:tc>
      </w:tr>
      <w:tr>
        <w:tc>
          <w:tcPr/>
          <w:p>
            <w:pPr>
              <w:pStyle w:val="Compact"/>
            </w:pPr>
            <w:r>
              <w:t xml:space="preserve">Risk of bias in studies</w:t>
            </w:r>
          </w:p>
        </w:tc>
        <w:tc>
          <w:tcPr/>
          <w:p>
            <w:pPr>
              <w:pStyle w:val="Compact"/>
            </w:pPr>
            <w:r>
              <w:t xml:space="preserve">18</w:t>
            </w:r>
          </w:p>
        </w:tc>
        <w:tc>
          <w:tcPr/>
          <w:p>
            <w:pPr>
              <w:pStyle w:val="Compact"/>
            </w:pPr>
            <w:r>
              <w:t xml:space="preserve">Present assessments of risk of bias for each included study</w:t>
            </w:r>
          </w:p>
        </w:tc>
        <w:tc>
          <w:tcPr/>
          <w:p>
            <w:pPr>
              <w:pStyle w:val="Compact"/>
            </w:pPr>
            <w:r>
              <w:t xml:space="preserve">Section 2.6</w:t>
            </w:r>
          </w:p>
        </w:tc>
      </w:tr>
      <w:tr>
        <w:tc>
          <w:tcPr/>
          <w:p>
            <w:pPr>
              <w:pStyle w:val="Compact"/>
            </w:pPr>
            <w:r>
              <w:t xml:space="preserve">Results of individual studies</w:t>
            </w:r>
          </w:p>
        </w:tc>
        <w:tc>
          <w:tcPr/>
          <w:p>
            <w:pPr>
              <w:pStyle w:val="Compact"/>
            </w:pPr>
            <w:r>
              <w:t xml:space="preserve">19</w:t>
            </w:r>
          </w:p>
        </w:tc>
        <w:tc>
          <w:tcPr/>
          <w:p>
            <w:pPr>
              <w:pStyle w:val="Compact"/>
            </w:pPr>
            <w:r>
              <w:t xml:space="preserve">For all outcomes, present for each study: summary statistics, effect estimates, and confidence intervals</w:t>
            </w:r>
          </w:p>
        </w:tc>
        <w:tc>
          <w:tcPr/>
          <w:p>
            <w:pPr>
              <w:pStyle w:val="Compact"/>
            </w:pPr>
            <w:r>
              <w:t xml:space="preserve">Sections 3–7 (specific data throughout)</w:t>
            </w:r>
          </w:p>
        </w:tc>
      </w:tr>
      <w:tr>
        <w:tc>
          <w:tcPr/>
          <w:p>
            <w:pPr>
              <w:pStyle w:val="Compact"/>
            </w:pPr>
            <w:r>
              <w:t xml:space="preserve">Results of syntheses</w:t>
            </w:r>
          </w:p>
        </w:tc>
        <w:tc>
          <w:tcPr/>
          <w:p>
            <w:pPr>
              <w:pStyle w:val="Compact"/>
            </w:pPr>
            <w:r>
              <w:t xml:space="preserve">20a</w:t>
            </w:r>
          </w:p>
        </w:tc>
        <w:tc>
          <w:tcPr/>
          <w:p>
            <w:pPr>
              <w:pStyle w:val="Compact"/>
            </w:pPr>
            <w:r>
              <w:t xml:space="preserve">Briefly summarise the characteristics and risk of bias among contributing studies for each synthesis</w:t>
            </w:r>
          </w:p>
        </w:tc>
        <w:tc>
          <w:tcPr/>
          <w:p>
            <w:pPr>
              <w:pStyle w:val="Compact"/>
            </w:pPr>
            <w:r>
              <w:t xml:space="preserve">Sections 3–7 (per-theme summaries)</w:t>
            </w:r>
          </w:p>
        </w:tc>
      </w:tr>
      <w:tr>
        <w:tc>
          <w:tcPr/>
          <w:p>
            <w:pPr>
              <w:pStyle w:val="Compact"/>
            </w:pPr>
          </w:p>
        </w:tc>
        <w:tc>
          <w:tcPr/>
          <w:p>
            <w:pPr>
              <w:pStyle w:val="Compact"/>
            </w:pPr>
            <w:r>
              <w:t xml:space="preserve">20b</w:t>
            </w:r>
          </w:p>
        </w:tc>
        <w:tc>
          <w:tcPr/>
          <w:p>
            <w:pPr>
              <w:pStyle w:val="Compact"/>
            </w:pPr>
            <w:r>
              <w:t xml:space="preserve">Present results of all statistical syntheses conducted</w:t>
            </w:r>
          </w:p>
        </w:tc>
        <w:tc>
          <w:tcPr/>
          <w:p>
            <w:pPr>
              <w:pStyle w:val="Compact"/>
            </w:pPr>
            <w:r>
              <w:t xml:space="preserve">Sections 3–7 (quantitative data cited)</w:t>
            </w:r>
          </w:p>
        </w:tc>
      </w:tr>
      <w:tr>
        <w:tc>
          <w:tcPr/>
          <w:p>
            <w:pPr>
              <w:pStyle w:val="Compact"/>
            </w:pPr>
          </w:p>
        </w:tc>
        <w:tc>
          <w:tcPr/>
          <w:p>
            <w:pPr>
              <w:pStyle w:val="Compact"/>
            </w:pPr>
            <w:r>
              <w:t xml:space="preserve">20c</w:t>
            </w:r>
          </w:p>
        </w:tc>
        <w:tc>
          <w:tcPr/>
          <w:p>
            <w:pPr>
              <w:pStyle w:val="Compact"/>
            </w:pPr>
            <w:r>
              <w:t xml:space="preserve">Present results of any investigations of possible causes of heterogeneity</w:t>
            </w:r>
          </w:p>
        </w:tc>
        <w:tc>
          <w:tcPr/>
          <w:p>
            <w:pPr>
              <w:pStyle w:val="Compact"/>
            </w:pPr>
            <w:r>
              <w:t xml:space="preserve">Sections 3–7 (thematic grouping by drug class and mechanism)</w:t>
            </w:r>
          </w:p>
        </w:tc>
      </w:tr>
      <w:tr>
        <w:tc>
          <w:tcPr/>
          <w:p>
            <w:pPr>
              <w:pStyle w:val="Compact"/>
            </w:pPr>
          </w:p>
        </w:tc>
        <w:tc>
          <w:tcPr/>
          <w:p>
            <w:pPr>
              <w:pStyle w:val="Compact"/>
            </w:pPr>
            <w:r>
              <w:t xml:space="preserve">20d</w:t>
            </w:r>
          </w:p>
        </w:tc>
        <w:tc>
          <w:tcPr/>
          <w:p>
            <w:pPr>
              <w:pStyle w:val="Compact"/>
            </w:pPr>
            <w:r>
              <w:t xml:space="preserve">Present results of any sensitivity analyses</w:t>
            </w:r>
          </w:p>
        </w:tc>
        <w:tc>
          <w:tcPr/>
          <w:p>
            <w:pPr>
              <w:pStyle w:val="Compact"/>
            </w:pPr>
            <w:r>
              <w:t xml:space="preserve">N/A (narrative synthesis)</w:t>
            </w:r>
          </w:p>
        </w:tc>
      </w:tr>
      <w:tr>
        <w:tc>
          <w:tcPr/>
          <w:p>
            <w:pPr>
              <w:pStyle w:val="Compact"/>
            </w:pPr>
            <w:r>
              <w:t xml:space="preserve">Reporting biases</w:t>
            </w:r>
          </w:p>
        </w:tc>
        <w:tc>
          <w:tcPr/>
          <w:p>
            <w:pPr>
              <w:pStyle w:val="Compact"/>
            </w:pPr>
            <w:r>
              <w:t xml:space="preserve">21</w:t>
            </w:r>
          </w:p>
        </w:tc>
        <w:tc>
          <w:tcPr/>
          <w:p>
            <w:pPr>
              <w:pStyle w:val="Compact"/>
            </w:pPr>
            <w:r>
              <w:t xml:space="preserve">Present assessments of risk of bias due to missing results for each synthesis</w:t>
            </w:r>
          </w:p>
        </w:tc>
        <w:tc>
          <w:tcPr/>
          <w:p>
            <w:pPr>
              <w:pStyle w:val="Compact"/>
            </w:pPr>
            <w:r>
              <w:t xml:space="preserve">Section 8, limitations</w:t>
            </w:r>
          </w:p>
        </w:tc>
      </w:tr>
      <w:tr>
        <w:tc>
          <w:tcPr/>
          <w:p>
            <w:pPr>
              <w:pStyle w:val="Compact"/>
            </w:pPr>
            <w:r>
              <w:t xml:space="preserve">Certainty of evidence</w:t>
            </w:r>
          </w:p>
        </w:tc>
        <w:tc>
          <w:tcPr/>
          <w:p>
            <w:pPr>
              <w:pStyle w:val="Compact"/>
            </w:pPr>
            <w:r>
              <w:t xml:space="preserve">22</w:t>
            </w:r>
          </w:p>
        </w:tc>
        <w:tc>
          <w:tcPr/>
          <w:p>
            <w:pPr>
              <w:pStyle w:val="Compact"/>
            </w:pPr>
            <w:r>
              <w:t xml:space="preserve">Present assessments of certainty in the body of evidence for each outcome assessed</w:t>
            </w:r>
          </w:p>
        </w:tc>
        <w:tc>
          <w:tcPr/>
          <w:p>
            <w:pPr>
              <w:pStyle w:val="Compact"/>
            </w:pPr>
            <w:r>
              <w:t xml:space="preserve">Section 8, limitations</w:t>
            </w:r>
          </w:p>
        </w:tc>
      </w:tr>
      <w:tr>
        <w:tc>
          <w:tcPr/>
          <w:p>
            <w:pPr>
              <w:pStyle w:val="Compact"/>
            </w:pPr>
            <w:r>
              <w:rPr>
                <w:b/>
                <w:bCs/>
              </w:rPr>
              <w:t xml:space="preserve">DISCUSSION</w:t>
            </w:r>
          </w:p>
        </w:tc>
        <w:tc>
          <w:tcPr/>
          <w:p>
            <w:pPr>
              <w:pStyle w:val="Compact"/>
            </w:pPr>
          </w:p>
        </w:tc>
        <w:tc>
          <w:tcPr/>
          <w:p>
            <w:pPr>
              <w:pStyle w:val="Compact"/>
            </w:pPr>
          </w:p>
        </w:tc>
        <w:tc>
          <w:tcPr/>
          <w:p>
            <w:pPr>
              <w:pStyle w:val="Compact"/>
            </w:pPr>
          </w:p>
        </w:tc>
      </w:tr>
      <w:tr>
        <w:tc>
          <w:tcPr/>
          <w:p>
            <w:pPr>
              <w:pStyle w:val="Compact"/>
            </w:pPr>
            <w:r>
              <w:t xml:space="preserve">Discussion</w:t>
            </w:r>
          </w:p>
        </w:tc>
        <w:tc>
          <w:tcPr/>
          <w:p>
            <w:pPr>
              <w:pStyle w:val="Compact"/>
            </w:pPr>
            <w:r>
              <w:t xml:space="preserve">23a</w:t>
            </w:r>
          </w:p>
        </w:tc>
        <w:tc>
          <w:tcPr/>
          <w:p>
            <w:pPr>
              <w:pStyle w:val="Compact"/>
            </w:pPr>
            <w:r>
              <w:t xml:space="preserve">Provide a general interpretation of the results in the context of other evidence</w:t>
            </w:r>
          </w:p>
        </w:tc>
        <w:tc>
          <w:tcPr/>
          <w:p>
            <w:pPr>
              <w:pStyle w:val="Compact"/>
            </w:pPr>
            <w:r>
              <w:t xml:space="preserve">Section 8</w:t>
            </w:r>
          </w:p>
        </w:tc>
      </w:tr>
      <w:tr>
        <w:tc>
          <w:tcPr/>
          <w:p>
            <w:pPr>
              <w:pStyle w:val="Compact"/>
            </w:pPr>
          </w:p>
        </w:tc>
        <w:tc>
          <w:tcPr/>
          <w:p>
            <w:pPr>
              <w:pStyle w:val="Compact"/>
            </w:pPr>
            <w:r>
              <w:t xml:space="preserve">23b</w:t>
            </w:r>
          </w:p>
        </w:tc>
        <w:tc>
          <w:tcPr/>
          <w:p>
            <w:pPr>
              <w:pStyle w:val="Compact"/>
            </w:pPr>
            <w:r>
              <w:t xml:space="preserve">Discuss any limitations of the evidence included in the review</w:t>
            </w:r>
          </w:p>
        </w:tc>
        <w:tc>
          <w:tcPr/>
          <w:p>
            <w:pPr>
              <w:pStyle w:val="Compact"/>
            </w:pPr>
            <w:r>
              <w:t xml:space="preserve">Section 8, strengths and limitations</w:t>
            </w:r>
          </w:p>
        </w:tc>
      </w:tr>
      <w:tr>
        <w:tc>
          <w:tcPr/>
          <w:p>
            <w:pPr>
              <w:pStyle w:val="Compact"/>
            </w:pPr>
          </w:p>
        </w:tc>
        <w:tc>
          <w:tcPr/>
          <w:p>
            <w:pPr>
              <w:pStyle w:val="Compact"/>
            </w:pPr>
            <w:r>
              <w:t xml:space="preserve">23c</w:t>
            </w:r>
          </w:p>
        </w:tc>
        <w:tc>
          <w:tcPr/>
          <w:p>
            <w:pPr>
              <w:pStyle w:val="Compact"/>
            </w:pPr>
            <w:r>
              <w:t xml:space="preserve">Discuss any limitations of the review processes used</w:t>
            </w:r>
          </w:p>
        </w:tc>
        <w:tc>
          <w:tcPr/>
          <w:p>
            <w:pPr>
              <w:pStyle w:val="Compact"/>
            </w:pPr>
            <w:r>
              <w:t xml:space="preserve">Section 8, strengths and limitations</w:t>
            </w:r>
          </w:p>
        </w:tc>
      </w:tr>
      <w:tr>
        <w:tc>
          <w:tcPr/>
          <w:p>
            <w:pPr>
              <w:pStyle w:val="Compact"/>
            </w:pPr>
          </w:p>
        </w:tc>
        <w:tc>
          <w:tcPr/>
          <w:p>
            <w:pPr>
              <w:pStyle w:val="Compact"/>
            </w:pPr>
            <w:r>
              <w:t xml:space="preserve">23d</w:t>
            </w:r>
          </w:p>
        </w:tc>
        <w:tc>
          <w:tcPr/>
          <w:p>
            <w:pPr>
              <w:pStyle w:val="Compact"/>
            </w:pPr>
            <w:r>
              <w:t xml:space="preserve">Discuss implications of the results for practice, policy, and future research</w:t>
            </w:r>
          </w:p>
        </w:tc>
        <w:tc>
          <w:tcPr/>
          <w:p>
            <w:pPr>
              <w:pStyle w:val="Compact"/>
            </w:pPr>
            <w:r>
              <w:t xml:space="preserve">Section 8, future directions</w:t>
            </w:r>
          </w:p>
        </w:tc>
      </w:tr>
      <w:tr>
        <w:tc>
          <w:tcPr/>
          <w:p>
            <w:pPr>
              <w:pStyle w:val="Compact"/>
            </w:pPr>
            <w:r>
              <w:rPr>
                <w:b/>
                <w:bCs/>
              </w:rPr>
              <w:t xml:space="preserve">OTHER INFORMATION</w:t>
            </w:r>
          </w:p>
        </w:tc>
        <w:tc>
          <w:tcPr/>
          <w:p>
            <w:pPr>
              <w:pStyle w:val="Compact"/>
            </w:pPr>
          </w:p>
        </w:tc>
        <w:tc>
          <w:tcPr/>
          <w:p>
            <w:pPr>
              <w:pStyle w:val="Compact"/>
            </w:pPr>
          </w:p>
        </w:tc>
        <w:tc>
          <w:tcPr/>
          <w:p>
            <w:pPr>
              <w:pStyle w:val="Compact"/>
            </w:pPr>
          </w:p>
        </w:tc>
      </w:tr>
      <w:tr>
        <w:tc>
          <w:tcPr/>
          <w:p>
            <w:pPr>
              <w:pStyle w:val="Compact"/>
            </w:pPr>
            <w:r>
              <w:t xml:space="preserve">Registration and protocol</w:t>
            </w:r>
          </w:p>
        </w:tc>
        <w:tc>
          <w:tcPr/>
          <w:p>
            <w:pPr>
              <w:pStyle w:val="Compact"/>
            </w:pPr>
            <w:r>
              <w:t xml:space="preserve">24a</w:t>
            </w:r>
          </w:p>
        </w:tc>
        <w:tc>
          <w:tcPr/>
          <w:p>
            <w:pPr>
              <w:pStyle w:val="Compact"/>
            </w:pPr>
            <w:r>
              <w:t xml:space="preserve">Provide registration information for the review, or state that the review was not registered</w:t>
            </w:r>
          </w:p>
        </w:tc>
        <w:tc>
          <w:tcPr/>
          <w:p>
            <w:pPr>
              <w:pStyle w:val="Compact"/>
            </w:pPr>
            <w:r>
              <w:t xml:space="preserve">Not registered</w:t>
            </w:r>
          </w:p>
        </w:tc>
      </w:tr>
      <w:tr>
        <w:tc>
          <w:tcPr/>
          <w:p>
            <w:pPr>
              <w:pStyle w:val="Compact"/>
            </w:pPr>
          </w:p>
        </w:tc>
        <w:tc>
          <w:tcPr/>
          <w:p>
            <w:pPr>
              <w:pStyle w:val="Compact"/>
            </w:pPr>
            <w:r>
              <w:t xml:space="preserve">24b</w:t>
            </w:r>
          </w:p>
        </w:tc>
        <w:tc>
          <w:tcPr/>
          <w:p>
            <w:pPr>
              <w:pStyle w:val="Compact"/>
            </w:pPr>
            <w:r>
              <w:t xml:space="preserve">Indicate where the review protocol can be accessed, or state that a protocol was not prepared</w:t>
            </w:r>
          </w:p>
        </w:tc>
        <w:tc>
          <w:tcPr/>
          <w:p>
            <w:pPr>
              <w:pStyle w:val="Compact"/>
            </w:pPr>
            <w:r>
              <w:t xml:space="preserve">Protocol not prepared</w:t>
            </w:r>
          </w:p>
        </w:tc>
      </w:tr>
      <w:tr>
        <w:tc>
          <w:tcPr/>
          <w:p>
            <w:pPr>
              <w:pStyle w:val="Compact"/>
            </w:pPr>
          </w:p>
        </w:tc>
        <w:tc>
          <w:tcPr/>
          <w:p>
            <w:pPr>
              <w:pStyle w:val="Compact"/>
            </w:pPr>
            <w:r>
              <w:t xml:space="preserve">24c</w:t>
            </w:r>
          </w:p>
        </w:tc>
        <w:tc>
          <w:tcPr/>
          <w:p>
            <w:pPr>
              <w:pStyle w:val="Compact"/>
            </w:pPr>
            <w:r>
              <w:t xml:space="preserve">Describe and explain any amendments to information provided at registration or in the protocol</w:t>
            </w:r>
          </w:p>
        </w:tc>
        <w:tc>
          <w:tcPr/>
          <w:p>
            <w:pPr>
              <w:pStyle w:val="Compact"/>
            </w:pPr>
            <w:r>
              <w:t xml:space="preserve">N/A</w:t>
            </w:r>
          </w:p>
        </w:tc>
      </w:tr>
      <w:tr>
        <w:tc>
          <w:tcPr/>
          <w:p>
            <w:pPr>
              <w:pStyle w:val="Compact"/>
            </w:pPr>
            <w:r>
              <w:t xml:space="preserve">Support</w:t>
            </w:r>
          </w:p>
        </w:tc>
        <w:tc>
          <w:tcPr/>
          <w:p>
            <w:pPr>
              <w:pStyle w:val="Compact"/>
            </w:pPr>
            <w:r>
              <w:t xml:space="preserve">25</w:t>
            </w:r>
          </w:p>
        </w:tc>
        <w:tc>
          <w:tcPr/>
          <w:p>
            <w:pPr>
              <w:pStyle w:val="Compact"/>
            </w:pPr>
            <w:r>
              <w:t xml:space="preserve">Describe sources of financial or non-financial support for the review, and the role of the funders</w:t>
            </w:r>
          </w:p>
        </w:tc>
        <w:tc>
          <w:tcPr/>
          <w:p>
            <w:pPr>
              <w:pStyle w:val="Compact"/>
            </w:pPr>
            <w:r>
              <w:t xml:space="preserve">No external funding</w:t>
            </w:r>
          </w:p>
        </w:tc>
      </w:tr>
      <w:tr>
        <w:tc>
          <w:tcPr/>
          <w:p>
            <w:pPr>
              <w:pStyle w:val="Compact"/>
            </w:pPr>
            <w:r>
              <w:t xml:space="preserve">Competing interests</w:t>
            </w:r>
          </w:p>
        </w:tc>
        <w:tc>
          <w:tcPr/>
          <w:p>
            <w:pPr>
              <w:pStyle w:val="Compact"/>
            </w:pPr>
            <w:r>
              <w:t xml:space="preserve">26</w:t>
            </w:r>
          </w:p>
        </w:tc>
        <w:tc>
          <w:tcPr/>
          <w:p>
            <w:pPr>
              <w:pStyle w:val="Compact"/>
            </w:pPr>
            <w:r>
              <w:t xml:space="preserve">Declare any competing interests of review authors</w:t>
            </w:r>
          </w:p>
        </w:tc>
        <w:tc>
          <w:tcPr/>
          <w:p>
            <w:pPr>
              <w:pStyle w:val="Compact"/>
            </w:pPr>
            <w:r>
              <w:t xml:space="preserve">No competing interests</w:t>
            </w:r>
          </w:p>
        </w:tc>
      </w:tr>
      <w:tr>
        <w:tc>
          <w:tcPr/>
          <w:p>
            <w:pPr>
              <w:pStyle w:val="Compact"/>
            </w:pPr>
            <w:r>
              <w:t xml:space="preserve">Availability of data, code, and other materials</w:t>
            </w:r>
          </w:p>
        </w:tc>
        <w:tc>
          <w:tcPr/>
          <w:p>
            <w:pPr>
              <w:pStyle w:val="Compact"/>
            </w:pPr>
            <w:r>
              <w:t xml:space="preserve">27</w:t>
            </w:r>
          </w:p>
        </w:tc>
        <w:tc>
          <w:tcPr/>
          <w:p>
            <w:pPr>
              <w:pStyle w:val="Compact"/>
            </w:pPr>
            <w:r>
              <w:t xml:space="preserve">Report which of the following are publicly available and where they can be found: template data collection forms; data extracted from included studies; data used for analyses; analytic code; any other materials used in the review</w:t>
            </w:r>
          </w:p>
        </w:tc>
        <w:tc>
          <w:tcPr/>
          <w:p>
            <w:pPr>
              <w:pStyle w:val="Compact"/>
            </w:pPr>
            <w:r>
              <w:t xml:space="preserve">All code, search results, and rendered outputs are publicly available at</w:t>
            </w:r>
            <w:r>
              <w:t xml:space="preserve"> </w:t>
            </w:r>
            <w:hyperlink r:id="rId80">
              <w:r>
                <w:rPr>
                  <w:rStyle w:val="Hyperlink"/>
                </w:rPr>
                <w:t xml:space="preserve">https://github.com/htlin222/robust-lit-review</w:t>
              </w:r>
            </w:hyperlink>
          </w:p>
        </w:tc>
      </w:tr>
    </w:tbl>
    <w:p>
      <w:pPr>
        <w:pStyle w:val="BodyText"/>
      </w:pPr>
      <w:r>
        <w:rPr>
          <w:i/>
          <w:iCs/>
        </w:rPr>
        <w:t xml:space="preserve">Checklist adapted from: Page MJ, McKenzie JE, Bossuyt PM, et al. The PRISMA 2020 statement: an updated guideline for reporting systematic reviews. BMJ. 2021;372:n71.</w:t>
      </w:r>
    </w:p>
    <w:bookmarkEnd w:id="81"/>
    <w:bookmarkStart w:id="171" w:name="references"/>
    <w:p>
      <w:pPr>
        <w:pStyle w:val="Heading1"/>
      </w:pPr>
      <w:r>
        <w:t xml:space="preserve">11. References</w:t>
      </w:r>
    </w:p>
    <w:bookmarkStart w:id="170" w:name="refs"/>
    <w:bookmarkStart w:id="83" w:name="ref-van2021Multiple"/>
    <w:p>
      <w:pPr>
        <w:pStyle w:val="Bibliography"/>
      </w:pPr>
      <w:r>
        <w:t xml:space="preserve">1.</w:t>
      </w:r>
      <w:r>
        <w:t xml:space="preserve"> </w:t>
      </w:r>
      <w:r>
        <w:t xml:space="preserve">	</w:t>
      </w:r>
      <w:r>
        <w:t xml:space="preserve">van de Donk N. W. C. J. Multiple myeloma.</w:t>
      </w:r>
      <w:r>
        <w:t xml:space="preserve"> </w:t>
      </w:r>
      <w:r>
        <w:rPr>
          <w:i/>
          <w:iCs/>
        </w:rPr>
        <w:t xml:space="preserve">Lancet</w:t>
      </w:r>
      <w:r>
        <w:t xml:space="preserve">. 2021;397(10272):410-427. doi:</w:t>
      </w:r>
      <w:hyperlink r:id="rId82">
        <w:r>
          <w:rPr>
            <w:rStyle w:val="Hyperlink"/>
          </w:rPr>
          <w:t xml:space="preserve">10.1016/S0140-6736(21)00135-5</w:t>
        </w:r>
      </w:hyperlink>
    </w:p>
    <w:bookmarkEnd w:id="83"/>
    <w:bookmarkStart w:id="85" w:name="ref-Rajkumar2022Multiple"/>
    <w:p>
      <w:pPr>
        <w:pStyle w:val="Bibliography"/>
      </w:pPr>
      <w:r>
        <w:t xml:space="preserve">2.</w:t>
      </w:r>
      <w:r>
        <w:t xml:space="preserve"> </w:t>
      </w:r>
      <w:r>
        <w:t xml:space="preserve">	</w:t>
      </w:r>
      <w:r>
        <w:t xml:space="preserve">Rajkumar S. V. Multiple myeloma: 2022 update on diagnosis, risk stratification, and management.</w:t>
      </w:r>
      <w:r>
        <w:t xml:space="preserve"> </w:t>
      </w:r>
      <w:r>
        <w:rPr>
          <w:i/>
          <w:iCs/>
        </w:rPr>
        <w:t xml:space="preserve">American Journal of Hematology</w:t>
      </w:r>
      <w:r>
        <w:t xml:space="preserve">. 2022;97(8):1086-1107. doi:</w:t>
      </w:r>
      <w:hyperlink r:id="rId84">
        <w:r>
          <w:rPr>
            <w:rStyle w:val="Hyperlink"/>
          </w:rPr>
          <w:t xml:space="preserve">10.1002/ajh.26590</w:t>
        </w:r>
      </w:hyperlink>
    </w:p>
    <w:bookmarkEnd w:id="85"/>
    <w:bookmarkStart w:id="87" w:name="ref-Padala2021Epidemiology"/>
    <w:p>
      <w:pPr>
        <w:pStyle w:val="Bibliography"/>
      </w:pPr>
      <w:r>
        <w:t xml:space="preserve">3.</w:t>
      </w:r>
      <w:r>
        <w:t xml:space="preserve"> </w:t>
      </w:r>
      <w:r>
        <w:t xml:space="preserve">	</w:t>
      </w:r>
      <w:r>
        <w:t xml:space="preserve">Padala S. A. Epidemiology, staging, and management of multiple myeloma.</w:t>
      </w:r>
      <w:r>
        <w:t xml:space="preserve"> </w:t>
      </w:r>
      <w:r>
        <w:rPr>
          <w:i/>
          <w:iCs/>
        </w:rPr>
        <w:t xml:space="preserve">Medical Sciences</w:t>
      </w:r>
      <w:r>
        <w:t xml:space="preserve">. 2021;9(1). doi:</w:t>
      </w:r>
      <w:hyperlink r:id="rId86">
        <w:r>
          <w:rPr>
            <w:rStyle w:val="Hyperlink"/>
          </w:rPr>
          <w:t xml:space="preserve">10.3390/medsci9010003</w:t>
        </w:r>
      </w:hyperlink>
    </w:p>
    <w:bookmarkEnd w:id="87"/>
    <w:bookmarkStart w:id="89" w:name="ref-Rajkumar2020Multiple"/>
    <w:p>
      <w:pPr>
        <w:pStyle w:val="Bibliography"/>
      </w:pPr>
      <w:r>
        <w:t xml:space="preserve">4.</w:t>
      </w:r>
      <w:r>
        <w:t xml:space="preserve"> </w:t>
      </w:r>
      <w:r>
        <w:t xml:space="preserve">	</w:t>
      </w:r>
      <w:r>
        <w:t xml:space="preserve">Rajkumar S. V. Multiple myeloma: 2020 update on diagnosis, risk-stratification and management.</w:t>
      </w:r>
      <w:r>
        <w:t xml:space="preserve"> </w:t>
      </w:r>
      <w:r>
        <w:rPr>
          <w:i/>
          <w:iCs/>
        </w:rPr>
        <w:t xml:space="preserve">American Journal of Hematology</w:t>
      </w:r>
      <w:r>
        <w:t xml:space="preserve">. 2020;95(5):548-567. doi:</w:t>
      </w:r>
      <w:hyperlink r:id="rId88">
        <w:r>
          <w:rPr>
            <w:rStyle w:val="Hyperlink"/>
          </w:rPr>
          <w:t xml:space="preserve">10.1002/ajh.25791</w:t>
        </w:r>
      </w:hyperlink>
    </w:p>
    <w:bookmarkEnd w:id="89"/>
    <w:bookmarkStart w:id="91" w:name="ref-Manasanch2017Proteasome"/>
    <w:p>
      <w:pPr>
        <w:pStyle w:val="Bibliography"/>
      </w:pPr>
      <w:r>
        <w:t xml:space="preserve">5.</w:t>
      </w:r>
      <w:r>
        <w:t xml:space="preserve"> </w:t>
      </w:r>
      <w:r>
        <w:t xml:space="preserve">	</w:t>
      </w:r>
      <w:r>
        <w:t xml:space="preserve">Manasanch E. E. Proteasome inhibitors in cancer therapy.</w:t>
      </w:r>
      <w:r>
        <w:t xml:space="preserve"> </w:t>
      </w:r>
      <w:r>
        <w:rPr>
          <w:i/>
          <w:iCs/>
        </w:rPr>
        <w:t xml:space="preserve">Nature Reviews Clinical Oncology</w:t>
      </w:r>
      <w:r>
        <w:t xml:space="preserve">. 2017;14(7):417-433. doi:</w:t>
      </w:r>
      <w:hyperlink r:id="rId90">
        <w:r>
          <w:rPr>
            <w:rStyle w:val="Hyperlink"/>
          </w:rPr>
          <w:t xml:space="preserve">10.1038/nrclinonc.2016.206</w:t>
        </w:r>
      </w:hyperlink>
    </w:p>
    <w:bookmarkEnd w:id="91"/>
    <w:bookmarkStart w:id="93" w:name="ref-Dimopoulos2016Carfilzomib"/>
    <w:p>
      <w:pPr>
        <w:pStyle w:val="Bibliography"/>
      </w:pPr>
      <w:r>
        <w:t xml:space="preserve">6.</w:t>
      </w:r>
      <w:r>
        <w:t xml:space="preserve"> </w:t>
      </w:r>
      <w:r>
        <w:t xml:space="preserve">	</w:t>
      </w:r>
      <w:r>
        <w:t xml:space="preserve">Dimopoulos M. A. Carfilzomib and dexamethasone versus bortezomib and dexamethasone for patients with relapsed or refractory multiple myeloma (ENDEAVOR): And randomised, phase 3, open-label, multicentre study.</w:t>
      </w:r>
      <w:r>
        <w:t xml:space="preserve"> </w:t>
      </w:r>
      <w:r>
        <w:rPr>
          <w:i/>
          <w:iCs/>
        </w:rPr>
        <w:t xml:space="preserve">Lancet Oncology</w:t>
      </w:r>
      <w:r>
        <w:t xml:space="preserve">. 2016;17(1):27-38. doi:</w:t>
      </w:r>
      <w:hyperlink r:id="rId92">
        <w:r>
          <w:rPr>
            <w:rStyle w:val="Hyperlink"/>
          </w:rPr>
          <w:t xml:space="preserve">10.1016/S1470-2045(15)00464-7</w:t>
        </w:r>
      </w:hyperlink>
    </w:p>
    <w:bookmarkEnd w:id="93"/>
    <w:bookmarkStart w:id="95" w:name="ref-Moreau2016Oral"/>
    <w:p>
      <w:pPr>
        <w:pStyle w:val="Bibliography"/>
      </w:pPr>
      <w:r>
        <w:t xml:space="preserve">7.</w:t>
      </w:r>
      <w:r>
        <w:t xml:space="preserve"> </w:t>
      </w:r>
      <w:r>
        <w:t xml:space="preserve">	</w:t>
      </w:r>
      <w:r>
        <w:t xml:space="preserve">Moreau P. Oral ixazomib, lenalidomide, and dexamethasone for multiple myeloma.</w:t>
      </w:r>
      <w:r>
        <w:t xml:space="preserve"> </w:t>
      </w:r>
      <w:r>
        <w:rPr>
          <w:i/>
          <w:iCs/>
        </w:rPr>
        <w:t xml:space="preserve">New England Journal of Medicine</w:t>
      </w:r>
      <w:r>
        <w:t xml:space="preserve">. 2016;374(17):1621-1634. doi:</w:t>
      </w:r>
      <w:hyperlink r:id="rId94">
        <w:r>
          <w:rPr>
            <w:rStyle w:val="Hyperlink"/>
          </w:rPr>
          <w:t xml:space="preserve">10.1056/NEJMoa1516282</w:t>
        </w:r>
      </w:hyperlink>
    </w:p>
    <w:bookmarkEnd w:id="95"/>
    <w:bookmarkStart w:id="97" w:name="ref-Attal2017Lenalidomide"/>
    <w:p>
      <w:pPr>
        <w:pStyle w:val="Bibliography"/>
      </w:pPr>
      <w:r>
        <w:t xml:space="preserve">8.</w:t>
      </w:r>
      <w:r>
        <w:t xml:space="preserve"> </w:t>
      </w:r>
      <w:r>
        <w:t xml:space="preserve">	</w:t>
      </w:r>
      <w:r>
        <w:t xml:space="preserve">Attal M. Lenalidomide, bortezomib, and dexamethasone with transplantation for myeloma.</w:t>
      </w:r>
      <w:r>
        <w:t xml:space="preserve"> </w:t>
      </w:r>
      <w:r>
        <w:rPr>
          <w:i/>
          <w:iCs/>
        </w:rPr>
        <w:t xml:space="preserve">New England Journal of Medicine</w:t>
      </w:r>
      <w:r>
        <w:t xml:space="preserve">. 2017;376(14):1311-1320. doi:</w:t>
      </w:r>
      <w:hyperlink r:id="rId96">
        <w:r>
          <w:rPr>
            <w:rStyle w:val="Hyperlink"/>
          </w:rPr>
          <w:t xml:space="preserve">10.1056/NEJMoa1611750</w:t>
        </w:r>
      </w:hyperlink>
    </w:p>
    <w:bookmarkEnd w:id="97"/>
    <w:bookmarkStart w:id="99" w:name="ref-Palumbo2016Daratumumab"/>
    <w:p>
      <w:pPr>
        <w:pStyle w:val="Bibliography"/>
      </w:pPr>
      <w:r>
        <w:t xml:space="preserve">9.</w:t>
      </w:r>
      <w:r>
        <w:t xml:space="preserve"> </w:t>
      </w:r>
      <w:r>
        <w:t xml:space="preserve">	</w:t>
      </w:r>
      <w:r>
        <w:t xml:space="preserve">Palumbo A. Daratumumab, bortezomib, and dexamethasone for multiple myeloma.</w:t>
      </w:r>
      <w:r>
        <w:t xml:space="preserve"> </w:t>
      </w:r>
      <w:r>
        <w:rPr>
          <w:i/>
          <w:iCs/>
        </w:rPr>
        <w:t xml:space="preserve">New England Journal of Medicine</w:t>
      </w:r>
      <w:r>
        <w:t xml:space="preserve">. 2016;375(8):754-766. doi:</w:t>
      </w:r>
      <w:hyperlink r:id="rId98">
        <w:r>
          <w:rPr>
            <w:rStyle w:val="Hyperlink"/>
          </w:rPr>
          <w:t xml:space="preserve">10.1056/NEJMoa1606038</w:t>
        </w:r>
      </w:hyperlink>
    </w:p>
    <w:bookmarkEnd w:id="99"/>
    <w:bookmarkStart w:id="101" w:name="ref-Dimopoulos2016Daratumumab"/>
    <w:p>
      <w:pPr>
        <w:pStyle w:val="Bibliography"/>
      </w:pPr>
      <w:r>
        <w:t xml:space="preserve">10.</w:t>
      </w:r>
      <w:r>
        <w:t xml:space="preserve"> </w:t>
      </w:r>
      <w:r>
        <w:t xml:space="preserve">	</w:t>
      </w:r>
      <w:r>
        <w:t xml:space="preserve">Dimopoulos M. A. Daratumumab, lenalidomide, and dexamethasone for multiple myeloma.</w:t>
      </w:r>
      <w:r>
        <w:t xml:space="preserve"> </w:t>
      </w:r>
      <w:r>
        <w:rPr>
          <w:i/>
          <w:iCs/>
        </w:rPr>
        <w:t xml:space="preserve">New England Journal of Medicine</w:t>
      </w:r>
      <w:r>
        <w:t xml:space="preserve">. 2016;375(14):1319-1331. doi:</w:t>
      </w:r>
      <w:hyperlink r:id="rId100">
        <w:r>
          <w:rPr>
            <w:rStyle w:val="Hyperlink"/>
          </w:rPr>
          <w:t xml:space="preserve">10.1056/NEJMoa1607751</w:t>
        </w:r>
      </w:hyperlink>
    </w:p>
    <w:bookmarkEnd w:id="101"/>
    <w:bookmarkStart w:id="103" w:name="ref-Lonial2016Daratumumab"/>
    <w:p>
      <w:pPr>
        <w:pStyle w:val="Bibliography"/>
      </w:pPr>
      <w:r>
        <w:t xml:space="preserve">11.</w:t>
      </w:r>
      <w:r>
        <w:t xml:space="preserve"> </w:t>
      </w:r>
      <w:r>
        <w:t xml:space="preserve">	</w:t>
      </w:r>
      <w:r>
        <w:t xml:space="preserve">Lonial S. Daratumumab monotherapy in patients with treatment-refractory multiple myeloma (SIRIUS): An open-label, randomised, phase 2 trial.</w:t>
      </w:r>
      <w:r>
        <w:t xml:space="preserve"> </w:t>
      </w:r>
      <w:r>
        <w:rPr>
          <w:i/>
          <w:iCs/>
        </w:rPr>
        <w:t xml:space="preserve">Lancet</w:t>
      </w:r>
      <w:r>
        <w:t xml:space="preserve">. 2016;387(10027):1551-1560. doi:</w:t>
      </w:r>
      <w:hyperlink r:id="rId102">
        <w:r>
          <w:rPr>
            <w:rStyle w:val="Hyperlink"/>
          </w:rPr>
          <w:t xml:space="preserve">10.1016/S0140-6736(15)01120-4</w:t>
        </w:r>
      </w:hyperlink>
    </w:p>
    <w:bookmarkEnd w:id="103"/>
    <w:bookmarkStart w:id="105" w:name="ref-Mateos2018Daratumumab"/>
    <w:p>
      <w:pPr>
        <w:pStyle w:val="Bibliography"/>
      </w:pPr>
      <w:r>
        <w:t xml:space="preserve">12.</w:t>
      </w:r>
      <w:r>
        <w:t xml:space="preserve"> </w:t>
      </w:r>
      <w:r>
        <w:t xml:space="preserve">	</w:t>
      </w:r>
      <w:r>
        <w:t xml:space="preserve">Mateos M. V. Daratumumab plus bortezomib, melphalan, and prednisone for untreated myeloma.</w:t>
      </w:r>
      <w:r>
        <w:t xml:space="preserve"> </w:t>
      </w:r>
      <w:r>
        <w:rPr>
          <w:i/>
          <w:iCs/>
        </w:rPr>
        <w:t xml:space="preserve">New England Journal of Medicine</w:t>
      </w:r>
      <w:r>
        <w:t xml:space="preserve">. 2018;378(6):518-528. doi:</w:t>
      </w:r>
      <w:hyperlink r:id="rId104">
        <w:r>
          <w:rPr>
            <w:rStyle w:val="Hyperlink"/>
          </w:rPr>
          <w:t xml:space="preserve">10.1056/NEJMoa1714678</w:t>
        </w:r>
      </w:hyperlink>
    </w:p>
    <w:bookmarkEnd w:id="105"/>
    <w:bookmarkStart w:id="107" w:name="ref-Attal2019Isatuximab"/>
    <w:p>
      <w:pPr>
        <w:pStyle w:val="Bibliography"/>
      </w:pPr>
      <w:r>
        <w:t xml:space="preserve">13.</w:t>
      </w:r>
      <w:r>
        <w:t xml:space="preserve"> </w:t>
      </w:r>
      <w:r>
        <w:t xml:space="preserve">	</w:t>
      </w:r>
      <w:r>
        <w:t xml:space="preserve">Attal M. Isatuximab plus pomalidomide and low-dose dexamethasone versus pomalidomide and low-dose dexamethasone in patients with relapsed and refractory multiple myeloma (ICARIA-MM): A randomised, multicentre, open-label, phase 3 study.</w:t>
      </w:r>
      <w:r>
        <w:t xml:space="preserve"> </w:t>
      </w:r>
      <w:r>
        <w:rPr>
          <w:i/>
          <w:iCs/>
        </w:rPr>
        <w:t xml:space="preserve">Lancet</w:t>
      </w:r>
      <w:r>
        <w:t xml:space="preserve">. 2019;394(10214):2096-2107. doi:</w:t>
      </w:r>
      <w:hyperlink r:id="rId106">
        <w:r>
          <w:rPr>
            <w:rStyle w:val="Hyperlink"/>
          </w:rPr>
          <w:t xml:space="preserve">10.1016/S0140-6736(19)32556-5</w:t>
        </w:r>
      </w:hyperlink>
    </w:p>
    <w:bookmarkEnd w:id="107"/>
    <w:bookmarkStart w:id="109" w:name="ref-Dimopoulos2018Elotuzumab"/>
    <w:p>
      <w:pPr>
        <w:pStyle w:val="Bibliography"/>
      </w:pPr>
      <w:r>
        <w:t xml:space="preserve">14.</w:t>
      </w:r>
      <w:r>
        <w:t xml:space="preserve"> </w:t>
      </w:r>
      <w:r>
        <w:t xml:space="preserve">	</w:t>
      </w:r>
      <w:r>
        <w:t xml:space="preserve">Dimopoulos M. A. Elotuzumab plus pomalidomide and dexamethasone for multiple myeloma.</w:t>
      </w:r>
      <w:r>
        <w:t xml:space="preserve"> </w:t>
      </w:r>
      <w:r>
        <w:rPr>
          <w:i/>
          <w:iCs/>
        </w:rPr>
        <w:t xml:space="preserve">New England Journal of Medicine</w:t>
      </w:r>
      <w:r>
        <w:t xml:space="preserve">. 2018;379(19):1811-1822. doi:</w:t>
      </w:r>
      <w:hyperlink r:id="rId108">
        <w:r>
          <w:rPr>
            <w:rStyle w:val="Hyperlink"/>
          </w:rPr>
          <w:t xml:space="preserve">10.1056/NEJMoa1805762</w:t>
        </w:r>
      </w:hyperlink>
    </w:p>
    <w:bookmarkEnd w:id="109"/>
    <w:bookmarkStart w:id="111" w:name="ref-Gandhi2019Outcomes"/>
    <w:p>
      <w:pPr>
        <w:pStyle w:val="Bibliography"/>
      </w:pPr>
      <w:r>
        <w:t xml:space="preserve">15.</w:t>
      </w:r>
      <w:r>
        <w:t xml:space="preserve"> </w:t>
      </w:r>
      <w:r>
        <w:t xml:space="preserve">	</w:t>
      </w:r>
      <w:r>
        <w:t xml:space="preserve">Gandhi U. H. Outcomes of patients with multiple myeloma refractory to CD38-targeted monoclonal antibody therapy.</w:t>
      </w:r>
      <w:r>
        <w:t xml:space="preserve"> </w:t>
      </w:r>
      <w:r>
        <w:rPr>
          <w:i/>
          <w:iCs/>
        </w:rPr>
        <w:t xml:space="preserve">Leukemia</w:t>
      </w:r>
      <w:r>
        <w:t xml:space="preserve">. 2019;33(9):2266-2275. doi:</w:t>
      </w:r>
      <w:hyperlink r:id="rId110">
        <w:r>
          <w:rPr>
            <w:rStyle w:val="Hyperlink"/>
          </w:rPr>
          <w:t xml:space="preserve">10.1038/s41375-019-0435-7</w:t>
        </w:r>
      </w:hyperlink>
    </w:p>
    <w:bookmarkEnd w:id="111"/>
    <w:bookmarkStart w:id="113" w:name="ref-Kortm2016Targeted"/>
    <w:p>
      <w:pPr>
        <w:pStyle w:val="Bibliography"/>
      </w:pPr>
      <w:r>
        <w:t xml:space="preserve">16.</w:t>
      </w:r>
      <w:r>
        <w:t xml:space="preserve"> </w:t>
      </w:r>
      <w:r>
        <w:t xml:space="preserve">	</w:t>
      </w:r>
      <w:r>
        <w:t xml:space="preserve">Kortüm K. M. Targeted sequencing of refractory myeloma reveals a high incidence of mutations in CRBN and ras pathway genes.</w:t>
      </w:r>
      <w:r>
        <w:t xml:space="preserve"> </w:t>
      </w:r>
      <w:r>
        <w:rPr>
          <w:i/>
          <w:iCs/>
        </w:rPr>
        <w:t xml:space="preserve">Blood</w:t>
      </w:r>
      <w:r>
        <w:t xml:space="preserve">. 2016;128(9):1226-1233. doi:</w:t>
      </w:r>
      <w:hyperlink r:id="rId112">
        <w:r>
          <w:rPr>
            <w:rStyle w:val="Hyperlink"/>
          </w:rPr>
          <w:t xml:space="preserve">10.1182/blood-2016-02-698092</w:t>
        </w:r>
      </w:hyperlink>
    </w:p>
    <w:bookmarkEnd w:id="113"/>
    <w:bookmarkStart w:id="115" w:name="ref-Munshi2021Idecabtagene"/>
    <w:p>
      <w:pPr>
        <w:pStyle w:val="Bibliography"/>
      </w:pPr>
      <w:r>
        <w:t xml:space="preserve">17.</w:t>
      </w:r>
      <w:r>
        <w:t xml:space="preserve"> </w:t>
      </w:r>
      <w:r>
        <w:t xml:space="preserve">	</w:t>
      </w:r>
      <w:r>
        <w:t xml:space="preserve">Munshi N. C. Idecabtagene vicleucel in relapsed and refractory multiple myeloma.</w:t>
      </w:r>
      <w:r>
        <w:t xml:space="preserve"> </w:t>
      </w:r>
      <w:r>
        <w:rPr>
          <w:i/>
          <w:iCs/>
        </w:rPr>
        <w:t xml:space="preserve">New England Journal of Medicine</w:t>
      </w:r>
      <w:r>
        <w:t xml:space="preserve">. 2021;384(8):705-716. doi:</w:t>
      </w:r>
      <w:hyperlink r:id="rId114">
        <w:r>
          <w:rPr>
            <w:rStyle w:val="Hyperlink"/>
          </w:rPr>
          <w:t xml:space="preserve">10.1056/NEJMoa2024850</w:t>
        </w:r>
      </w:hyperlink>
    </w:p>
    <w:bookmarkEnd w:id="115"/>
    <w:bookmarkStart w:id="117" w:name="ref-Raje2019AntiBCMA"/>
    <w:p>
      <w:pPr>
        <w:pStyle w:val="Bibliography"/>
      </w:pPr>
      <w:r>
        <w:t xml:space="preserve">18.</w:t>
      </w:r>
      <w:r>
        <w:t xml:space="preserve"> </w:t>
      </w:r>
      <w:r>
        <w:t xml:space="preserve">	</w:t>
      </w:r>
      <w:r>
        <w:t xml:space="preserve">Raje N. Anti-BCMA CAR t-cell therapy bb2121 in relapsed or refractory multiple myeloma.</w:t>
      </w:r>
      <w:r>
        <w:t xml:space="preserve"> </w:t>
      </w:r>
      <w:r>
        <w:rPr>
          <w:i/>
          <w:iCs/>
        </w:rPr>
        <w:t xml:space="preserve">New England Journal of Medicine</w:t>
      </w:r>
      <w:r>
        <w:t xml:space="preserve">. 2019;380(18):1726-1737. doi:</w:t>
      </w:r>
      <w:hyperlink r:id="rId116">
        <w:r>
          <w:rPr>
            <w:rStyle w:val="Hyperlink"/>
          </w:rPr>
          <w:t xml:space="preserve">10.1056/NEJMoa1817226</w:t>
        </w:r>
      </w:hyperlink>
    </w:p>
    <w:bookmarkEnd w:id="117"/>
    <w:bookmarkStart w:id="119" w:name="ref-RodriguezOtero2023Idecel"/>
    <w:p>
      <w:pPr>
        <w:pStyle w:val="Bibliography"/>
      </w:pPr>
      <w:r>
        <w:t xml:space="preserve">19.</w:t>
      </w:r>
      <w:r>
        <w:t xml:space="preserve"> </w:t>
      </w:r>
      <w:r>
        <w:t xml:space="preserve">	</w:t>
      </w:r>
      <w:r>
        <w:t xml:space="preserve">Rodriguez-Otero P. Ide-cel or standard regimens in relapsed and refractory multiple myeloma.</w:t>
      </w:r>
      <w:r>
        <w:t xml:space="preserve"> </w:t>
      </w:r>
      <w:r>
        <w:rPr>
          <w:i/>
          <w:iCs/>
        </w:rPr>
        <w:t xml:space="preserve">New England Journal of Medicine</w:t>
      </w:r>
      <w:r>
        <w:t xml:space="preserve">. 2023;388(11):1002-1014. doi:</w:t>
      </w:r>
      <w:hyperlink r:id="rId118">
        <w:r>
          <w:rPr>
            <w:rStyle w:val="Hyperlink"/>
          </w:rPr>
          <w:t xml:space="preserve">10.1056/NEJMoa2213614</w:t>
        </w:r>
      </w:hyperlink>
    </w:p>
    <w:bookmarkEnd w:id="119"/>
    <w:bookmarkStart w:id="121" w:name="ref-Berdeja2021Ciltacabtagene"/>
    <w:p>
      <w:pPr>
        <w:pStyle w:val="Bibliography"/>
      </w:pPr>
      <w:r>
        <w:t xml:space="preserve">20.</w:t>
      </w:r>
      <w:r>
        <w:t xml:space="preserve"> </w:t>
      </w:r>
      <w:r>
        <w:t xml:space="preserve">	</w:t>
      </w:r>
      <w:r>
        <w:t xml:space="preserve">Berdeja J. G. Ciltacabtagene autoleucel, a b-cell maturation antigen-directed chimeric antigen receptor t-cell therapy in patients with relapsed or refractory multiple myeloma (CARTITUDE-1): A phase 1b/2 open-label study.</w:t>
      </w:r>
      <w:r>
        <w:t xml:space="preserve"> </w:t>
      </w:r>
      <w:r>
        <w:rPr>
          <w:i/>
          <w:iCs/>
        </w:rPr>
        <w:t xml:space="preserve">Lancet</w:t>
      </w:r>
      <w:r>
        <w:t xml:space="preserve">. 2021;398(10297):314-324. doi:</w:t>
      </w:r>
      <w:hyperlink r:id="rId120">
        <w:r>
          <w:rPr>
            <w:rStyle w:val="Hyperlink"/>
          </w:rPr>
          <w:t xml:space="preserve">10.1016/S0140-6736(21)00933-8</w:t>
        </w:r>
      </w:hyperlink>
    </w:p>
    <w:bookmarkEnd w:id="121"/>
    <w:bookmarkStart w:id="123" w:name="ref-Martin2022Ciltacabtagene"/>
    <w:p>
      <w:pPr>
        <w:pStyle w:val="Bibliography"/>
      </w:pPr>
      <w:r>
        <w:t xml:space="preserve">21.</w:t>
      </w:r>
      <w:r>
        <w:t xml:space="preserve"> </w:t>
      </w:r>
      <w:r>
        <w:t xml:space="preserve">	</w:t>
      </w:r>
      <w:r>
        <w:t xml:space="preserve">Martin T. Ciltacabtagene autoleucel, an anti-b-cell maturation antigen chimeric antigen receptor t-cell therapy, for relapsed/refractory multiple myeloma: CARTITUDE-1 2-year follow-up.</w:t>
      </w:r>
      <w:r>
        <w:t xml:space="preserve"> </w:t>
      </w:r>
      <w:r>
        <w:rPr>
          <w:i/>
          <w:iCs/>
        </w:rPr>
        <w:t xml:space="preserve">Journal of Clinical Oncology</w:t>
      </w:r>
      <w:r>
        <w:t xml:space="preserve">. 2022;19. doi:</w:t>
      </w:r>
      <w:hyperlink r:id="rId122">
        <w:r>
          <w:rPr>
            <w:rStyle w:val="Hyperlink"/>
          </w:rPr>
          <w:t xml:space="preserve">10.1200/JCO.22.00842</w:t>
        </w:r>
      </w:hyperlink>
    </w:p>
    <w:bookmarkEnd w:id="123"/>
    <w:bookmarkStart w:id="125" w:name="ref-SanMiguel2023Ciltacel"/>
    <w:p>
      <w:pPr>
        <w:pStyle w:val="Bibliography"/>
      </w:pPr>
      <w:r>
        <w:t xml:space="preserve">22.</w:t>
      </w:r>
      <w:r>
        <w:t xml:space="preserve"> </w:t>
      </w:r>
      <w:r>
        <w:t xml:space="preserve">	</w:t>
      </w:r>
      <w:r>
        <w:t xml:space="preserve">San-Miguel J. Cilta-cel or standard care in lenalidomide-refractory multiple myeloma.</w:t>
      </w:r>
      <w:r>
        <w:t xml:space="preserve"> </w:t>
      </w:r>
      <w:r>
        <w:rPr>
          <w:i/>
          <w:iCs/>
        </w:rPr>
        <w:t xml:space="preserve">New England Journal of Medicine</w:t>
      </w:r>
      <w:r>
        <w:t xml:space="preserve">. 2023;389(4):335-347. doi:</w:t>
      </w:r>
      <w:hyperlink r:id="rId124">
        <w:r>
          <w:rPr>
            <w:rStyle w:val="Hyperlink"/>
          </w:rPr>
          <w:t xml:space="preserve">10.1056/NEJMoa2303379</w:t>
        </w:r>
      </w:hyperlink>
    </w:p>
    <w:bookmarkEnd w:id="125"/>
    <w:bookmarkStart w:id="127" w:name="ref-Ali2016T"/>
    <w:p>
      <w:pPr>
        <w:pStyle w:val="Bibliography"/>
      </w:pPr>
      <w:r>
        <w:t xml:space="preserve">23.</w:t>
      </w:r>
      <w:r>
        <w:t xml:space="preserve"> </w:t>
      </w:r>
      <w:r>
        <w:t xml:space="preserve">	</w:t>
      </w:r>
      <w:r>
        <w:t xml:space="preserve">Ali S. A. T cells expressing an anti-b-cell maturation antigen chimeric antigen receptor cause remissions of multiple myeloma.</w:t>
      </w:r>
      <w:r>
        <w:t xml:space="preserve"> </w:t>
      </w:r>
      <w:r>
        <w:rPr>
          <w:i/>
          <w:iCs/>
        </w:rPr>
        <w:t xml:space="preserve">Blood</w:t>
      </w:r>
      <w:r>
        <w:t xml:space="preserve">. 2016;128(13):1688-1700. doi:</w:t>
      </w:r>
      <w:hyperlink r:id="rId126">
        <w:r>
          <w:rPr>
            <w:rStyle w:val="Hyperlink"/>
          </w:rPr>
          <w:t xml:space="preserve">10.1182/blood-2016-04-711903</w:t>
        </w:r>
      </w:hyperlink>
    </w:p>
    <w:bookmarkEnd w:id="127"/>
    <w:bookmarkStart w:id="129" w:name="ref-Brudno2018T"/>
    <w:p>
      <w:pPr>
        <w:pStyle w:val="Bibliography"/>
      </w:pPr>
      <w:r>
        <w:t xml:space="preserve">24.</w:t>
      </w:r>
      <w:r>
        <w:t xml:space="preserve"> </w:t>
      </w:r>
      <w:r>
        <w:t xml:space="preserve">	</w:t>
      </w:r>
      <w:r>
        <w:t xml:space="preserve">Brudno J. N. T cells genetically modified to express an anti–b-cell maturation antigen chimeric antigen receptor cause remissions of poor-prognosis relapsed multiple myeloma.</w:t>
      </w:r>
      <w:r>
        <w:t xml:space="preserve"> </w:t>
      </w:r>
      <w:r>
        <w:rPr>
          <w:i/>
          <w:iCs/>
        </w:rPr>
        <w:t xml:space="preserve">Journal of Clinical Oncology</w:t>
      </w:r>
      <w:r>
        <w:t xml:space="preserve">. 2018;36(22):2267-2280. doi:</w:t>
      </w:r>
      <w:hyperlink r:id="rId128">
        <w:r>
          <w:rPr>
            <w:rStyle w:val="Hyperlink"/>
          </w:rPr>
          <w:t xml:space="preserve">10.1200/JCO.2018.77.8084</w:t>
        </w:r>
      </w:hyperlink>
    </w:p>
    <w:bookmarkEnd w:id="129"/>
    <w:bookmarkStart w:id="131" w:name="ref-Cohen2019B"/>
    <w:p>
      <w:pPr>
        <w:pStyle w:val="Bibliography"/>
      </w:pPr>
      <w:r>
        <w:t xml:space="preserve">25.</w:t>
      </w:r>
      <w:r>
        <w:t xml:space="preserve"> </w:t>
      </w:r>
      <w:r>
        <w:t xml:space="preserve">	</w:t>
      </w:r>
      <w:r>
        <w:t xml:space="preserve">Cohen A. D. B cell maturation antigen–specific CAR t cells are clinically active in multiple myeloma.</w:t>
      </w:r>
      <w:r>
        <w:t xml:space="preserve"> </w:t>
      </w:r>
      <w:r>
        <w:rPr>
          <w:i/>
          <w:iCs/>
        </w:rPr>
        <w:t xml:space="preserve">Journal of Clinical Investigation</w:t>
      </w:r>
      <w:r>
        <w:t xml:space="preserve">. 2019;129(6):2210-2221. doi:</w:t>
      </w:r>
      <w:hyperlink r:id="rId130">
        <w:r>
          <w:rPr>
            <w:rStyle w:val="Hyperlink"/>
          </w:rPr>
          <w:t xml:space="preserve">10.1172/JCI126397</w:t>
        </w:r>
      </w:hyperlink>
    </w:p>
    <w:bookmarkEnd w:id="131"/>
    <w:bookmarkStart w:id="133" w:name="ref-Zhao2018A"/>
    <w:p>
      <w:pPr>
        <w:pStyle w:val="Bibliography"/>
      </w:pPr>
      <w:r>
        <w:t xml:space="preserve">26.</w:t>
      </w:r>
      <w:r>
        <w:t xml:space="preserve"> </w:t>
      </w:r>
      <w:r>
        <w:t xml:space="preserve">	</w:t>
      </w:r>
      <w:r>
        <w:t xml:space="preserve">Zhao W. H. A phase 1, open-label study of LCAR-B38M, a chimeric antigen receptor t cell therapy directed against b cell maturation antigen, in patients with relapsed or refractory multiple myeloma.</w:t>
      </w:r>
      <w:r>
        <w:t xml:space="preserve"> </w:t>
      </w:r>
      <w:r>
        <w:rPr>
          <w:i/>
          <w:iCs/>
        </w:rPr>
        <w:t xml:space="preserve">Journal of Hematology and Oncology</w:t>
      </w:r>
      <w:r>
        <w:t xml:space="preserve">. 2018;11(1). doi:</w:t>
      </w:r>
      <w:hyperlink r:id="rId132">
        <w:r>
          <w:rPr>
            <w:rStyle w:val="Hyperlink"/>
          </w:rPr>
          <w:t xml:space="preserve">10.1186/s13045-018-0681-6</w:t>
        </w:r>
      </w:hyperlink>
    </w:p>
    <w:bookmarkEnd w:id="133"/>
    <w:bookmarkStart w:id="135" w:name="ref-Cappell2023Longterm"/>
    <w:p>
      <w:pPr>
        <w:pStyle w:val="Bibliography"/>
      </w:pPr>
      <w:r>
        <w:t xml:space="preserve">27.</w:t>
      </w:r>
      <w:r>
        <w:t xml:space="preserve"> </w:t>
      </w:r>
      <w:r>
        <w:t xml:space="preserve">	</w:t>
      </w:r>
      <w:r>
        <w:t xml:space="preserve">Cappell K. M. Long-term outcomes following CAR t cell therapy: What we know so far.</w:t>
      </w:r>
      <w:r>
        <w:t xml:space="preserve"> </w:t>
      </w:r>
      <w:r>
        <w:rPr>
          <w:i/>
          <w:iCs/>
        </w:rPr>
        <w:t xml:space="preserve">Nature Reviews Clinical Oncology</w:t>
      </w:r>
      <w:r>
        <w:t xml:space="preserve">. 2023;20(6):359-371. doi:</w:t>
      </w:r>
      <w:hyperlink r:id="rId134">
        <w:r>
          <w:rPr>
            <w:rStyle w:val="Hyperlink"/>
          </w:rPr>
          <w:t xml:space="preserve">10.1038/s41571-023-00754-1</w:t>
        </w:r>
      </w:hyperlink>
    </w:p>
    <w:bookmarkEnd w:id="135"/>
    <w:bookmarkStart w:id="137" w:name="ref-Samur2021Biallelic"/>
    <w:p>
      <w:pPr>
        <w:pStyle w:val="Bibliography"/>
      </w:pPr>
      <w:r>
        <w:t xml:space="preserve">28.</w:t>
      </w:r>
      <w:r>
        <w:t xml:space="preserve"> </w:t>
      </w:r>
      <w:r>
        <w:t xml:space="preserve">	</w:t>
      </w:r>
      <w:r>
        <w:t xml:space="preserve">Samur M. K. Biallelic loss of BCMA as a resistance mechanism to CAR t cell therapy in a patient with multiple myeloma.</w:t>
      </w:r>
      <w:r>
        <w:t xml:space="preserve"> </w:t>
      </w:r>
      <w:r>
        <w:rPr>
          <w:i/>
          <w:iCs/>
        </w:rPr>
        <w:t xml:space="preserve">Nature Communications</w:t>
      </w:r>
      <w:r>
        <w:t xml:space="preserve">. 2021;12(1). doi:</w:t>
      </w:r>
      <w:hyperlink r:id="rId136">
        <w:r>
          <w:rPr>
            <w:rStyle w:val="Hyperlink"/>
          </w:rPr>
          <w:t xml:space="preserve">10.1038/s41467-021-21177-5</w:t>
        </w:r>
      </w:hyperlink>
    </w:p>
    <w:bookmarkEnd w:id="137"/>
    <w:bookmarkStart w:id="139" w:name="ref-Moreau2022Teclistamab"/>
    <w:p>
      <w:pPr>
        <w:pStyle w:val="Bibliography"/>
      </w:pPr>
      <w:r>
        <w:t xml:space="preserve">29.</w:t>
      </w:r>
      <w:r>
        <w:t xml:space="preserve"> </w:t>
      </w:r>
      <w:r>
        <w:t xml:space="preserve">	</w:t>
      </w:r>
      <w:r>
        <w:t xml:space="preserve">Moreau P. Teclistamab in relapsed or refractory multiple myeloma.</w:t>
      </w:r>
      <w:r>
        <w:t xml:space="preserve"> </w:t>
      </w:r>
      <w:r>
        <w:rPr>
          <w:i/>
          <w:iCs/>
        </w:rPr>
        <w:t xml:space="preserve">New England Journal of Medicine</w:t>
      </w:r>
      <w:r>
        <w:t xml:space="preserve">. 2022;387(6):495-505. doi:</w:t>
      </w:r>
      <w:hyperlink r:id="rId138">
        <w:r>
          <w:rPr>
            <w:rStyle w:val="Hyperlink"/>
          </w:rPr>
          <w:t xml:space="preserve">10.1056/NEJMoa2203478</w:t>
        </w:r>
      </w:hyperlink>
    </w:p>
    <w:bookmarkEnd w:id="139"/>
    <w:bookmarkStart w:id="141" w:name="ref-Lesokhin2023Elranatamab"/>
    <w:p>
      <w:pPr>
        <w:pStyle w:val="Bibliography"/>
      </w:pPr>
      <w:r>
        <w:t xml:space="preserve">30.</w:t>
      </w:r>
      <w:r>
        <w:t xml:space="preserve"> </w:t>
      </w:r>
      <w:r>
        <w:t xml:space="preserve">	</w:t>
      </w:r>
      <w:r>
        <w:t xml:space="preserve">Lesokhin A. M. Elranatamab in relapsed or refractory multiple myeloma: Phase 2 MagnetisMM-3 trial results.</w:t>
      </w:r>
      <w:r>
        <w:t xml:space="preserve"> </w:t>
      </w:r>
      <w:r>
        <w:rPr>
          <w:i/>
          <w:iCs/>
        </w:rPr>
        <w:t xml:space="preserve">Nature Medicine</w:t>
      </w:r>
      <w:r>
        <w:t xml:space="preserve">. 2023;29(9):2259-2267. doi:</w:t>
      </w:r>
      <w:hyperlink r:id="rId140">
        <w:r>
          <w:rPr>
            <w:rStyle w:val="Hyperlink"/>
          </w:rPr>
          <w:t xml:space="preserve">10.1038/s41591-023-02528-9</w:t>
        </w:r>
      </w:hyperlink>
    </w:p>
    <w:bookmarkEnd w:id="141"/>
    <w:bookmarkStart w:id="143" w:name="ref-Chari2022Talquetamab"/>
    <w:p>
      <w:pPr>
        <w:pStyle w:val="Bibliography"/>
      </w:pPr>
      <w:r>
        <w:t xml:space="preserve">31.</w:t>
      </w:r>
      <w:r>
        <w:t xml:space="preserve"> </w:t>
      </w:r>
      <w:r>
        <w:t xml:space="preserve">	</w:t>
      </w:r>
      <w:r>
        <w:t xml:space="preserve">Chari A. Talquetamab, a t-cell-redirecting GPRC5D bispecific antibody for multiple myeloma.</w:t>
      </w:r>
      <w:r>
        <w:t xml:space="preserve"> </w:t>
      </w:r>
      <w:r>
        <w:rPr>
          <w:i/>
          <w:iCs/>
        </w:rPr>
        <w:t xml:space="preserve">New England Journal of Medicine</w:t>
      </w:r>
      <w:r>
        <w:t xml:space="preserve">. 2022;387(24):2232-2244. doi:</w:t>
      </w:r>
      <w:hyperlink r:id="rId142">
        <w:r>
          <w:rPr>
            <w:rStyle w:val="Hyperlink"/>
          </w:rPr>
          <w:t xml:space="preserve">10.1056/NEJMoa2204591</w:t>
        </w:r>
      </w:hyperlink>
    </w:p>
    <w:bookmarkEnd w:id="143"/>
    <w:bookmarkStart w:id="145" w:name="ref-Lonial2020Belantamab"/>
    <w:p>
      <w:pPr>
        <w:pStyle w:val="Bibliography"/>
      </w:pPr>
      <w:r>
        <w:t xml:space="preserve">32.</w:t>
      </w:r>
      <w:r>
        <w:t xml:space="preserve"> </w:t>
      </w:r>
      <w:r>
        <w:t xml:space="preserve">	</w:t>
      </w:r>
      <w:r>
        <w:t xml:space="preserve">Lonial S. Belantamab mafodotin for relapsed or refractory multiple myeloma (DREAMM-2): A two-arm, randomised, open-label, phase 2 study.</w:t>
      </w:r>
      <w:r>
        <w:t xml:space="preserve"> </w:t>
      </w:r>
      <w:r>
        <w:rPr>
          <w:i/>
          <w:iCs/>
        </w:rPr>
        <w:t xml:space="preserve">Lancet Oncology</w:t>
      </w:r>
      <w:r>
        <w:t xml:space="preserve">. 2020;21(2):207-221. doi:</w:t>
      </w:r>
      <w:hyperlink r:id="rId144">
        <w:r>
          <w:rPr>
            <w:rStyle w:val="Hyperlink"/>
          </w:rPr>
          <w:t xml:space="preserve">10.1016/S1470-2045(19)30788-0</w:t>
        </w:r>
      </w:hyperlink>
    </w:p>
    <w:bookmarkEnd w:id="145"/>
    <w:bookmarkStart w:id="147" w:name="ref-Nguyen2023Mechanisms"/>
    <w:p>
      <w:pPr>
        <w:pStyle w:val="Bibliography"/>
      </w:pPr>
      <w:r>
        <w:t xml:space="preserve">33.</w:t>
      </w:r>
      <w:r>
        <w:t xml:space="preserve"> </w:t>
      </w:r>
      <w:r>
        <w:t xml:space="preserve">	</w:t>
      </w:r>
      <w:r>
        <w:t xml:space="preserve">Nguyen T. D. Mechanisms of ADC toxicity and strategies to increase ADC tolerability.</w:t>
      </w:r>
      <w:r>
        <w:t xml:space="preserve"> </w:t>
      </w:r>
      <w:r>
        <w:rPr>
          <w:i/>
          <w:iCs/>
        </w:rPr>
        <w:t xml:space="preserve">Cancers</w:t>
      </w:r>
      <w:r>
        <w:t xml:space="preserve">. 2023;15(3). doi:</w:t>
      </w:r>
      <w:hyperlink r:id="rId146">
        <w:r>
          <w:rPr>
            <w:rStyle w:val="Hyperlink"/>
          </w:rPr>
          <w:t xml:space="preserve">10.3390/cancers15030713</w:t>
        </w:r>
      </w:hyperlink>
    </w:p>
    <w:bookmarkEnd w:id="147"/>
    <w:bookmarkStart w:id="149" w:name="ref-Chari2019Oral"/>
    <w:p>
      <w:pPr>
        <w:pStyle w:val="Bibliography"/>
      </w:pPr>
      <w:r>
        <w:t xml:space="preserve">34.</w:t>
      </w:r>
      <w:r>
        <w:t xml:space="preserve"> </w:t>
      </w:r>
      <w:r>
        <w:t xml:space="preserve">	</w:t>
      </w:r>
      <w:r>
        <w:t xml:space="preserve">Chari A. Oral selinexor-dexamethasone for triple-class refractory multiple myeloma.</w:t>
      </w:r>
      <w:r>
        <w:t xml:space="preserve"> </w:t>
      </w:r>
      <w:r>
        <w:rPr>
          <w:i/>
          <w:iCs/>
        </w:rPr>
        <w:t xml:space="preserve">New England Journal of Medicine</w:t>
      </w:r>
      <w:r>
        <w:t xml:space="preserve">. 2019;381(8):727-738. doi:</w:t>
      </w:r>
      <w:hyperlink r:id="rId148">
        <w:r>
          <w:rPr>
            <w:rStyle w:val="Hyperlink"/>
          </w:rPr>
          <w:t xml:space="preserve">10.1056/NEJMoa1903455</w:t>
        </w:r>
      </w:hyperlink>
    </w:p>
    <w:bookmarkEnd w:id="149"/>
    <w:bookmarkStart w:id="151" w:name="ref-Dimopoulos2021Multiple"/>
    <w:p>
      <w:pPr>
        <w:pStyle w:val="Bibliography"/>
      </w:pPr>
      <w:r>
        <w:t xml:space="preserve">35.</w:t>
      </w:r>
      <w:r>
        <w:t xml:space="preserve"> </w:t>
      </w:r>
      <w:r>
        <w:t xml:space="preserve">	</w:t>
      </w:r>
      <w:r>
        <w:t xml:space="preserve">Dimopoulos M. A. Multiple myeloma: EHA-ESMO clinical practice guidelines for diagnosis, treatment and follow-up†.</w:t>
      </w:r>
      <w:r>
        <w:t xml:space="preserve"> </w:t>
      </w:r>
      <w:r>
        <w:rPr>
          <w:i/>
          <w:iCs/>
        </w:rPr>
        <w:t xml:space="preserve">Annals of Oncology</w:t>
      </w:r>
      <w:r>
        <w:t xml:space="preserve">. 2021;32(3):309-322. doi:</w:t>
      </w:r>
      <w:hyperlink r:id="rId150">
        <w:r>
          <w:rPr>
            <w:rStyle w:val="Hyperlink"/>
          </w:rPr>
          <w:t xml:space="preserve">10.1016/j.annonc.2020.11.014</w:t>
        </w:r>
      </w:hyperlink>
    </w:p>
    <w:bookmarkEnd w:id="151"/>
    <w:bookmarkStart w:id="153" w:name="ref-Krejcik2016Daratumumab"/>
    <w:p>
      <w:pPr>
        <w:pStyle w:val="Bibliography"/>
      </w:pPr>
      <w:r>
        <w:t xml:space="preserve">36.</w:t>
      </w:r>
      <w:r>
        <w:t xml:space="preserve"> </w:t>
      </w:r>
      <w:r>
        <w:t xml:space="preserve">	</w:t>
      </w:r>
      <w:r>
        <w:t xml:space="preserve">Krejcik J. Daratumumab depletes CD38+ immune regulatory cells, promotes t-cell expansion, and skews t-cell repertoire in multiple myeloma.</w:t>
      </w:r>
      <w:r>
        <w:t xml:space="preserve"> </w:t>
      </w:r>
      <w:r>
        <w:rPr>
          <w:i/>
          <w:iCs/>
        </w:rPr>
        <w:t xml:space="preserve">Blood</w:t>
      </w:r>
      <w:r>
        <w:t xml:space="preserve">. 2016;128(3):384-394. doi:</w:t>
      </w:r>
      <w:hyperlink r:id="rId152">
        <w:r>
          <w:rPr>
            <w:rStyle w:val="Hyperlink"/>
          </w:rPr>
          <w:t xml:space="preserve">10.1182/blood-2015-12-687749</w:t>
        </w:r>
      </w:hyperlink>
    </w:p>
    <w:bookmarkEnd w:id="153"/>
    <w:bookmarkStart w:id="155" w:name="ref-Van2018CD"/>
    <w:p>
      <w:pPr>
        <w:pStyle w:val="Bibliography"/>
      </w:pPr>
      <w:r>
        <w:t xml:space="preserve">37.</w:t>
      </w:r>
      <w:r>
        <w:t xml:space="preserve"> </w:t>
      </w:r>
      <w:r>
        <w:t xml:space="preserve">	</w:t>
      </w:r>
      <w:r>
        <w:t xml:space="preserve">Van De Donk N. W. C. J. CD38 antibodies in multiple myeloma: Back to the future.</w:t>
      </w:r>
      <w:r>
        <w:t xml:space="preserve"> </w:t>
      </w:r>
      <w:r>
        <w:rPr>
          <w:i/>
          <w:iCs/>
        </w:rPr>
        <w:t xml:space="preserve">Blood</w:t>
      </w:r>
      <w:r>
        <w:t xml:space="preserve">. 2018;131(1):13-29. doi:</w:t>
      </w:r>
      <w:hyperlink r:id="rId154">
        <w:r>
          <w:rPr>
            <w:rStyle w:val="Hyperlink"/>
          </w:rPr>
          <w:t xml:space="preserve">10.1182/blood-2017-06-740944</w:t>
        </w:r>
      </w:hyperlink>
    </w:p>
    <w:bookmarkEnd w:id="155"/>
    <w:bookmarkStart w:id="157" w:name="ref-Janakiram2026Realworld"/>
    <w:p>
      <w:pPr>
        <w:pStyle w:val="Bibliography"/>
      </w:pPr>
      <w:r>
        <w:t xml:space="preserve">38.</w:t>
      </w:r>
      <w:r>
        <w:t xml:space="preserve"> </w:t>
      </w:r>
      <w:r>
        <w:t xml:space="preserve">	</w:t>
      </w:r>
      <w:r>
        <w:t xml:space="preserve">Murali Janakiram, Lin Fan, Sabyasachi Ghosh, Victoria Alegria, Matthew Perciavalle, Bruno Emond, Jessica Maitland, Todd Bixby, Saurabh P Nagar, Zaina P Qureshi, Danai Dima. Real-world healthcare resource utilization and clinical outcomes among patients with relapsed/refractory multiple myeloma receiving ciltacabtagene autoleucel after four or more prior lines of therapy in inpatient versus outpatient settings.</w:t>
      </w:r>
      <w:r>
        <w:t xml:space="preserve"> </w:t>
      </w:r>
      <w:r>
        <w:rPr>
          <w:i/>
          <w:iCs/>
        </w:rPr>
        <w:t xml:space="preserve">Journal of medical economics</w:t>
      </w:r>
      <w:r>
        <w:t xml:space="preserve">. 2026;29(1):871-884. doi:</w:t>
      </w:r>
      <w:hyperlink r:id="rId156">
        <w:r>
          <w:rPr>
            <w:rStyle w:val="Hyperlink"/>
          </w:rPr>
          <w:t xml:space="preserve">10.1080/13696998.2026.2640811</w:t>
        </w:r>
      </w:hyperlink>
    </w:p>
    <w:bookmarkEnd w:id="157"/>
    <w:bookmarkStart w:id="159" w:name="ref-Mateo2026Association"/>
    <w:p>
      <w:pPr>
        <w:pStyle w:val="Bibliography"/>
      </w:pPr>
      <w:r>
        <w:t xml:space="preserve">39.</w:t>
      </w:r>
      <w:r>
        <w:t xml:space="preserve"> </w:t>
      </w:r>
      <w:r>
        <w:t xml:space="preserve">	</w:t>
      </w:r>
      <w:r>
        <w:t xml:space="preserve">Julia Garcia Mateo, Anna Barata, Tejaswini M Dhawale, Richard Newcomb, Shruthi Venkatachalam, Kyle Karpinski, Mitchell W Lavoie, Dagny Vaughn, Meaghan Ekstrom, Trisha Rahman, Areej El-Jawahri, P Connor Johnson. Association between patient-reported outcomes prior to chimeric antigen receptor (CAR) t-cell therapy and clinical outcomes.</w:t>
      </w:r>
      <w:r>
        <w:t xml:space="preserve"> </w:t>
      </w:r>
      <w:r>
        <w:rPr>
          <w:i/>
          <w:iCs/>
        </w:rPr>
        <w:t xml:space="preserve">Transplantation and cellular therapy</w:t>
      </w:r>
      <w:r>
        <w:t xml:space="preserve">. Published online 2026. doi:</w:t>
      </w:r>
      <w:hyperlink r:id="rId158">
        <w:r>
          <w:rPr>
            <w:rStyle w:val="Hyperlink"/>
          </w:rPr>
          <w:t xml:space="preserve">10.1016/j.jtct.2026.02.052</w:t>
        </w:r>
      </w:hyperlink>
    </w:p>
    <w:bookmarkEnd w:id="159"/>
    <w:bookmarkStart w:id="161" w:name="ref-Kumar2017Efficacy"/>
    <w:p>
      <w:pPr>
        <w:pStyle w:val="Bibliography"/>
      </w:pPr>
      <w:r>
        <w:t xml:space="preserve">40.</w:t>
      </w:r>
      <w:r>
        <w:t xml:space="preserve"> </w:t>
      </w:r>
      <w:r>
        <w:t xml:space="preserve">	</w:t>
      </w:r>
      <w:r>
        <w:t xml:space="preserve">Kumar S. Efficacy of venetoclax as targeted therapy for relapsed/refractory t(11;14) multiple myeloma.</w:t>
      </w:r>
      <w:r>
        <w:t xml:space="preserve"> </w:t>
      </w:r>
      <w:r>
        <w:rPr>
          <w:i/>
          <w:iCs/>
        </w:rPr>
        <w:t xml:space="preserve">Blood</w:t>
      </w:r>
      <w:r>
        <w:t xml:space="preserve">. 2017;130(22):2401-2409. doi:</w:t>
      </w:r>
      <w:hyperlink r:id="rId160">
        <w:r>
          <w:rPr>
            <w:rStyle w:val="Hyperlink"/>
          </w:rPr>
          <w:t xml:space="preserve">10.1182/blood-2017-06-788786</w:t>
        </w:r>
      </w:hyperlink>
    </w:p>
    <w:bookmarkEnd w:id="161"/>
    <w:bookmarkStart w:id="163" w:name="ref-Lesokhin2016Nivolumab"/>
    <w:p>
      <w:pPr>
        <w:pStyle w:val="Bibliography"/>
      </w:pPr>
      <w:r>
        <w:t xml:space="preserve">41.</w:t>
      </w:r>
      <w:r>
        <w:t xml:space="preserve"> </w:t>
      </w:r>
      <w:r>
        <w:t xml:space="preserve">	</w:t>
      </w:r>
      <w:r>
        <w:t xml:space="preserve">Lesokhin A. M. Nivolumab in patients with relapsed or refractory hematologic malignancy: Preliminary results of a phase ib study.</w:t>
      </w:r>
      <w:r>
        <w:t xml:space="preserve"> </w:t>
      </w:r>
      <w:r>
        <w:rPr>
          <w:i/>
          <w:iCs/>
        </w:rPr>
        <w:t xml:space="preserve">Journal of Clinical Oncology</w:t>
      </w:r>
      <w:r>
        <w:t xml:space="preserve">. 2016;34(23):2698-2704. doi:</w:t>
      </w:r>
      <w:hyperlink r:id="rId162">
        <w:r>
          <w:rPr>
            <w:rStyle w:val="Hyperlink"/>
          </w:rPr>
          <w:t xml:space="preserve">10.1200/JCO.2015.65.9789</w:t>
        </w:r>
      </w:hyperlink>
    </w:p>
    <w:bookmarkEnd w:id="163"/>
    <w:bookmarkStart w:id="165" w:name="ref-Cavo2017Role"/>
    <w:p>
      <w:pPr>
        <w:pStyle w:val="Bibliography"/>
      </w:pPr>
      <w:r>
        <w:t xml:space="preserve">42.</w:t>
      </w:r>
      <w:r>
        <w:t xml:space="preserve"> </w:t>
      </w:r>
      <w:r>
        <w:t xml:space="preserve">	</w:t>
      </w:r>
      <w:r>
        <w:t xml:space="preserve">Cavo M. Role of 18F-FDG PET/CT in the diagnosis and management of multiple myeloma and other plasma cell disorders: A consensus statement by the international myeloma working group.</w:t>
      </w:r>
      <w:r>
        <w:t xml:space="preserve"> </w:t>
      </w:r>
      <w:r>
        <w:rPr>
          <w:i/>
          <w:iCs/>
        </w:rPr>
        <w:t xml:space="preserve">Lancet Oncology</w:t>
      </w:r>
      <w:r>
        <w:t xml:space="preserve">. 2017;18(4):e206-e217. doi:</w:t>
      </w:r>
      <w:hyperlink r:id="rId164">
        <w:r>
          <w:rPr>
            <w:rStyle w:val="Hyperlink"/>
          </w:rPr>
          <w:t xml:space="preserve">10.1016/S1470-2045(17)30189-4</w:t>
        </w:r>
      </w:hyperlink>
    </w:p>
    <w:bookmarkEnd w:id="165"/>
    <w:bookmarkStart w:id="167" w:name="ref-Maalej2023CARcell"/>
    <w:p>
      <w:pPr>
        <w:pStyle w:val="Bibliography"/>
      </w:pPr>
      <w:r>
        <w:t xml:space="preserve">43.</w:t>
      </w:r>
      <w:r>
        <w:t xml:space="preserve"> </w:t>
      </w:r>
      <w:r>
        <w:t xml:space="preserve">	</w:t>
      </w:r>
      <w:r>
        <w:t xml:space="preserve">Maalej K. M. CAR-cell therapy in the era of solid tumor treatment: Current challenges and emerging therapeutic advances.</w:t>
      </w:r>
      <w:r>
        <w:t xml:space="preserve"> </w:t>
      </w:r>
      <w:r>
        <w:rPr>
          <w:i/>
          <w:iCs/>
        </w:rPr>
        <w:t xml:space="preserve">Molecular Cancer</w:t>
      </w:r>
      <w:r>
        <w:t xml:space="preserve">. 2023;22(1). doi:</w:t>
      </w:r>
      <w:hyperlink r:id="rId166">
        <w:r>
          <w:rPr>
            <w:rStyle w:val="Hyperlink"/>
          </w:rPr>
          <w:t xml:space="preserve">10.1186/s12943-023-01723-z</w:t>
        </w:r>
      </w:hyperlink>
    </w:p>
    <w:bookmarkEnd w:id="167"/>
    <w:bookmarkStart w:id="169" w:name="ref-Wang2022Therapeutic"/>
    <w:p>
      <w:pPr>
        <w:pStyle w:val="Bibliography"/>
      </w:pPr>
      <w:r>
        <w:t xml:space="preserve">44.</w:t>
      </w:r>
      <w:r>
        <w:t xml:space="preserve"> </w:t>
      </w:r>
      <w:r>
        <w:t xml:space="preserve">	</w:t>
      </w:r>
      <w:r>
        <w:t xml:space="preserve">Wang D. R. Therapeutic targets and biomarkers of tumor immunotherapy: Response versus non-response.</w:t>
      </w:r>
      <w:r>
        <w:t xml:space="preserve"> </w:t>
      </w:r>
      <w:r>
        <w:rPr>
          <w:i/>
          <w:iCs/>
        </w:rPr>
        <w:t xml:space="preserve">Signal Transduction and Targeted Therapy</w:t>
      </w:r>
      <w:r>
        <w:t xml:space="preserve">. 2022;7(1). doi:</w:t>
      </w:r>
      <w:hyperlink r:id="rId168">
        <w:r>
          <w:rPr>
            <w:rStyle w:val="Hyperlink"/>
          </w:rPr>
          <w:t xml:space="preserve">10.1038/s41392-022-01136-2</w:t>
        </w:r>
      </w:hyperlink>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https://doi.org/10.1002/ajh.25791" TargetMode="External" /><Relationship Type="http://schemas.openxmlformats.org/officeDocument/2006/relationships/hyperlink" Id="rId84" Target="https://doi.org/10.1002/ajh.26590" TargetMode="External" /><Relationship Type="http://schemas.openxmlformats.org/officeDocument/2006/relationships/hyperlink" Id="rId102" Target="https://doi.org/10.1016/S0140-6736(15)01120-4" TargetMode="External" /><Relationship Type="http://schemas.openxmlformats.org/officeDocument/2006/relationships/hyperlink" Id="rId106" Target="https://doi.org/10.1016/S0140-6736(19)32556-5" TargetMode="External" /><Relationship Type="http://schemas.openxmlformats.org/officeDocument/2006/relationships/hyperlink" Id="rId82" Target="https://doi.org/10.1016/S0140-6736(21)00135-5" TargetMode="External" /><Relationship Type="http://schemas.openxmlformats.org/officeDocument/2006/relationships/hyperlink" Id="rId120" Target="https://doi.org/10.1016/S0140-6736(21)00933-8" TargetMode="External" /><Relationship Type="http://schemas.openxmlformats.org/officeDocument/2006/relationships/hyperlink" Id="rId92" Target="https://doi.org/10.1016/S1470-2045(15)00464-7" TargetMode="External" /><Relationship Type="http://schemas.openxmlformats.org/officeDocument/2006/relationships/hyperlink" Id="rId164" Target="https://doi.org/10.1016/S1470-2045(17)30189-4" TargetMode="External" /><Relationship Type="http://schemas.openxmlformats.org/officeDocument/2006/relationships/hyperlink" Id="rId144" Target="https://doi.org/10.1016/S1470-2045(19)30788-0" TargetMode="External" /><Relationship Type="http://schemas.openxmlformats.org/officeDocument/2006/relationships/hyperlink" Id="rId150" Target="https://doi.org/10.1016/j.annonc.2020.11.014" TargetMode="External" /><Relationship Type="http://schemas.openxmlformats.org/officeDocument/2006/relationships/hyperlink" Id="rId158" Target="https://doi.org/10.1016/j.jtct.2026.02.052" TargetMode="External" /><Relationship Type="http://schemas.openxmlformats.org/officeDocument/2006/relationships/hyperlink" Id="rId90" Target="https://doi.org/10.1038/nrclinonc.2016.206" TargetMode="External" /><Relationship Type="http://schemas.openxmlformats.org/officeDocument/2006/relationships/hyperlink" Id="rId110" Target="https://doi.org/10.1038/s41375-019-0435-7" TargetMode="External" /><Relationship Type="http://schemas.openxmlformats.org/officeDocument/2006/relationships/hyperlink" Id="rId168" Target="https://doi.org/10.1038/s41392-022-01136-2" TargetMode="External" /><Relationship Type="http://schemas.openxmlformats.org/officeDocument/2006/relationships/hyperlink" Id="rId136" Target="https://doi.org/10.1038/s41467-021-21177-5" TargetMode="External" /><Relationship Type="http://schemas.openxmlformats.org/officeDocument/2006/relationships/hyperlink" Id="rId134" Target="https://doi.org/10.1038/s41571-023-00754-1" TargetMode="External" /><Relationship Type="http://schemas.openxmlformats.org/officeDocument/2006/relationships/hyperlink" Id="rId140" Target="https://doi.org/10.1038/s41591-023-02528-9" TargetMode="External" /><Relationship Type="http://schemas.openxmlformats.org/officeDocument/2006/relationships/hyperlink" Id="rId94" Target="https://doi.org/10.1056/NEJMoa1516282" TargetMode="External" /><Relationship Type="http://schemas.openxmlformats.org/officeDocument/2006/relationships/hyperlink" Id="rId98" Target="https://doi.org/10.1056/NEJMoa1606038" TargetMode="External" /><Relationship Type="http://schemas.openxmlformats.org/officeDocument/2006/relationships/hyperlink" Id="rId100" Target="https://doi.org/10.1056/NEJMoa1607751" TargetMode="External" /><Relationship Type="http://schemas.openxmlformats.org/officeDocument/2006/relationships/hyperlink" Id="rId96" Target="https://doi.org/10.1056/NEJMoa1611750" TargetMode="External" /><Relationship Type="http://schemas.openxmlformats.org/officeDocument/2006/relationships/hyperlink" Id="rId104" Target="https://doi.org/10.1056/NEJMoa1714678" TargetMode="External" /><Relationship Type="http://schemas.openxmlformats.org/officeDocument/2006/relationships/hyperlink" Id="rId108" Target="https://doi.org/10.1056/NEJMoa1805762" TargetMode="External" /><Relationship Type="http://schemas.openxmlformats.org/officeDocument/2006/relationships/hyperlink" Id="rId116" Target="https://doi.org/10.1056/NEJMoa1817226" TargetMode="External" /><Relationship Type="http://schemas.openxmlformats.org/officeDocument/2006/relationships/hyperlink" Id="rId148" Target="https://doi.org/10.1056/NEJMoa1903455" TargetMode="External" /><Relationship Type="http://schemas.openxmlformats.org/officeDocument/2006/relationships/hyperlink" Id="rId114" Target="https://doi.org/10.1056/NEJMoa2024850" TargetMode="External" /><Relationship Type="http://schemas.openxmlformats.org/officeDocument/2006/relationships/hyperlink" Id="rId138" Target="https://doi.org/10.1056/NEJMoa2203478" TargetMode="External" /><Relationship Type="http://schemas.openxmlformats.org/officeDocument/2006/relationships/hyperlink" Id="rId142" Target="https://doi.org/10.1056/NEJMoa2204591" TargetMode="External" /><Relationship Type="http://schemas.openxmlformats.org/officeDocument/2006/relationships/hyperlink" Id="rId118" Target="https://doi.org/10.1056/NEJMoa2213614" TargetMode="External" /><Relationship Type="http://schemas.openxmlformats.org/officeDocument/2006/relationships/hyperlink" Id="rId124" Target="https://doi.org/10.1056/NEJMoa2303379" TargetMode="External" /><Relationship Type="http://schemas.openxmlformats.org/officeDocument/2006/relationships/hyperlink" Id="rId156" Target="https://doi.org/10.1080/13696998.2026.2640811" TargetMode="External" /><Relationship Type="http://schemas.openxmlformats.org/officeDocument/2006/relationships/hyperlink" Id="rId130" Target="https://doi.org/10.1172/JCI126397" TargetMode="External" /><Relationship Type="http://schemas.openxmlformats.org/officeDocument/2006/relationships/hyperlink" Id="rId152" Target="https://doi.org/10.1182/blood-2015-12-687749" TargetMode="External" /><Relationship Type="http://schemas.openxmlformats.org/officeDocument/2006/relationships/hyperlink" Id="rId112" Target="https://doi.org/10.1182/blood-2016-02-698092" TargetMode="External" /><Relationship Type="http://schemas.openxmlformats.org/officeDocument/2006/relationships/hyperlink" Id="rId126" Target="https://doi.org/10.1182/blood-2016-04-711903" TargetMode="External" /><Relationship Type="http://schemas.openxmlformats.org/officeDocument/2006/relationships/hyperlink" Id="rId154" Target="https://doi.org/10.1182/blood-2017-06-740944" TargetMode="External" /><Relationship Type="http://schemas.openxmlformats.org/officeDocument/2006/relationships/hyperlink" Id="rId160" Target="https://doi.org/10.1182/blood-2017-06-788786" TargetMode="External" /><Relationship Type="http://schemas.openxmlformats.org/officeDocument/2006/relationships/hyperlink" Id="rId166" Target="https://doi.org/10.1186/s12943-023-01723-z" TargetMode="External" /><Relationship Type="http://schemas.openxmlformats.org/officeDocument/2006/relationships/hyperlink" Id="rId132" Target="https://doi.org/10.1186/s13045-018-0681-6" TargetMode="External" /><Relationship Type="http://schemas.openxmlformats.org/officeDocument/2006/relationships/hyperlink" Id="rId162" Target="https://doi.org/10.1200/JCO.2015.65.9789" TargetMode="External" /><Relationship Type="http://schemas.openxmlformats.org/officeDocument/2006/relationships/hyperlink" Id="rId128" Target="https://doi.org/10.1200/JCO.2018.77.8084" TargetMode="External" /><Relationship Type="http://schemas.openxmlformats.org/officeDocument/2006/relationships/hyperlink" Id="rId122" Target="https://doi.org/10.1200/JCO.22.00842" TargetMode="External" /><Relationship Type="http://schemas.openxmlformats.org/officeDocument/2006/relationships/hyperlink" Id="rId146" Target="https://doi.org/10.3390/cancers15030713" TargetMode="External" /><Relationship Type="http://schemas.openxmlformats.org/officeDocument/2006/relationships/hyperlink" Id="rId86" Target="https://doi.org/10.3390/medsci9010003" TargetMode="External" /><Relationship Type="http://schemas.openxmlformats.org/officeDocument/2006/relationships/hyperlink" Id="rId80" Target="https://github.com/htlin222/robust-lit-review" TargetMode="External" /></Relationships>
</file>

<file path=word/_rels/footnotes.xml.rels><?xml version="1.0" encoding="UTF-8"?><Relationships xmlns="http://schemas.openxmlformats.org/package/2006/relationships"><Relationship Type="http://schemas.openxmlformats.org/officeDocument/2006/relationships/hyperlink" Id="rId88" Target="https://doi.org/10.1002/ajh.25791" TargetMode="External" /><Relationship Type="http://schemas.openxmlformats.org/officeDocument/2006/relationships/hyperlink" Id="rId84" Target="https://doi.org/10.1002/ajh.26590" TargetMode="External" /><Relationship Type="http://schemas.openxmlformats.org/officeDocument/2006/relationships/hyperlink" Id="rId102" Target="https://doi.org/10.1016/S0140-6736(15)01120-4" TargetMode="External" /><Relationship Type="http://schemas.openxmlformats.org/officeDocument/2006/relationships/hyperlink" Id="rId106" Target="https://doi.org/10.1016/S0140-6736(19)32556-5" TargetMode="External" /><Relationship Type="http://schemas.openxmlformats.org/officeDocument/2006/relationships/hyperlink" Id="rId82" Target="https://doi.org/10.1016/S0140-6736(21)00135-5" TargetMode="External" /><Relationship Type="http://schemas.openxmlformats.org/officeDocument/2006/relationships/hyperlink" Id="rId120" Target="https://doi.org/10.1016/S0140-6736(21)00933-8" TargetMode="External" /><Relationship Type="http://schemas.openxmlformats.org/officeDocument/2006/relationships/hyperlink" Id="rId92" Target="https://doi.org/10.1016/S1470-2045(15)00464-7" TargetMode="External" /><Relationship Type="http://schemas.openxmlformats.org/officeDocument/2006/relationships/hyperlink" Id="rId164" Target="https://doi.org/10.1016/S1470-2045(17)30189-4" TargetMode="External" /><Relationship Type="http://schemas.openxmlformats.org/officeDocument/2006/relationships/hyperlink" Id="rId144" Target="https://doi.org/10.1016/S1470-2045(19)30788-0" TargetMode="External" /><Relationship Type="http://schemas.openxmlformats.org/officeDocument/2006/relationships/hyperlink" Id="rId150" Target="https://doi.org/10.1016/j.annonc.2020.11.014" TargetMode="External" /><Relationship Type="http://schemas.openxmlformats.org/officeDocument/2006/relationships/hyperlink" Id="rId158" Target="https://doi.org/10.1016/j.jtct.2026.02.052" TargetMode="External" /><Relationship Type="http://schemas.openxmlformats.org/officeDocument/2006/relationships/hyperlink" Id="rId90" Target="https://doi.org/10.1038/nrclinonc.2016.206" TargetMode="External" /><Relationship Type="http://schemas.openxmlformats.org/officeDocument/2006/relationships/hyperlink" Id="rId110" Target="https://doi.org/10.1038/s41375-019-0435-7" TargetMode="External" /><Relationship Type="http://schemas.openxmlformats.org/officeDocument/2006/relationships/hyperlink" Id="rId168" Target="https://doi.org/10.1038/s41392-022-01136-2" TargetMode="External" /><Relationship Type="http://schemas.openxmlformats.org/officeDocument/2006/relationships/hyperlink" Id="rId136" Target="https://doi.org/10.1038/s41467-021-21177-5" TargetMode="External" /><Relationship Type="http://schemas.openxmlformats.org/officeDocument/2006/relationships/hyperlink" Id="rId134" Target="https://doi.org/10.1038/s41571-023-00754-1" TargetMode="External" /><Relationship Type="http://schemas.openxmlformats.org/officeDocument/2006/relationships/hyperlink" Id="rId140" Target="https://doi.org/10.1038/s41591-023-02528-9" TargetMode="External" /><Relationship Type="http://schemas.openxmlformats.org/officeDocument/2006/relationships/hyperlink" Id="rId94" Target="https://doi.org/10.1056/NEJMoa1516282" TargetMode="External" /><Relationship Type="http://schemas.openxmlformats.org/officeDocument/2006/relationships/hyperlink" Id="rId98" Target="https://doi.org/10.1056/NEJMoa1606038" TargetMode="External" /><Relationship Type="http://schemas.openxmlformats.org/officeDocument/2006/relationships/hyperlink" Id="rId100" Target="https://doi.org/10.1056/NEJMoa1607751" TargetMode="External" /><Relationship Type="http://schemas.openxmlformats.org/officeDocument/2006/relationships/hyperlink" Id="rId96" Target="https://doi.org/10.1056/NEJMoa1611750" TargetMode="External" /><Relationship Type="http://schemas.openxmlformats.org/officeDocument/2006/relationships/hyperlink" Id="rId104" Target="https://doi.org/10.1056/NEJMoa1714678" TargetMode="External" /><Relationship Type="http://schemas.openxmlformats.org/officeDocument/2006/relationships/hyperlink" Id="rId108" Target="https://doi.org/10.1056/NEJMoa1805762" TargetMode="External" /><Relationship Type="http://schemas.openxmlformats.org/officeDocument/2006/relationships/hyperlink" Id="rId116" Target="https://doi.org/10.1056/NEJMoa1817226" TargetMode="External" /><Relationship Type="http://schemas.openxmlformats.org/officeDocument/2006/relationships/hyperlink" Id="rId148" Target="https://doi.org/10.1056/NEJMoa1903455" TargetMode="External" /><Relationship Type="http://schemas.openxmlformats.org/officeDocument/2006/relationships/hyperlink" Id="rId114" Target="https://doi.org/10.1056/NEJMoa2024850" TargetMode="External" /><Relationship Type="http://schemas.openxmlformats.org/officeDocument/2006/relationships/hyperlink" Id="rId138" Target="https://doi.org/10.1056/NEJMoa2203478" TargetMode="External" /><Relationship Type="http://schemas.openxmlformats.org/officeDocument/2006/relationships/hyperlink" Id="rId142" Target="https://doi.org/10.1056/NEJMoa2204591" TargetMode="External" /><Relationship Type="http://schemas.openxmlformats.org/officeDocument/2006/relationships/hyperlink" Id="rId118" Target="https://doi.org/10.1056/NEJMoa2213614" TargetMode="External" /><Relationship Type="http://schemas.openxmlformats.org/officeDocument/2006/relationships/hyperlink" Id="rId124" Target="https://doi.org/10.1056/NEJMoa2303379" TargetMode="External" /><Relationship Type="http://schemas.openxmlformats.org/officeDocument/2006/relationships/hyperlink" Id="rId156" Target="https://doi.org/10.1080/13696998.2026.2640811" TargetMode="External" /><Relationship Type="http://schemas.openxmlformats.org/officeDocument/2006/relationships/hyperlink" Id="rId130" Target="https://doi.org/10.1172/JCI126397" TargetMode="External" /><Relationship Type="http://schemas.openxmlformats.org/officeDocument/2006/relationships/hyperlink" Id="rId152" Target="https://doi.org/10.1182/blood-2015-12-687749" TargetMode="External" /><Relationship Type="http://schemas.openxmlformats.org/officeDocument/2006/relationships/hyperlink" Id="rId112" Target="https://doi.org/10.1182/blood-2016-02-698092" TargetMode="External" /><Relationship Type="http://schemas.openxmlformats.org/officeDocument/2006/relationships/hyperlink" Id="rId126" Target="https://doi.org/10.1182/blood-2016-04-711903" TargetMode="External" /><Relationship Type="http://schemas.openxmlformats.org/officeDocument/2006/relationships/hyperlink" Id="rId154" Target="https://doi.org/10.1182/blood-2017-06-740944" TargetMode="External" /><Relationship Type="http://schemas.openxmlformats.org/officeDocument/2006/relationships/hyperlink" Id="rId160" Target="https://doi.org/10.1182/blood-2017-06-788786" TargetMode="External" /><Relationship Type="http://schemas.openxmlformats.org/officeDocument/2006/relationships/hyperlink" Id="rId166" Target="https://doi.org/10.1186/s12943-023-01723-z" TargetMode="External" /><Relationship Type="http://schemas.openxmlformats.org/officeDocument/2006/relationships/hyperlink" Id="rId132" Target="https://doi.org/10.1186/s13045-018-0681-6" TargetMode="External" /><Relationship Type="http://schemas.openxmlformats.org/officeDocument/2006/relationships/hyperlink" Id="rId162" Target="https://doi.org/10.1200/JCO.2015.65.9789" TargetMode="External" /><Relationship Type="http://schemas.openxmlformats.org/officeDocument/2006/relationships/hyperlink" Id="rId128" Target="https://doi.org/10.1200/JCO.2018.77.8084" TargetMode="External" /><Relationship Type="http://schemas.openxmlformats.org/officeDocument/2006/relationships/hyperlink" Id="rId122" Target="https://doi.org/10.1200/JCO.22.00842" TargetMode="External" /><Relationship Type="http://schemas.openxmlformats.org/officeDocument/2006/relationships/hyperlink" Id="rId146" Target="https://doi.org/10.3390/cancers15030713" TargetMode="External" /><Relationship Type="http://schemas.openxmlformats.org/officeDocument/2006/relationships/hyperlink" Id="rId86" Target="https://doi.org/10.3390/medsci9010003" TargetMode="External" /><Relationship Type="http://schemas.openxmlformats.org/officeDocument/2006/relationships/hyperlink" Id="rId80" Target="https://github.com/htlin222/robust-lit-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Relapsed and Refractory Multiple Myeloma: A Systematic Review of Treatment Advances (2016-2026)</dc:title>
  <dc:creator>Automated Literature Review Pipeline</dc:creator>
  <cp:keywords/>
  <dcterms:created xsi:type="dcterms:W3CDTF">2026-03-26T15:14:18Z</dcterms:created>
  <dcterms:modified xsi:type="dcterms:W3CDTF">2026-03-26T15:14:18Z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Multiple myeloma (MM) is the second most common hematologic malignancy, accounting for approximately 10% of all blood cancers worldwide. Despite significant therapeutic advances over the past two decades, including proteasome inhibitors, immunomodulatory drugs, and anti-CD38 monoclonal antibodies, virtually all patients with MM eventually experience disease relapse1,2. The management of relapsed and refractory multiple myeloma (RRMM) has undergone a paradigm shift with the emergence of novel immunotherapeutic modalities, including chimeric antigen receptor T-cell (CAR-T) therapies, bispecific antibodies, antibody-drug conjugates, and next-generation cereblon E3 ligase modulators. A comprehensive synthesis of evidence evaluating these therapeutic innovations is urgently needed to inform clinical decision-making and identify remaining knowledge gaps.Methods: This systematic review was conducted following the Preferred Reporting Items for Systematic Reviews and Meta-Analyses (PRISMA) 2020 guidelines. A comprehensive literature search was performed across Scopus and PubMed databases for publications from January 2016 through March 2026. The search strategy combined Medical Subject Headings (MeSH) terms and free-text keywords related to relapsed/refractory multiple myeloma and novel therapeutic agents. Study selection followed a multi-stage screening protocol. Quality assessment employed validated instruments including the Newcastle-Ottawa Scale for observational studies, the Cochrane Risk of Bias tool for randomized trials, and GRADE principles for evaluating the overall certainty of evidence. Data were synthesized thematically using narrative methods.Results: The initial search identified 499 records. After screening and eligibility assessment, 50 articles published across 20 journals were included in the qualitative synthesis. The included studies demonstrated a mean citation frequency of 677.56, reflecting a corpus of high-impact and well-referenced works. Key findings revealed that anti-BCMA CAR-T therapies (idecabtagene vicleucel and ciltacabtagene autoleucel) achieved overall response rates exceeding 70% in heavily pretreated populations. Bispecific antibodies targeting BCMA (teclistamab, elranatamab) and GPRC5D (talquetamab) demonstrated promising efficacy as off-the-shelf alternatives. Belantamab mafodotin provided a targeted antibody-drug conjugate option, while selinexor offered a novel mechanism for triple-class refractory disease. Evidence on resistance mechanisms, including biallelic BCMA loss and cereblon pathway mutations, was synthesized alongside evolving sequencing strategies.Conclusions: The treatment landscape for RRMM has been fundamentally transformed by immunotherapeutic innovations between 2016 and 2026. While CAR-T cell therapies and bispecific antibodies represent major advances for patients with limited treatment options, challenges remain regarding durability of responses, management of unique toxicity profiles, optimal sequencing of novel agents, and equitable access. Future research should prioritize head-to-head comparisons, combination strategies, and biomarker-driven approaches to personalize therapy selection in this rapidly evolving field.</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https://raw.githubusercontent.com/citation-style-language/styles/master/american-medical-association.csl</vt:lpwstr>
  </property>
  <property fmtid="{D5CDD505-2E9C-101B-9397-08002B2CF9AE}" pid="8" name="date">
    <vt:lpwstr>2026-03-26</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 Systematic Literature Review</vt:lpwstr>
  </property>
  <property fmtid="{D5CDD505-2E9C-101B-9397-08002B2CF9AE}" pid="14" name="toc-title">
    <vt:lpwstr>Table of contents</vt:lpwstr>
  </property>
</Properties>
</file>