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Bdr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dr>
      </w:tblPr>
      <w:tblGrid>
        <w:gridCol w:w="-1431"/>
        <w:gridCol w:w="-1431"/>
      </w:tblGrid>
      <w:tr>
        <w:tc>
          <w:tcPr>
            <w:tcW w:type="dxa" w:w="-2862"/>
            <w:gridSpan w:val="2"/>
            <w:shd w:val="clear" w:color="auto" w:fill="1B2A4A"/>
            <w:tcMar>
              <w:top w:w="120" w:type="dxa"/>
              <w:bottom w:w="120" w:type="dxa"/>
              <w:left w:w="160" w:type="dxa"/>
              <w:right w:w="160" w:type="dxa"/>
            </w:tcMar>
            <w:tcW w:w="936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Persona 4 — Kenji</w:t>
            </w:r>
            <w:r>
              <w:rPr>
                <w:rFonts w:ascii="Calibri" w:hAnsi="Calibri"/>
                <w:b w:val="0"/>
                <w:i/>
                <w:color w:val="E8B850"/>
                <w:sz w:val="22"/>
              </w:rPr>
              <w:t xml:space="preserve">   —   International · Visa-Constrained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Background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MS Computer Science student, graduating. OPT visa—needs H-1B sponsorship within 1 year.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Skills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Python, C++, deep learning (PyTorch), NLP, computer vision. Published research.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Target Roles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Research Scientist, ML Engineer, Applied Scientist, AI Engineer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Preferences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US only. Salary ≥ $120K. Prefers known H-1B sponsors (large tech, research labs).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Dealbreakers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No contract/temp roles (visa incompatible). No companies that don’t sponsor.</w:t>
            </w:r>
          </w:p>
        </w:tc>
      </w:tr>
    </w:tbl>
    <w:sectPr w:rsidR="00FC693F" w:rsidRPr="0006063C" w:rsidSect="00034616">
      <w:pgSz w:w="19" w:h="2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