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48"/>
          <w:szCs w:val="4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48"/>
          <w:szCs w:val="4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Crowdfunding: A Decentralized Transparent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48"/>
          <w:szCs w:val="4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48"/>
          <w:szCs w:val="4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Funding Platform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20" w:after="12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Nyi Nyi Lwin, Ashwitha Maram, Ashwanth Maram, Raj Mandaliya,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20" w:after="12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Vinukonda Yashwanth Reddy, Naveen Pesalabanda</w:t>
      </w:r>
    </w:p>
    <w:p>
      <w:pPr>
        <w:pStyle w:val="Body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  <w:lang w:val="en-US"/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6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Seidenberg School Of Computer Science and Information Systems, Pace University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6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One Pace Plaza, New York, NY 10038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6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6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instrText xml:space="preserve"> HYPERLINK "mailto:nl55428n@pace.edu"</w:instrTex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t>nl55428n@pace.edu</w:t>
      </w:r>
      <w: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instrText xml:space="preserve"> HYPERLINK "mailto:am47139n@pace.edu"</w:instrTex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t>am47139n@pace.edu</w:t>
      </w:r>
      <w: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instrText xml:space="preserve"> HYPERLINK "mailto:am381510n@pace.edu"</w:instrText>
      </w:r>
      <w:r>
        <w:rPr>
          <w:rStyle w:val="Hyperlink.0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t>am381510n@pace.edu</w:t>
      </w:r>
      <w: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18"/>
          <w:szCs w:val="18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60" w:line="240" w:lineRule="auto"/>
        <w:ind w:left="0" w:right="0" w:firstLine="0"/>
        <w:jc w:val="center"/>
        <w:outlineLvl w:val="9"/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Hyperlink.1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instrText xml:space="preserve"> HYPERLINK "mailto:rm25003n@pace.edu"</w:instrText>
      </w:r>
      <w:r>
        <w:rPr>
          <w:rStyle w:val="Hyperlink.1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t>rm25003n@pace.edu</w:t>
      </w:r>
      <w:r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Hyperlink.1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instrText xml:space="preserve"> HYPERLINK "mailto:yv76986n@pace.edu"</w:instrText>
      </w:r>
      <w:r>
        <w:rPr>
          <w:rStyle w:val="Hyperlink.1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t>yv76986n@pace.edu</w:t>
      </w:r>
      <w:r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Hyperlink.1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instrText xml:space="preserve"> HYPERLINK "mailto:np21371n@pace.edu"</w:instrText>
      </w:r>
      <w:r>
        <w:rPr>
          <w:rStyle w:val="Hyperlink.1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ff"/>
          <w:spacing w:val="0"/>
          <w:kern w:val="0"/>
          <w:position w:val="0"/>
          <w:sz w:val="22"/>
          <w:szCs w:val="22"/>
          <w:u w:val="single" w:color="0000ff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FF"/>
            </w14:solidFill>
          </w14:textFill>
        </w:rPr>
        <w:t>np21371n@pace.edu</w:t>
      </w:r>
      <w:r>
        <w:rPr>
          <w:rFonts w:ascii="Times New Roman" w:cs="Times New Roman" w:hAnsi="Times New Roman" w:eastAsia="Times New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rFonts w:ascii="Times New Roman" w:cs="Arial Unicode MS" w:hAnsi="Times New Roman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0"/>
          <w:szCs w:val="20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bidi w:val="0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User Manual 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1. Purpose of This Manual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manual is written for </w:t>
      </w:r>
      <w:r>
        <w:rPr>
          <w:rFonts w:ascii="Times Roman" w:hAnsi="Times Roman"/>
          <w:b w:val="1"/>
          <w:bCs w:val="1"/>
          <w:rtl w:val="0"/>
          <w:lang w:val="en-US"/>
        </w:rPr>
        <w:t>end users</w:t>
      </w:r>
      <w:r>
        <w:rPr>
          <w:rFonts w:ascii="Times Roman" w:hAnsi="Times Roman"/>
          <w:rtl w:val="0"/>
          <w:lang w:val="en-US"/>
        </w:rPr>
        <w:t xml:space="preserve">. It explains how to use the Crowdfunding application deployed on the </w:t>
      </w:r>
      <w:r>
        <w:rPr>
          <w:rFonts w:ascii="Times Roman" w:hAnsi="Times Roman"/>
          <w:b w:val="1"/>
          <w:bCs w:val="1"/>
          <w:rtl w:val="0"/>
          <w:lang w:val="en-US"/>
        </w:rPr>
        <w:t>Sepolia Ethereum test network</w:t>
      </w:r>
      <w:r>
        <w:rPr>
          <w:rFonts w:ascii="Times Roman" w:hAnsi="Times Roman"/>
          <w:rtl w:val="0"/>
          <w:lang w:val="en-US"/>
        </w:rPr>
        <w:t>, including how to send funds, verify transactions, and request refunds. No technical or programming knowledge is required.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Application Overview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Crowdfunding application allows users to: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Contribute ETH to a fundraising campaign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campaign progress on the blockchain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Receive a refund if the campaign fails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 actions are handled securely by a smart contract.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Requirements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Before using the application, users must have: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Google Chrome browser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MetaMask Chrome extension installed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Sepolia test network enabled in MetaMask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Sepolia ETH (from a testnet faucet)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Switching to Sepolia Network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the MetaMask Chrome extension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Click the network dropdown at the top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Enable </w:t>
      </w:r>
      <w:r>
        <w:rPr>
          <w:rFonts w:ascii="Times Roman" w:hAnsi="Times Roman"/>
          <w:b w:val="1"/>
          <w:bCs w:val="1"/>
          <w:rtl w:val="0"/>
          <w:lang w:val="en-US"/>
        </w:rPr>
        <w:t>Show test networks</w:t>
      </w:r>
      <w:r>
        <w:rPr>
          <w:rFonts w:ascii="Times Roman" w:hAnsi="Times Roman"/>
          <w:rtl w:val="0"/>
          <w:lang w:val="en-US"/>
        </w:rPr>
        <w:t xml:space="preserve"> (if not already enabled)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Select </w:t>
      </w:r>
      <w:r>
        <w:rPr>
          <w:rFonts w:ascii="Times Roman" w:hAnsi="Times Roman"/>
          <w:b w:val="1"/>
          <w:bCs w:val="1"/>
          <w:rtl w:val="0"/>
          <w:lang w:val="en-US"/>
        </w:rPr>
        <w:t>Sepolia test network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Finding the Smart Contract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outline w:val="0"/>
          <w:color w:val="0000ee"/>
          <w:u w:val="single"/>
          <w:lang w:val="nl-NL"/>
          <w14:textFill>
            <w14:solidFill>
              <w14:srgbClr w14:val="0000EE"/>
            </w14:solidFill>
          </w14:textFill>
        </w:rPr>
      </w:pPr>
      <w:r>
        <w:rPr>
          <w:rFonts w:ascii="Times Roman" w:hAnsi="Times Roman"/>
          <w:outline w:val="0"/>
          <w:color w:val="000000"/>
          <w:u w:val="none"/>
          <w:rtl w:val="0"/>
          <w:lang w:val="nl-NL"/>
          <w14:textFill>
            <w14:solidFill>
              <w14:srgbClr w14:val="000000"/>
            </w14:solidFill>
          </w14:textFill>
        </w:rPr>
        <w:t xml:space="preserve">Open </w:t>
      </w:r>
      <w:r>
        <w:rPr>
          <w:rStyle w:val="Link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Link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"https://sepolia.etherscan.io/"</w:instrText>
      </w:r>
      <w:r>
        <w:rPr>
          <w:rStyle w:val="Link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Link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https://sepolia.etherscan.io/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Paste the provided contract address into the search bar</w:t>
      </w:r>
      <w:r>
        <w:rPr>
          <w:rFonts w:ascii="Times Roman" w:hAnsi="Times Roman"/>
          <w:rtl w:val="0"/>
          <w:lang w:val="en-US"/>
        </w:rPr>
        <w:t xml:space="preserve"> (The address that is mentioned in the deployment manual)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the contract page to view balance and transactions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 Contributing to the Campaign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Open MetaMask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Ensure Sepolia network is selected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Click </w:t>
      </w:r>
      <w:r>
        <w:rPr>
          <w:rFonts w:ascii="Times Roman" w:hAnsi="Times Roman"/>
          <w:b w:val="1"/>
          <w:bCs w:val="1"/>
          <w:rtl w:val="0"/>
          <w:lang w:val="de-DE"/>
        </w:rPr>
        <w:t>Send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Paste the smart contract address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Enter the amount of ETH to contribute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 the transaction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After confirmation, your contribution is recorded on the blockchain.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 Verifying Your Contribution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Users can verify their contribution by: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Opening Sepolia Etherscan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Searching their wallet address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Viewing the transaction sent to the contract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 Campaign Results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Successful Campaign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funding target is reached before the deadline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Funds remain in the contract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Campaign is considered successful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Failed Campaign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Target is not reached before the deadline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Contributors are eligible for refunds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 Requesting a Refund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campaign fails: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the contract page on Sepolia Etherscan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Navigate to </w:t>
      </w:r>
      <w:r>
        <w:rPr>
          <w:rFonts w:ascii="Times Roman" w:hAnsi="Times Roman"/>
          <w:b w:val="1"/>
          <w:bCs w:val="1"/>
          <w:rtl w:val="0"/>
          <w:lang w:val="en-US"/>
        </w:rPr>
        <w:t>Write Contract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Connect MetaMask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Call the </w:t>
      </w:r>
      <w:r>
        <w:rPr>
          <w:rFonts w:ascii="Courier" w:hAnsi="Courier"/>
          <w:sz w:val="26"/>
          <w:szCs w:val="26"/>
          <w:rtl w:val="0"/>
          <w:lang w:val="en-US"/>
        </w:rPr>
        <w:t>refund()</w:t>
      </w:r>
      <w:r>
        <w:rPr>
          <w:rFonts w:ascii="Times Roman" w:hAnsi="Times Roman"/>
          <w:rtl w:val="0"/>
          <w:lang w:val="en-US"/>
        </w:rPr>
        <w:t xml:space="preserve"> function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 the transaction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contributed ETH will be returned to the user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wallet.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 Transaction Fees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 actions require a small amount of Sepolia ETH as gas fees. These are test-network fees and have no real monetary value.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 Safety Guidelines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Always verify the contract address before sending ETH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use Ethereum Mainnet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 not share your MetaMask private key or recovery phrase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 End of User Manual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This concludes the user guide for using the Crowdfunding application.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rFonts w:ascii="Times New Roman" w:cs="Times New Roman" w:hAnsi="Times New Roman" w:eastAsia="Times New Roman"/>
      <w:outline w:val="0"/>
      <w:color w:val="0000ff"/>
      <w:sz w:val="22"/>
      <w:szCs w:val="22"/>
      <w:u w:color="0000ff"/>
      <w14:textFill>
        <w14:solidFill>
          <w14:srgbClr w14:val="0000FF"/>
        </w14:solidFill>
      </w14:textFill>
    </w:rPr>
  </w:style>
  <w:style w:type="character" w:styleId="Hyperlink.1">
    <w:name w:val="Hyperlink.1"/>
    <w:basedOn w:val="Link"/>
    <w:next w:val="Hyperlink.1"/>
    <w:rPr>
      <w:rFonts w:ascii="Times New Roman" w:cs="Times New Roman" w:hAnsi="Times New Roman" w:eastAsia="Times New Roman"/>
      <w:outline w:val="0"/>
      <w:color w:val="0000ff"/>
      <w:sz w:val="22"/>
      <w:szCs w:val="22"/>
      <w:u w:color="0000ff"/>
      <w14:textFill>
        <w14:solidFill>
          <w14:srgbClr w14:val="0000FF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