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4700" w14:textId="77777777" w:rsidR="00602EE9" w:rsidRPr="004F53E4" w:rsidRDefault="00602EE9" w:rsidP="004F53E4">
      <w:pPr>
        <w:spacing w:line="22" w:lineRule="atLeast"/>
        <w:jc w:val="center"/>
        <w:rPr>
          <w:b/>
          <w:sz w:val="22"/>
          <w:szCs w:val="22"/>
        </w:rPr>
      </w:pPr>
      <w:r w:rsidRPr="004F53E4">
        <w:rPr>
          <w:b/>
          <w:sz w:val="22"/>
          <w:szCs w:val="22"/>
        </w:rPr>
        <w:t>Term Sheet</w:t>
      </w:r>
      <w:r w:rsidR="003B314E" w:rsidRPr="004F53E4">
        <w:rPr>
          <w:b/>
          <w:sz w:val="22"/>
          <w:szCs w:val="22"/>
        </w:rPr>
        <w:t xml:space="preserve"> </w:t>
      </w:r>
      <w:r w:rsidR="002532DB" w:rsidRPr="004F53E4">
        <w:rPr>
          <w:b/>
          <w:sz w:val="22"/>
          <w:szCs w:val="22"/>
        </w:rPr>
        <w:t>–</w:t>
      </w:r>
      <w:r w:rsidR="003B314E" w:rsidRPr="004F53E4">
        <w:rPr>
          <w:b/>
          <w:sz w:val="22"/>
          <w:szCs w:val="22"/>
        </w:rPr>
        <w:t xml:space="preserve"> DRAFT</w:t>
      </w:r>
    </w:p>
    <w:p w14:paraId="05D07E8E" w14:textId="77777777" w:rsidR="002532DB" w:rsidRDefault="002532DB" w:rsidP="004F53E4">
      <w:pPr>
        <w:spacing w:line="22" w:lineRule="atLeast"/>
        <w:jc w:val="center"/>
        <w:rPr>
          <w:b/>
          <w:sz w:val="22"/>
          <w:szCs w:val="22"/>
        </w:rPr>
      </w:pPr>
    </w:p>
    <w:p w14:paraId="2A93BFDD" w14:textId="77777777" w:rsidR="004F53E4" w:rsidRPr="004F53E4" w:rsidRDefault="004F53E4" w:rsidP="004F53E4">
      <w:pPr>
        <w:spacing w:line="22" w:lineRule="atLeast"/>
        <w:jc w:val="center"/>
        <w:rPr>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025"/>
      </w:tblGrid>
      <w:tr w:rsidR="008E17EE" w:rsidRPr="004F53E4" w14:paraId="454F7DAB" w14:textId="77777777" w:rsidTr="008E17EE">
        <w:tc>
          <w:tcPr>
            <w:tcW w:w="2605" w:type="dxa"/>
          </w:tcPr>
          <w:p w14:paraId="0134568F" w14:textId="77777777" w:rsidR="008E17EE" w:rsidRPr="004F53E4" w:rsidRDefault="008E17EE" w:rsidP="004F53E4">
            <w:pPr>
              <w:spacing w:line="22" w:lineRule="atLeast"/>
              <w:rPr>
                <w:b/>
                <w:sz w:val="22"/>
                <w:szCs w:val="22"/>
              </w:rPr>
            </w:pPr>
            <w:r w:rsidRPr="004F53E4">
              <w:rPr>
                <w:b/>
                <w:bCs/>
                <w:sz w:val="22"/>
                <w:szCs w:val="22"/>
              </w:rPr>
              <w:t>Issuer:</w:t>
            </w:r>
          </w:p>
        </w:tc>
        <w:tc>
          <w:tcPr>
            <w:tcW w:w="6025" w:type="dxa"/>
          </w:tcPr>
          <w:p w14:paraId="4FE9542F" w14:textId="77777777" w:rsidR="008E17EE" w:rsidRPr="004F53E4" w:rsidRDefault="008E17EE" w:rsidP="004F53E4">
            <w:pPr>
              <w:spacing w:line="22" w:lineRule="atLeast"/>
              <w:rPr>
                <w:b/>
                <w:sz w:val="22"/>
                <w:szCs w:val="22"/>
              </w:rPr>
            </w:pPr>
            <w:r w:rsidRPr="004F53E4">
              <w:rPr>
                <w:sz w:val="22"/>
                <w:szCs w:val="22"/>
              </w:rPr>
              <w:t>[Name] (the “</w:t>
            </w:r>
            <w:r w:rsidRPr="00385A83">
              <w:rPr>
                <w:b/>
                <w:sz w:val="22"/>
                <w:szCs w:val="22"/>
              </w:rPr>
              <w:t>Corporation</w:t>
            </w:r>
            <w:r w:rsidRPr="004F53E4">
              <w:rPr>
                <w:sz w:val="22"/>
                <w:szCs w:val="22"/>
              </w:rPr>
              <w:t>”)</w:t>
            </w:r>
          </w:p>
        </w:tc>
      </w:tr>
      <w:tr w:rsidR="008E17EE" w:rsidRPr="004F53E4" w14:paraId="2537299C" w14:textId="77777777" w:rsidTr="008E17EE">
        <w:tc>
          <w:tcPr>
            <w:tcW w:w="2605" w:type="dxa"/>
          </w:tcPr>
          <w:p w14:paraId="1594F253" w14:textId="77777777" w:rsidR="008E17EE" w:rsidRPr="004F53E4" w:rsidRDefault="008E17EE" w:rsidP="004F53E4">
            <w:pPr>
              <w:spacing w:line="22" w:lineRule="atLeast"/>
              <w:rPr>
                <w:b/>
                <w:bCs/>
                <w:sz w:val="22"/>
                <w:szCs w:val="22"/>
              </w:rPr>
            </w:pPr>
          </w:p>
        </w:tc>
        <w:tc>
          <w:tcPr>
            <w:tcW w:w="6025" w:type="dxa"/>
          </w:tcPr>
          <w:p w14:paraId="0E210E88" w14:textId="77777777" w:rsidR="008E17EE" w:rsidRPr="004F53E4" w:rsidRDefault="008E17EE" w:rsidP="004F53E4">
            <w:pPr>
              <w:spacing w:line="22" w:lineRule="atLeast"/>
              <w:rPr>
                <w:sz w:val="22"/>
                <w:szCs w:val="22"/>
              </w:rPr>
            </w:pPr>
          </w:p>
        </w:tc>
      </w:tr>
      <w:tr w:rsidR="008E17EE" w:rsidRPr="004F53E4" w14:paraId="61F64E91" w14:textId="77777777" w:rsidTr="008E17EE">
        <w:tc>
          <w:tcPr>
            <w:tcW w:w="2605" w:type="dxa"/>
          </w:tcPr>
          <w:p w14:paraId="504413F9" w14:textId="77777777" w:rsidR="008E17EE" w:rsidRPr="004F53E4" w:rsidRDefault="008E17EE" w:rsidP="004F53E4">
            <w:pPr>
              <w:spacing w:line="22" w:lineRule="atLeast"/>
              <w:rPr>
                <w:b/>
                <w:sz w:val="22"/>
                <w:szCs w:val="22"/>
              </w:rPr>
            </w:pPr>
            <w:r w:rsidRPr="004F53E4">
              <w:rPr>
                <w:b/>
                <w:bCs/>
                <w:sz w:val="22"/>
                <w:szCs w:val="22"/>
              </w:rPr>
              <w:t>Nature of the Offering:</w:t>
            </w:r>
          </w:p>
        </w:tc>
        <w:tc>
          <w:tcPr>
            <w:tcW w:w="6025" w:type="dxa"/>
          </w:tcPr>
          <w:p w14:paraId="5EBF0A2D" w14:textId="77777777" w:rsidR="008E17EE" w:rsidRPr="004F53E4" w:rsidRDefault="008E17EE" w:rsidP="004F53E4">
            <w:pPr>
              <w:spacing w:line="22" w:lineRule="atLeast"/>
              <w:rPr>
                <w:b/>
                <w:sz w:val="22"/>
                <w:szCs w:val="22"/>
              </w:rPr>
            </w:pPr>
            <w:r w:rsidRPr="004F53E4">
              <w:rPr>
                <w:sz w:val="22"/>
                <w:szCs w:val="22"/>
              </w:rPr>
              <w:t>[Brokered or non-brokered] [private placement] (the “</w:t>
            </w:r>
            <w:r w:rsidRPr="00385A83">
              <w:rPr>
                <w:b/>
                <w:sz w:val="22"/>
                <w:szCs w:val="22"/>
              </w:rPr>
              <w:t>Offering</w:t>
            </w:r>
            <w:r w:rsidRPr="004F53E4">
              <w:rPr>
                <w:sz w:val="22"/>
                <w:szCs w:val="22"/>
              </w:rPr>
              <w:t>”) of [Common Shares]</w:t>
            </w:r>
          </w:p>
        </w:tc>
      </w:tr>
      <w:tr w:rsidR="008E17EE" w:rsidRPr="004F53E4" w14:paraId="541715B0" w14:textId="77777777" w:rsidTr="008E17EE">
        <w:tc>
          <w:tcPr>
            <w:tcW w:w="2605" w:type="dxa"/>
          </w:tcPr>
          <w:p w14:paraId="4130F1EF" w14:textId="77777777" w:rsidR="008E17EE" w:rsidRPr="004F53E4" w:rsidRDefault="008E17EE" w:rsidP="004F53E4">
            <w:pPr>
              <w:spacing w:line="22" w:lineRule="atLeast"/>
              <w:rPr>
                <w:b/>
                <w:bCs/>
                <w:sz w:val="22"/>
                <w:szCs w:val="22"/>
              </w:rPr>
            </w:pPr>
          </w:p>
        </w:tc>
        <w:tc>
          <w:tcPr>
            <w:tcW w:w="6025" w:type="dxa"/>
          </w:tcPr>
          <w:p w14:paraId="0DBE2ED3" w14:textId="77777777" w:rsidR="008E17EE" w:rsidRPr="004F53E4" w:rsidRDefault="008E17EE" w:rsidP="004F53E4">
            <w:pPr>
              <w:spacing w:line="22" w:lineRule="atLeast"/>
              <w:rPr>
                <w:sz w:val="22"/>
                <w:szCs w:val="22"/>
              </w:rPr>
            </w:pPr>
          </w:p>
        </w:tc>
      </w:tr>
      <w:tr w:rsidR="008E17EE" w:rsidRPr="004F53E4" w14:paraId="67BF7E6D" w14:textId="77777777" w:rsidTr="008E17EE">
        <w:tc>
          <w:tcPr>
            <w:tcW w:w="2605" w:type="dxa"/>
          </w:tcPr>
          <w:p w14:paraId="14A7F441" w14:textId="77777777" w:rsidR="008E17EE" w:rsidRPr="004F53E4" w:rsidRDefault="008E17EE" w:rsidP="004F53E4">
            <w:pPr>
              <w:spacing w:line="22" w:lineRule="atLeast"/>
              <w:rPr>
                <w:b/>
                <w:sz w:val="22"/>
                <w:szCs w:val="22"/>
              </w:rPr>
            </w:pPr>
            <w:r w:rsidRPr="004F53E4">
              <w:rPr>
                <w:b/>
                <w:bCs/>
                <w:sz w:val="22"/>
                <w:szCs w:val="22"/>
              </w:rPr>
              <w:t>Type of Security:</w:t>
            </w:r>
          </w:p>
          <w:p w14:paraId="0A5229FF" w14:textId="77777777" w:rsidR="008E17EE" w:rsidRPr="004F53E4" w:rsidRDefault="008E17EE" w:rsidP="004F53E4">
            <w:pPr>
              <w:spacing w:line="22" w:lineRule="atLeast"/>
              <w:rPr>
                <w:b/>
                <w:bCs/>
                <w:sz w:val="22"/>
                <w:szCs w:val="22"/>
              </w:rPr>
            </w:pPr>
          </w:p>
        </w:tc>
        <w:tc>
          <w:tcPr>
            <w:tcW w:w="6025" w:type="dxa"/>
          </w:tcPr>
          <w:p w14:paraId="0D21E0F3" w14:textId="77777777" w:rsidR="008E17EE" w:rsidRPr="004F53E4" w:rsidRDefault="008E17EE" w:rsidP="004F53E4">
            <w:pPr>
              <w:spacing w:line="22" w:lineRule="atLeast"/>
              <w:rPr>
                <w:sz w:val="22"/>
                <w:szCs w:val="22"/>
              </w:rPr>
            </w:pPr>
            <w:r w:rsidRPr="004F53E4">
              <w:rPr>
                <w:sz w:val="22"/>
                <w:szCs w:val="22"/>
              </w:rPr>
              <w:t>[Common Shares]</w:t>
            </w:r>
            <w:r w:rsidR="00385A83">
              <w:rPr>
                <w:sz w:val="22"/>
                <w:szCs w:val="22"/>
              </w:rPr>
              <w:t xml:space="preserve"> (“</w:t>
            </w:r>
            <w:r w:rsidR="00385A83" w:rsidRPr="00385A83">
              <w:rPr>
                <w:b/>
                <w:sz w:val="22"/>
                <w:szCs w:val="22"/>
              </w:rPr>
              <w:t>Common Shares</w:t>
            </w:r>
            <w:r w:rsidR="00385A83">
              <w:rPr>
                <w:sz w:val="22"/>
                <w:szCs w:val="22"/>
              </w:rPr>
              <w:t>”)</w:t>
            </w:r>
          </w:p>
        </w:tc>
      </w:tr>
      <w:tr w:rsidR="008E17EE" w:rsidRPr="004F53E4" w14:paraId="46EB4A32" w14:textId="77777777" w:rsidTr="008E17EE">
        <w:tc>
          <w:tcPr>
            <w:tcW w:w="2605" w:type="dxa"/>
          </w:tcPr>
          <w:p w14:paraId="3862059F" w14:textId="77777777" w:rsidR="008E17EE" w:rsidRPr="004F53E4" w:rsidRDefault="008E17EE" w:rsidP="004F53E4">
            <w:pPr>
              <w:spacing w:line="22" w:lineRule="atLeast"/>
              <w:rPr>
                <w:b/>
                <w:bCs/>
                <w:sz w:val="22"/>
                <w:szCs w:val="22"/>
              </w:rPr>
            </w:pPr>
            <w:r w:rsidRPr="004F53E4">
              <w:rPr>
                <w:b/>
                <w:bCs/>
                <w:sz w:val="22"/>
                <w:szCs w:val="22"/>
              </w:rPr>
              <w:t>Offering Size:</w:t>
            </w:r>
          </w:p>
        </w:tc>
        <w:tc>
          <w:tcPr>
            <w:tcW w:w="6025" w:type="dxa"/>
          </w:tcPr>
          <w:p w14:paraId="237E7F6D" w14:textId="77777777" w:rsidR="008E17EE" w:rsidRPr="004F53E4" w:rsidRDefault="008E17EE" w:rsidP="004F53E4">
            <w:pPr>
              <w:spacing w:line="22" w:lineRule="atLeast"/>
              <w:rPr>
                <w:sz w:val="22"/>
                <w:szCs w:val="22"/>
              </w:rPr>
            </w:pPr>
            <w:r w:rsidRPr="004F53E4">
              <w:rPr>
                <w:sz w:val="22"/>
                <w:szCs w:val="22"/>
              </w:rPr>
              <w:t>[Up to $50 million]</w:t>
            </w:r>
          </w:p>
        </w:tc>
      </w:tr>
      <w:tr w:rsidR="008E17EE" w:rsidRPr="004F53E4" w14:paraId="58B2E17B" w14:textId="77777777" w:rsidTr="008E17EE">
        <w:tc>
          <w:tcPr>
            <w:tcW w:w="2605" w:type="dxa"/>
          </w:tcPr>
          <w:p w14:paraId="4B8A3296" w14:textId="77777777" w:rsidR="008E17EE" w:rsidRPr="004F53E4" w:rsidRDefault="008E17EE" w:rsidP="004F53E4">
            <w:pPr>
              <w:spacing w:line="22" w:lineRule="atLeast"/>
              <w:rPr>
                <w:b/>
                <w:bCs/>
                <w:sz w:val="22"/>
                <w:szCs w:val="22"/>
              </w:rPr>
            </w:pPr>
          </w:p>
        </w:tc>
        <w:tc>
          <w:tcPr>
            <w:tcW w:w="6025" w:type="dxa"/>
          </w:tcPr>
          <w:p w14:paraId="0FC376D7" w14:textId="77777777" w:rsidR="008E17EE" w:rsidRPr="004F53E4" w:rsidRDefault="008E17EE" w:rsidP="004F53E4">
            <w:pPr>
              <w:spacing w:line="22" w:lineRule="atLeast"/>
              <w:rPr>
                <w:sz w:val="22"/>
                <w:szCs w:val="22"/>
              </w:rPr>
            </w:pPr>
          </w:p>
        </w:tc>
      </w:tr>
      <w:tr w:rsidR="008E17EE" w:rsidRPr="004F53E4" w14:paraId="7D0E8430" w14:textId="77777777" w:rsidTr="008E17EE">
        <w:tc>
          <w:tcPr>
            <w:tcW w:w="2605" w:type="dxa"/>
          </w:tcPr>
          <w:p w14:paraId="6181218B" w14:textId="77777777" w:rsidR="008E17EE" w:rsidRPr="004F53E4" w:rsidRDefault="008E17EE" w:rsidP="004F53E4">
            <w:pPr>
              <w:spacing w:line="22" w:lineRule="atLeast"/>
              <w:rPr>
                <w:b/>
                <w:bCs/>
                <w:sz w:val="22"/>
                <w:szCs w:val="22"/>
              </w:rPr>
            </w:pPr>
            <w:r w:rsidRPr="004F53E4">
              <w:rPr>
                <w:b/>
                <w:bCs/>
                <w:sz w:val="22"/>
                <w:szCs w:val="22"/>
              </w:rPr>
              <w:t>Issue Price:</w:t>
            </w:r>
          </w:p>
        </w:tc>
        <w:tc>
          <w:tcPr>
            <w:tcW w:w="6025" w:type="dxa"/>
          </w:tcPr>
          <w:p w14:paraId="31F0C6FC" w14:textId="77777777" w:rsidR="008E17EE" w:rsidRPr="004F53E4" w:rsidRDefault="008E17EE" w:rsidP="004F53E4">
            <w:pPr>
              <w:spacing w:line="22" w:lineRule="atLeast"/>
              <w:rPr>
                <w:sz w:val="22"/>
                <w:szCs w:val="22"/>
              </w:rPr>
            </w:pPr>
            <w:r w:rsidRPr="004F53E4">
              <w:rPr>
                <w:sz w:val="22"/>
                <w:szCs w:val="22"/>
              </w:rPr>
              <w:t>$[10.00] per [Share] (the “</w:t>
            </w:r>
            <w:r w:rsidRPr="00385A83">
              <w:rPr>
                <w:b/>
                <w:sz w:val="22"/>
                <w:szCs w:val="22"/>
              </w:rPr>
              <w:t>Issue Price</w:t>
            </w:r>
            <w:r w:rsidRPr="004F53E4">
              <w:rPr>
                <w:sz w:val="22"/>
                <w:szCs w:val="22"/>
              </w:rPr>
              <w:t>”)</w:t>
            </w:r>
          </w:p>
        </w:tc>
      </w:tr>
      <w:tr w:rsidR="008E17EE" w:rsidRPr="004F53E4" w14:paraId="6E5BF8CF" w14:textId="77777777" w:rsidTr="008E17EE">
        <w:tc>
          <w:tcPr>
            <w:tcW w:w="2605" w:type="dxa"/>
          </w:tcPr>
          <w:p w14:paraId="30F2330E" w14:textId="77777777" w:rsidR="008E17EE" w:rsidRPr="004F53E4" w:rsidRDefault="008E17EE" w:rsidP="004F53E4">
            <w:pPr>
              <w:spacing w:line="22" w:lineRule="atLeast"/>
              <w:rPr>
                <w:b/>
                <w:bCs/>
                <w:sz w:val="22"/>
                <w:szCs w:val="22"/>
              </w:rPr>
            </w:pPr>
          </w:p>
        </w:tc>
        <w:tc>
          <w:tcPr>
            <w:tcW w:w="6025" w:type="dxa"/>
          </w:tcPr>
          <w:p w14:paraId="569D5F40" w14:textId="77777777" w:rsidR="008E17EE" w:rsidRPr="004F53E4" w:rsidRDefault="008E17EE" w:rsidP="004F53E4">
            <w:pPr>
              <w:spacing w:line="22" w:lineRule="atLeast"/>
              <w:rPr>
                <w:sz w:val="22"/>
                <w:szCs w:val="22"/>
              </w:rPr>
            </w:pPr>
          </w:p>
        </w:tc>
      </w:tr>
      <w:tr w:rsidR="008E17EE" w:rsidRPr="004F53E4" w14:paraId="676A94B1" w14:textId="77777777" w:rsidTr="008E17EE">
        <w:tc>
          <w:tcPr>
            <w:tcW w:w="2605" w:type="dxa"/>
          </w:tcPr>
          <w:p w14:paraId="5964FFE1" w14:textId="77777777" w:rsidR="008E17EE" w:rsidRPr="004F53E4" w:rsidRDefault="008E17EE" w:rsidP="004F53E4">
            <w:pPr>
              <w:spacing w:line="22" w:lineRule="atLeast"/>
              <w:rPr>
                <w:b/>
                <w:bCs/>
                <w:sz w:val="22"/>
                <w:szCs w:val="22"/>
              </w:rPr>
            </w:pPr>
            <w:r w:rsidRPr="004F53E4">
              <w:rPr>
                <w:b/>
                <w:bCs/>
                <w:sz w:val="22"/>
                <w:szCs w:val="22"/>
              </w:rPr>
              <w:t>Commission:</w:t>
            </w:r>
          </w:p>
        </w:tc>
        <w:tc>
          <w:tcPr>
            <w:tcW w:w="6025" w:type="dxa"/>
          </w:tcPr>
          <w:p w14:paraId="12B93D1F" w14:textId="77777777" w:rsidR="008E17EE" w:rsidRPr="004F53E4" w:rsidRDefault="008E17EE" w:rsidP="004F53E4">
            <w:pPr>
              <w:spacing w:line="22" w:lineRule="atLeast"/>
              <w:rPr>
                <w:sz w:val="22"/>
                <w:szCs w:val="22"/>
              </w:rPr>
            </w:pPr>
            <w:r w:rsidRPr="004F53E4">
              <w:rPr>
                <w:sz w:val="22"/>
                <w:szCs w:val="22"/>
              </w:rPr>
              <w:t>[6.0]%</w:t>
            </w:r>
          </w:p>
        </w:tc>
      </w:tr>
      <w:tr w:rsidR="008E17EE" w:rsidRPr="004F53E4" w14:paraId="1DCFAFBE" w14:textId="77777777" w:rsidTr="008E17EE">
        <w:tc>
          <w:tcPr>
            <w:tcW w:w="2605" w:type="dxa"/>
          </w:tcPr>
          <w:p w14:paraId="7ED7409C" w14:textId="77777777" w:rsidR="008E17EE" w:rsidRPr="004F53E4" w:rsidRDefault="008E17EE" w:rsidP="004F53E4">
            <w:pPr>
              <w:spacing w:line="22" w:lineRule="atLeast"/>
              <w:rPr>
                <w:b/>
                <w:bCs/>
                <w:sz w:val="22"/>
                <w:szCs w:val="22"/>
              </w:rPr>
            </w:pPr>
          </w:p>
        </w:tc>
        <w:tc>
          <w:tcPr>
            <w:tcW w:w="6025" w:type="dxa"/>
          </w:tcPr>
          <w:p w14:paraId="22D6999C" w14:textId="77777777" w:rsidR="008E17EE" w:rsidRPr="004F53E4" w:rsidRDefault="008E17EE" w:rsidP="004F53E4">
            <w:pPr>
              <w:spacing w:line="22" w:lineRule="atLeast"/>
              <w:rPr>
                <w:sz w:val="22"/>
                <w:szCs w:val="22"/>
              </w:rPr>
            </w:pPr>
          </w:p>
        </w:tc>
      </w:tr>
      <w:tr w:rsidR="008E17EE" w:rsidRPr="004F53E4" w14:paraId="7BEECB2F" w14:textId="77777777" w:rsidTr="008E17EE">
        <w:tc>
          <w:tcPr>
            <w:tcW w:w="2605" w:type="dxa"/>
          </w:tcPr>
          <w:p w14:paraId="4395DD19" w14:textId="77777777" w:rsidR="008E17EE" w:rsidRPr="004F53E4" w:rsidRDefault="008E17EE" w:rsidP="004F53E4">
            <w:pPr>
              <w:spacing w:line="22" w:lineRule="atLeast"/>
              <w:rPr>
                <w:b/>
                <w:bCs/>
                <w:sz w:val="22"/>
                <w:szCs w:val="22"/>
              </w:rPr>
            </w:pPr>
            <w:r w:rsidRPr="004F53E4">
              <w:rPr>
                <w:b/>
                <w:bCs/>
                <w:sz w:val="22"/>
                <w:szCs w:val="22"/>
              </w:rPr>
              <w:t>Capitalization:</w:t>
            </w:r>
          </w:p>
        </w:tc>
        <w:tc>
          <w:tcPr>
            <w:tcW w:w="6025" w:type="dxa"/>
          </w:tcPr>
          <w:p w14:paraId="674FD016" w14:textId="77777777" w:rsidR="008E17EE" w:rsidRPr="004F53E4" w:rsidRDefault="008E17EE" w:rsidP="004F53E4">
            <w:pPr>
              <w:spacing w:line="22" w:lineRule="atLeast"/>
              <w:rPr>
                <w:sz w:val="22"/>
                <w:szCs w:val="22"/>
              </w:rPr>
            </w:pPr>
            <w:r w:rsidRPr="004F53E4">
              <w:rPr>
                <w:sz w:val="22"/>
                <w:szCs w:val="22"/>
              </w:rPr>
              <w:t>Approximately $[60,000,000].  Set forth as “Exhibit [A]”.</w:t>
            </w:r>
          </w:p>
        </w:tc>
      </w:tr>
      <w:tr w:rsidR="008E17EE" w:rsidRPr="004F53E4" w14:paraId="466C5A6B" w14:textId="77777777" w:rsidTr="008E17EE">
        <w:tc>
          <w:tcPr>
            <w:tcW w:w="2605" w:type="dxa"/>
          </w:tcPr>
          <w:p w14:paraId="12F5B932" w14:textId="77777777" w:rsidR="008E17EE" w:rsidRPr="004F53E4" w:rsidRDefault="008E17EE" w:rsidP="004F53E4">
            <w:pPr>
              <w:spacing w:line="22" w:lineRule="atLeast"/>
              <w:rPr>
                <w:b/>
                <w:bCs/>
                <w:sz w:val="22"/>
                <w:szCs w:val="22"/>
              </w:rPr>
            </w:pPr>
          </w:p>
        </w:tc>
        <w:tc>
          <w:tcPr>
            <w:tcW w:w="6025" w:type="dxa"/>
          </w:tcPr>
          <w:p w14:paraId="77CE7506" w14:textId="77777777" w:rsidR="008E17EE" w:rsidRPr="004F53E4" w:rsidRDefault="008E17EE" w:rsidP="004F53E4">
            <w:pPr>
              <w:spacing w:line="22" w:lineRule="atLeast"/>
              <w:rPr>
                <w:sz w:val="22"/>
                <w:szCs w:val="22"/>
              </w:rPr>
            </w:pPr>
          </w:p>
        </w:tc>
      </w:tr>
      <w:tr w:rsidR="008E17EE" w:rsidRPr="004F53E4" w14:paraId="56D07137" w14:textId="77777777" w:rsidTr="008E17EE">
        <w:tc>
          <w:tcPr>
            <w:tcW w:w="2605" w:type="dxa"/>
          </w:tcPr>
          <w:p w14:paraId="45D5A2CC" w14:textId="77777777" w:rsidR="008E17EE" w:rsidRPr="004F53E4" w:rsidRDefault="008E17EE" w:rsidP="004F53E4">
            <w:pPr>
              <w:spacing w:line="22" w:lineRule="atLeast"/>
              <w:rPr>
                <w:b/>
                <w:bCs/>
                <w:sz w:val="22"/>
                <w:szCs w:val="22"/>
              </w:rPr>
            </w:pPr>
            <w:r w:rsidRPr="004F53E4">
              <w:rPr>
                <w:b/>
                <w:bCs/>
                <w:sz w:val="22"/>
                <w:szCs w:val="22"/>
              </w:rPr>
              <w:t>Dividends:</w:t>
            </w:r>
          </w:p>
        </w:tc>
        <w:tc>
          <w:tcPr>
            <w:tcW w:w="6025" w:type="dxa"/>
          </w:tcPr>
          <w:p w14:paraId="2FD3437A" w14:textId="77777777" w:rsidR="008E17EE" w:rsidRPr="004F53E4" w:rsidRDefault="008E17EE" w:rsidP="004F53E4">
            <w:pPr>
              <w:spacing w:line="22" w:lineRule="atLeast"/>
              <w:rPr>
                <w:sz w:val="22"/>
                <w:szCs w:val="22"/>
              </w:rPr>
            </w:pPr>
            <w:r w:rsidRPr="004F53E4">
              <w:rPr>
                <w:sz w:val="22"/>
                <w:szCs w:val="22"/>
              </w:rPr>
              <w:t>[Describe the dividend policy.]</w:t>
            </w:r>
          </w:p>
        </w:tc>
      </w:tr>
      <w:tr w:rsidR="008E17EE" w:rsidRPr="004F53E4" w14:paraId="52196BE8" w14:textId="77777777" w:rsidTr="008E17EE">
        <w:tc>
          <w:tcPr>
            <w:tcW w:w="2605" w:type="dxa"/>
          </w:tcPr>
          <w:p w14:paraId="15943947" w14:textId="77777777" w:rsidR="008E17EE" w:rsidRPr="004F53E4" w:rsidRDefault="008E17EE" w:rsidP="004F53E4">
            <w:pPr>
              <w:spacing w:line="22" w:lineRule="atLeast"/>
              <w:rPr>
                <w:b/>
                <w:bCs/>
                <w:sz w:val="22"/>
                <w:szCs w:val="22"/>
              </w:rPr>
            </w:pPr>
          </w:p>
        </w:tc>
        <w:tc>
          <w:tcPr>
            <w:tcW w:w="6025" w:type="dxa"/>
          </w:tcPr>
          <w:p w14:paraId="72661AA7" w14:textId="77777777" w:rsidR="008E17EE" w:rsidRPr="004F53E4" w:rsidRDefault="008E17EE" w:rsidP="004F53E4">
            <w:pPr>
              <w:spacing w:line="22" w:lineRule="atLeast"/>
              <w:rPr>
                <w:sz w:val="22"/>
                <w:szCs w:val="22"/>
              </w:rPr>
            </w:pPr>
          </w:p>
        </w:tc>
      </w:tr>
      <w:tr w:rsidR="008E17EE" w:rsidRPr="004F53E4" w14:paraId="0CE270A9" w14:textId="77777777" w:rsidTr="008E17EE">
        <w:tc>
          <w:tcPr>
            <w:tcW w:w="2605" w:type="dxa"/>
          </w:tcPr>
          <w:p w14:paraId="344D8B35" w14:textId="77777777" w:rsidR="008E17EE" w:rsidRPr="004F53E4" w:rsidRDefault="008E17EE" w:rsidP="004F53E4">
            <w:pPr>
              <w:spacing w:line="22" w:lineRule="atLeast"/>
              <w:rPr>
                <w:b/>
                <w:bCs/>
                <w:sz w:val="22"/>
                <w:szCs w:val="22"/>
              </w:rPr>
            </w:pPr>
            <w:r w:rsidRPr="004F53E4">
              <w:rPr>
                <w:b/>
                <w:bCs/>
                <w:sz w:val="22"/>
                <w:szCs w:val="22"/>
              </w:rPr>
              <w:t>Preferential Liquidation Rights:</w:t>
            </w:r>
          </w:p>
        </w:tc>
        <w:tc>
          <w:tcPr>
            <w:tcW w:w="6025" w:type="dxa"/>
          </w:tcPr>
          <w:p w14:paraId="1DE2479F" w14:textId="77777777" w:rsidR="008E17EE" w:rsidRPr="004F53E4" w:rsidRDefault="008E17EE" w:rsidP="004F53E4">
            <w:pPr>
              <w:spacing w:line="22" w:lineRule="atLeast"/>
              <w:rPr>
                <w:sz w:val="22"/>
                <w:szCs w:val="22"/>
              </w:rPr>
            </w:pPr>
            <w:r w:rsidRPr="004F53E4">
              <w:rPr>
                <w:sz w:val="22"/>
                <w:szCs w:val="22"/>
              </w:rPr>
              <w:t>[Describe any liquidation preferences.]</w:t>
            </w:r>
          </w:p>
        </w:tc>
      </w:tr>
      <w:tr w:rsidR="008E17EE" w:rsidRPr="004F53E4" w14:paraId="4626B11D" w14:textId="77777777" w:rsidTr="008E17EE">
        <w:tc>
          <w:tcPr>
            <w:tcW w:w="2605" w:type="dxa"/>
          </w:tcPr>
          <w:p w14:paraId="6608CB53" w14:textId="77777777" w:rsidR="008E17EE" w:rsidRPr="004F53E4" w:rsidRDefault="008E17EE" w:rsidP="004F53E4">
            <w:pPr>
              <w:spacing w:line="22" w:lineRule="atLeast"/>
              <w:rPr>
                <w:b/>
                <w:bCs/>
                <w:sz w:val="22"/>
                <w:szCs w:val="22"/>
              </w:rPr>
            </w:pPr>
          </w:p>
        </w:tc>
        <w:tc>
          <w:tcPr>
            <w:tcW w:w="6025" w:type="dxa"/>
          </w:tcPr>
          <w:p w14:paraId="7A6D1760" w14:textId="77777777" w:rsidR="008E17EE" w:rsidRPr="004F53E4" w:rsidRDefault="008E17EE" w:rsidP="004F53E4">
            <w:pPr>
              <w:spacing w:line="22" w:lineRule="atLeast"/>
              <w:rPr>
                <w:sz w:val="22"/>
                <w:szCs w:val="22"/>
              </w:rPr>
            </w:pPr>
          </w:p>
        </w:tc>
      </w:tr>
      <w:tr w:rsidR="008E17EE" w:rsidRPr="004F53E4" w14:paraId="35E532B2" w14:textId="77777777" w:rsidTr="008E17EE">
        <w:tc>
          <w:tcPr>
            <w:tcW w:w="2605" w:type="dxa"/>
          </w:tcPr>
          <w:p w14:paraId="55658D76" w14:textId="77777777" w:rsidR="008E17EE" w:rsidRPr="004F53E4" w:rsidRDefault="008E17EE" w:rsidP="004F53E4">
            <w:pPr>
              <w:spacing w:line="22" w:lineRule="atLeast"/>
              <w:rPr>
                <w:b/>
                <w:bCs/>
                <w:sz w:val="22"/>
                <w:szCs w:val="22"/>
              </w:rPr>
            </w:pPr>
            <w:r w:rsidRPr="004F53E4">
              <w:rPr>
                <w:b/>
                <w:bCs/>
                <w:sz w:val="22"/>
                <w:szCs w:val="22"/>
              </w:rPr>
              <w:t>Definition of Liquidation Event:</w:t>
            </w:r>
          </w:p>
        </w:tc>
        <w:tc>
          <w:tcPr>
            <w:tcW w:w="6025" w:type="dxa"/>
          </w:tcPr>
          <w:p w14:paraId="33F0BF3C" w14:textId="77777777" w:rsidR="008E17EE" w:rsidRPr="004F53E4" w:rsidRDefault="008E17EE" w:rsidP="004F53E4">
            <w:pPr>
              <w:spacing w:line="22" w:lineRule="atLeast"/>
              <w:rPr>
                <w:sz w:val="22"/>
                <w:szCs w:val="22"/>
              </w:rPr>
            </w:pPr>
            <w:r w:rsidRPr="004F53E4">
              <w:rPr>
                <w:sz w:val="22"/>
                <w:szCs w:val="22"/>
              </w:rPr>
              <w:t>[Include definition from legal counsel.]</w:t>
            </w:r>
          </w:p>
        </w:tc>
      </w:tr>
      <w:tr w:rsidR="008E17EE" w:rsidRPr="004F53E4" w14:paraId="1436834B" w14:textId="77777777" w:rsidTr="008E17EE">
        <w:tc>
          <w:tcPr>
            <w:tcW w:w="2605" w:type="dxa"/>
          </w:tcPr>
          <w:p w14:paraId="34D69E99" w14:textId="77777777" w:rsidR="008E17EE" w:rsidRPr="004F53E4" w:rsidRDefault="008E17EE" w:rsidP="004F53E4">
            <w:pPr>
              <w:spacing w:line="22" w:lineRule="atLeast"/>
              <w:rPr>
                <w:b/>
                <w:bCs/>
                <w:sz w:val="22"/>
                <w:szCs w:val="22"/>
              </w:rPr>
            </w:pPr>
          </w:p>
        </w:tc>
        <w:tc>
          <w:tcPr>
            <w:tcW w:w="6025" w:type="dxa"/>
          </w:tcPr>
          <w:p w14:paraId="288F1572" w14:textId="77777777" w:rsidR="008E17EE" w:rsidRPr="004F53E4" w:rsidRDefault="008E17EE" w:rsidP="004F53E4">
            <w:pPr>
              <w:spacing w:line="22" w:lineRule="atLeast"/>
              <w:rPr>
                <w:sz w:val="22"/>
                <w:szCs w:val="22"/>
              </w:rPr>
            </w:pPr>
          </w:p>
        </w:tc>
      </w:tr>
      <w:tr w:rsidR="008E17EE" w:rsidRPr="004F53E4" w14:paraId="12F1A1CB" w14:textId="77777777" w:rsidTr="008E17EE">
        <w:tc>
          <w:tcPr>
            <w:tcW w:w="2605" w:type="dxa"/>
          </w:tcPr>
          <w:p w14:paraId="0A5795A9" w14:textId="77777777" w:rsidR="008E17EE" w:rsidRPr="004F53E4" w:rsidRDefault="008E17EE" w:rsidP="004F53E4">
            <w:pPr>
              <w:spacing w:line="22" w:lineRule="atLeast"/>
              <w:rPr>
                <w:b/>
                <w:bCs/>
                <w:sz w:val="22"/>
                <w:szCs w:val="22"/>
              </w:rPr>
            </w:pPr>
            <w:r w:rsidRPr="004F53E4">
              <w:rPr>
                <w:b/>
                <w:bCs/>
                <w:sz w:val="22"/>
                <w:szCs w:val="22"/>
              </w:rPr>
              <w:t>Conversion Rights:</w:t>
            </w:r>
          </w:p>
        </w:tc>
        <w:tc>
          <w:tcPr>
            <w:tcW w:w="6025" w:type="dxa"/>
          </w:tcPr>
          <w:p w14:paraId="5D153DD3" w14:textId="77777777" w:rsidR="008E17EE" w:rsidRPr="004F53E4" w:rsidRDefault="008E17EE" w:rsidP="004F53E4">
            <w:pPr>
              <w:spacing w:line="22" w:lineRule="atLeast"/>
              <w:rPr>
                <w:sz w:val="22"/>
                <w:szCs w:val="22"/>
              </w:rPr>
            </w:pPr>
            <w:r w:rsidRPr="004F53E4">
              <w:rPr>
                <w:sz w:val="22"/>
                <w:szCs w:val="22"/>
              </w:rPr>
              <w:t>[Describe, if applicable.]</w:t>
            </w:r>
          </w:p>
        </w:tc>
      </w:tr>
      <w:tr w:rsidR="008E17EE" w:rsidRPr="004F53E4" w14:paraId="0B1B13E0" w14:textId="77777777" w:rsidTr="008E17EE">
        <w:tc>
          <w:tcPr>
            <w:tcW w:w="2605" w:type="dxa"/>
          </w:tcPr>
          <w:p w14:paraId="5AD8AFED" w14:textId="77777777" w:rsidR="008E17EE" w:rsidRPr="004F53E4" w:rsidRDefault="008E17EE" w:rsidP="004F53E4">
            <w:pPr>
              <w:spacing w:line="22" w:lineRule="atLeast"/>
              <w:rPr>
                <w:b/>
                <w:bCs/>
                <w:sz w:val="22"/>
                <w:szCs w:val="22"/>
              </w:rPr>
            </w:pPr>
          </w:p>
        </w:tc>
        <w:tc>
          <w:tcPr>
            <w:tcW w:w="6025" w:type="dxa"/>
          </w:tcPr>
          <w:p w14:paraId="45E2065E" w14:textId="77777777" w:rsidR="008E17EE" w:rsidRPr="004F53E4" w:rsidRDefault="008E17EE" w:rsidP="004F53E4">
            <w:pPr>
              <w:spacing w:line="22" w:lineRule="atLeast"/>
              <w:rPr>
                <w:sz w:val="22"/>
                <w:szCs w:val="22"/>
              </w:rPr>
            </w:pPr>
          </w:p>
        </w:tc>
      </w:tr>
      <w:tr w:rsidR="008E17EE" w:rsidRPr="004F53E4" w14:paraId="136B2E2C" w14:textId="77777777" w:rsidTr="008E17EE">
        <w:tc>
          <w:tcPr>
            <w:tcW w:w="2605" w:type="dxa"/>
          </w:tcPr>
          <w:p w14:paraId="28D6360B" w14:textId="77777777" w:rsidR="008E17EE" w:rsidRPr="004F53E4" w:rsidRDefault="008E17EE" w:rsidP="004F53E4">
            <w:pPr>
              <w:spacing w:line="22" w:lineRule="atLeast"/>
              <w:rPr>
                <w:b/>
                <w:bCs/>
                <w:sz w:val="22"/>
                <w:szCs w:val="22"/>
              </w:rPr>
            </w:pPr>
            <w:r w:rsidRPr="004F53E4">
              <w:rPr>
                <w:b/>
                <w:bCs/>
                <w:sz w:val="22"/>
                <w:szCs w:val="22"/>
              </w:rPr>
              <w:t>Anti-Dilution:</w:t>
            </w:r>
          </w:p>
        </w:tc>
        <w:tc>
          <w:tcPr>
            <w:tcW w:w="6025" w:type="dxa"/>
          </w:tcPr>
          <w:p w14:paraId="3CE40A48" w14:textId="77777777" w:rsidR="008E17EE" w:rsidRPr="004F53E4" w:rsidRDefault="008E17EE" w:rsidP="004F53E4">
            <w:pPr>
              <w:spacing w:line="22" w:lineRule="atLeast"/>
              <w:rPr>
                <w:sz w:val="22"/>
                <w:szCs w:val="22"/>
              </w:rPr>
            </w:pPr>
            <w:r w:rsidRPr="004F53E4">
              <w:rPr>
                <w:sz w:val="22"/>
                <w:szCs w:val="22"/>
              </w:rPr>
              <w:t>[For example: The Shares shall have certain customary anti-dilution protection for any share issuances at prices less than the Issue Price based on a weighted average formula, and subject to standard exceptions.]</w:t>
            </w:r>
          </w:p>
        </w:tc>
      </w:tr>
      <w:tr w:rsidR="008E17EE" w:rsidRPr="004F53E4" w14:paraId="1256311B" w14:textId="77777777" w:rsidTr="008E17EE">
        <w:tc>
          <w:tcPr>
            <w:tcW w:w="2605" w:type="dxa"/>
          </w:tcPr>
          <w:p w14:paraId="11D70270" w14:textId="77777777" w:rsidR="008E17EE" w:rsidRPr="004F53E4" w:rsidRDefault="008E17EE" w:rsidP="004F53E4">
            <w:pPr>
              <w:spacing w:line="22" w:lineRule="atLeast"/>
              <w:rPr>
                <w:b/>
                <w:bCs/>
                <w:sz w:val="22"/>
                <w:szCs w:val="22"/>
              </w:rPr>
            </w:pPr>
          </w:p>
        </w:tc>
        <w:tc>
          <w:tcPr>
            <w:tcW w:w="6025" w:type="dxa"/>
          </w:tcPr>
          <w:p w14:paraId="00853BDD" w14:textId="77777777" w:rsidR="008E17EE" w:rsidRPr="004F53E4" w:rsidRDefault="008E17EE" w:rsidP="004F53E4">
            <w:pPr>
              <w:spacing w:line="22" w:lineRule="atLeast"/>
              <w:rPr>
                <w:sz w:val="22"/>
                <w:szCs w:val="22"/>
              </w:rPr>
            </w:pPr>
          </w:p>
        </w:tc>
      </w:tr>
      <w:tr w:rsidR="008E17EE" w:rsidRPr="004F53E4" w14:paraId="6999992D" w14:textId="77777777" w:rsidTr="008E17EE">
        <w:tc>
          <w:tcPr>
            <w:tcW w:w="2605" w:type="dxa"/>
          </w:tcPr>
          <w:p w14:paraId="0FA6858C" w14:textId="77777777" w:rsidR="008E17EE" w:rsidRPr="004F53E4" w:rsidRDefault="008E17EE" w:rsidP="004F53E4">
            <w:pPr>
              <w:spacing w:line="22" w:lineRule="atLeast"/>
              <w:rPr>
                <w:b/>
                <w:bCs/>
                <w:sz w:val="22"/>
                <w:szCs w:val="22"/>
              </w:rPr>
            </w:pPr>
            <w:r w:rsidRPr="004F53E4">
              <w:rPr>
                <w:b/>
                <w:bCs/>
                <w:sz w:val="22"/>
                <w:szCs w:val="22"/>
              </w:rPr>
              <w:t>Voting Rights:</w:t>
            </w:r>
          </w:p>
        </w:tc>
        <w:tc>
          <w:tcPr>
            <w:tcW w:w="6025" w:type="dxa"/>
          </w:tcPr>
          <w:p w14:paraId="025DF556" w14:textId="77777777" w:rsidR="008E17EE" w:rsidRPr="004F53E4" w:rsidRDefault="008E17EE" w:rsidP="004F53E4">
            <w:pPr>
              <w:spacing w:line="22" w:lineRule="atLeast"/>
              <w:rPr>
                <w:sz w:val="22"/>
                <w:szCs w:val="22"/>
              </w:rPr>
            </w:pPr>
            <w:r w:rsidRPr="004F53E4">
              <w:rPr>
                <w:sz w:val="22"/>
                <w:szCs w:val="22"/>
              </w:rPr>
              <w:t>[Describe the voting rights.]</w:t>
            </w:r>
          </w:p>
        </w:tc>
      </w:tr>
      <w:tr w:rsidR="008E17EE" w:rsidRPr="004F53E4" w14:paraId="151E1683" w14:textId="77777777" w:rsidTr="008E17EE">
        <w:tc>
          <w:tcPr>
            <w:tcW w:w="2605" w:type="dxa"/>
          </w:tcPr>
          <w:p w14:paraId="44964CFF" w14:textId="77777777" w:rsidR="008E17EE" w:rsidRPr="004F53E4" w:rsidRDefault="008E17EE" w:rsidP="004F53E4">
            <w:pPr>
              <w:spacing w:line="22" w:lineRule="atLeast"/>
              <w:rPr>
                <w:b/>
                <w:bCs/>
                <w:sz w:val="22"/>
                <w:szCs w:val="22"/>
              </w:rPr>
            </w:pPr>
          </w:p>
        </w:tc>
        <w:tc>
          <w:tcPr>
            <w:tcW w:w="6025" w:type="dxa"/>
          </w:tcPr>
          <w:p w14:paraId="5514AC2D" w14:textId="77777777" w:rsidR="008E17EE" w:rsidRPr="004F53E4" w:rsidRDefault="008E17EE" w:rsidP="004F53E4">
            <w:pPr>
              <w:spacing w:line="22" w:lineRule="atLeast"/>
              <w:rPr>
                <w:sz w:val="22"/>
                <w:szCs w:val="22"/>
              </w:rPr>
            </w:pPr>
          </w:p>
        </w:tc>
      </w:tr>
      <w:tr w:rsidR="008E17EE" w:rsidRPr="004F53E4" w14:paraId="0956D6D4" w14:textId="77777777" w:rsidTr="008E17EE">
        <w:tc>
          <w:tcPr>
            <w:tcW w:w="2605" w:type="dxa"/>
          </w:tcPr>
          <w:p w14:paraId="3E52631A" w14:textId="77777777" w:rsidR="008E17EE" w:rsidRPr="004F53E4" w:rsidRDefault="008E17EE" w:rsidP="004F53E4">
            <w:pPr>
              <w:spacing w:line="22" w:lineRule="atLeast"/>
              <w:rPr>
                <w:b/>
                <w:bCs/>
                <w:sz w:val="22"/>
                <w:szCs w:val="22"/>
              </w:rPr>
            </w:pPr>
            <w:r w:rsidRPr="004F53E4">
              <w:rPr>
                <w:b/>
                <w:bCs/>
                <w:sz w:val="22"/>
                <w:szCs w:val="22"/>
              </w:rPr>
              <w:t>Use of Proceeds:</w:t>
            </w:r>
          </w:p>
        </w:tc>
        <w:tc>
          <w:tcPr>
            <w:tcW w:w="6025" w:type="dxa"/>
          </w:tcPr>
          <w:p w14:paraId="79B0A92B" w14:textId="77777777" w:rsidR="008E17EE" w:rsidRPr="004F53E4" w:rsidRDefault="008E17EE" w:rsidP="004F53E4">
            <w:pPr>
              <w:spacing w:line="22" w:lineRule="atLeast"/>
              <w:rPr>
                <w:sz w:val="22"/>
                <w:szCs w:val="22"/>
              </w:rPr>
            </w:pPr>
            <w:r w:rsidRPr="004F53E4">
              <w:rPr>
                <w:sz w:val="22"/>
                <w:szCs w:val="22"/>
              </w:rPr>
              <w:t>[The proceeds from the Offering shall be primarily used for general corporate and working capital purposes.]</w:t>
            </w:r>
          </w:p>
        </w:tc>
      </w:tr>
      <w:tr w:rsidR="008E17EE" w:rsidRPr="004F53E4" w14:paraId="3EE3AF9D" w14:textId="77777777" w:rsidTr="008E17EE">
        <w:tc>
          <w:tcPr>
            <w:tcW w:w="2605" w:type="dxa"/>
          </w:tcPr>
          <w:p w14:paraId="637C2E66" w14:textId="77777777" w:rsidR="008E17EE" w:rsidRPr="004F53E4" w:rsidRDefault="008E17EE" w:rsidP="004F53E4">
            <w:pPr>
              <w:spacing w:line="22" w:lineRule="atLeast"/>
              <w:rPr>
                <w:b/>
                <w:bCs/>
                <w:sz w:val="22"/>
                <w:szCs w:val="22"/>
              </w:rPr>
            </w:pPr>
          </w:p>
        </w:tc>
        <w:tc>
          <w:tcPr>
            <w:tcW w:w="6025" w:type="dxa"/>
          </w:tcPr>
          <w:p w14:paraId="2E0CDF6A" w14:textId="77777777" w:rsidR="008E17EE" w:rsidRPr="004F53E4" w:rsidRDefault="008E17EE" w:rsidP="004F53E4">
            <w:pPr>
              <w:spacing w:line="22" w:lineRule="atLeast"/>
              <w:rPr>
                <w:sz w:val="22"/>
                <w:szCs w:val="22"/>
              </w:rPr>
            </w:pPr>
          </w:p>
        </w:tc>
      </w:tr>
      <w:tr w:rsidR="008E17EE" w:rsidRPr="004F53E4" w14:paraId="2BDEB5C2" w14:textId="77777777" w:rsidTr="008E17EE">
        <w:tc>
          <w:tcPr>
            <w:tcW w:w="2605" w:type="dxa"/>
          </w:tcPr>
          <w:p w14:paraId="3FD4E62A" w14:textId="77777777" w:rsidR="008E17EE" w:rsidRPr="004F53E4" w:rsidRDefault="008E17EE" w:rsidP="004F53E4">
            <w:pPr>
              <w:spacing w:line="22" w:lineRule="atLeast"/>
              <w:rPr>
                <w:b/>
                <w:bCs/>
                <w:sz w:val="22"/>
                <w:szCs w:val="22"/>
              </w:rPr>
            </w:pPr>
            <w:r w:rsidRPr="004F53E4">
              <w:rPr>
                <w:b/>
                <w:bCs/>
                <w:sz w:val="22"/>
                <w:szCs w:val="22"/>
              </w:rPr>
              <w:t>Closing Conditions:</w:t>
            </w:r>
          </w:p>
        </w:tc>
        <w:tc>
          <w:tcPr>
            <w:tcW w:w="6025" w:type="dxa"/>
          </w:tcPr>
          <w:p w14:paraId="658EA1B6" w14:textId="77777777" w:rsidR="008E17EE" w:rsidRPr="004F53E4" w:rsidRDefault="008E17EE" w:rsidP="004F53E4">
            <w:pPr>
              <w:spacing w:line="22" w:lineRule="atLeast"/>
              <w:rPr>
                <w:sz w:val="22"/>
                <w:szCs w:val="22"/>
              </w:rPr>
            </w:pPr>
            <w:r w:rsidRPr="004F53E4">
              <w:rPr>
                <w:sz w:val="22"/>
                <w:szCs w:val="22"/>
              </w:rPr>
              <w:t>[Closing of the Offering shall be conditional upon the completion of satisfactory due diligence, the execution of requisite definitive agreements for completion of the Offering, receipt of all requisite corporate approvals and third party consents for the Offering. Etc.]</w:t>
            </w:r>
          </w:p>
        </w:tc>
      </w:tr>
      <w:tr w:rsidR="008E17EE" w:rsidRPr="004F53E4" w14:paraId="39C06780" w14:textId="77777777" w:rsidTr="008E17EE">
        <w:tc>
          <w:tcPr>
            <w:tcW w:w="2605" w:type="dxa"/>
          </w:tcPr>
          <w:p w14:paraId="19EFA9DF" w14:textId="77777777" w:rsidR="008E17EE" w:rsidRPr="004F53E4" w:rsidRDefault="008E17EE" w:rsidP="004F53E4">
            <w:pPr>
              <w:spacing w:line="22" w:lineRule="atLeast"/>
              <w:rPr>
                <w:b/>
                <w:bCs/>
                <w:sz w:val="22"/>
                <w:szCs w:val="22"/>
              </w:rPr>
            </w:pPr>
          </w:p>
        </w:tc>
        <w:tc>
          <w:tcPr>
            <w:tcW w:w="6025" w:type="dxa"/>
          </w:tcPr>
          <w:p w14:paraId="1A54940D" w14:textId="77777777" w:rsidR="008E17EE" w:rsidRPr="004F53E4" w:rsidRDefault="008E17EE" w:rsidP="004F53E4">
            <w:pPr>
              <w:spacing w:line="22" w:lineRule="atLeast"/>
              <w:rPr>
                <w:sz w:val="22"/>
                <w:szCs w:val="22"/>
              </w:rPr>
            </w:pPr>
          </w:p>
        </w:tc>
      </w:tr>
      <w:tr w:rsidR="009F4B99" w:rsidRPr="004F53E4" w14:paraId="3F34DF4C" w14:textId="77777777" w:rsidTr="008E17EE">
        <w:tc>
          <w:tcPr>
            <w:tcW w:w="2605" w:type="dxa"/>
          </w:tcPr>
          <w:p w14:paraId="254F7CDB" w14:textId="77777777" w:rsidR="009F4B99" w:rsidRPr="004F53E4" w:rsidRDefault="009F4B99" w:rsidP="004F53E4">
            <w:pPr>
              <w:spacing w:line="22" w:lineRule="atLeast"/>
              <w:rPr>
                <w:b/>
                <w:bCs/>
                <w:sz w:val="22"/>
                <w:szCs w:val="22"/>
              </w:rPr>
            </w:pPr>
          </w:p>
        </w:tc>
        <w:tc>
          <w:tcPr>
            <w:tcW w:w="6025" w:type="dxa"/>
          </w:tcPr>
          <w:p w14:paraId="7575B1DA" w14:textId="77777777" w:rsidR="009F4B99" w:rsidRPr="004F53E4" w:rsidRDefault="009F4B99" w:rsidP="004F53E4">
            <w:pPr>
              <w:spacing w:line="22" w:lineRule="atLeast"/>
              <w:rPr>
                <w:sz w:val="22"/>
                <w:szCs w:val="22"/>
              </w:rPr>
            </w:pPr>
          </w:p>
        </w:tc>
      </w:tr>
      <w:tr w:rsidR="008E17EE" w:rsidRPr="004F53E4" w14:paraId="277AD1AB" w14:textId="77777777" w:rsidTr="008E17EE">
        <w:tc>
          <w:tcPr>
            <w:tcW w:w="2605" w:type="dxa"/>
          </w:tcPr>
          <w:p w14:paraId="6A673E0C" w14:textId="77777777" w:rsidR="008E17EE" w:rsidRPr="004F53E4" w:rsidRDefault="008E17EE" w:rsidP="004F53E4">
            <w:pPr>
              <w:spacing w:line="22" w:lineRule="atLeast"/>
              <w:rPr>
                <w:b/>
                <w:bCs/>
                <w:sz w:val="22"/>
                <w:szCs w:val="22"/>
              </w:rPr>
            </w:pPr>
            <w:r w:rsidRPr="004F53E4">
              <w:rPr>
                <w:b/>
                <w:bCs/>
                <w:sz w:val="22"/>
                <w:szCs w:val="22"/>
              </w:rPr>
              <w:t>Agent:</w:t>
            </w:r>
          </w:p>
        </w:tc>
        <w:tc>
          <w:tcPr>
            <w:tcW w:w="6025" w:type="dxa"/>
          </w:tcPr>
          <w:p w14:paraId="15C45197" w14:textId="77777777" w:rsidR="008E17EE" w:rsidRPr="004F53E4" w:rsidRDefault="008E17EE" w:rsidP="004F53E4">
            <w:pPr>
              <w:spacing w:line="22" w:lineRule="atLeast"/>
              <w:rPr>
                <w:sz w:val="22"/>
                <w:szCs w:val="22"/>
              </w:rPr>
            </w:pPr>
            <w:r w:rsidRPr="004F53E4">
              <w:rPr>
                <w:sz w:val="22"/>
                <w:szCs w:val="22"/>
              </w:rPr>
              <w:t>[Generic Capital Corp.]</w:t>
            </w:r>
          </w:p>
        </w:tc>
      </w:tr>
      <w:tr w:rsidR="009F4B99" w:rsidRPr="004F53E4" w14:paraId="26A8B677" w14:textId="77777777" w:rsidTr="008E17EE">
        <w:tc>
          <w:tcPr>
            <w:tcW w:w="2605" w:type="dxa"/>
          </w:tcPr>
          <w:p w14:paraId="2DCA4F5C" w14:textId="77777777" w:rsidR="009F4B99" w:rsidRPr="004F53E4" w:rsidRDefault="009F4B99" w:rsidP="004F53E4">
            <w:pPr>
              <w:spacing w:line="22" w:lineRule="atLeast"/>
              <w:rPr>
                <w:b/>
                <w:bCs/>
                <w:sz w:val="22"/>
                <w:szCs w:val="22"/>
              </w:rPr>
            </w:pPr>
          </w:p>
        </w:tc>
        <w:tc>
          <w:tcPr>
            <w:tcW w:w="6025" w:type="dxa"/>
          </w:tcPr>
          <w:p w14:paraId="455345C7" w14:textId="77777777" w:rsidR="009F4B99" w:rsidRPr="004F53E4" w:rsidRDefault="009F4B99" w:rsidP="004F53E4">
            <w:pPr>
              <w:spacing w:line="22" w:lineRule="atLeast"/>
              <w:rPr>
                <w:sz w:val="22"/>
                <w:szCs w:val="22"/>
              </w:rPr>
            </w:pPr>
          </w:p>
        </w:tc>
      </w:tr>
      <w:tr w:rsidR="009F4B99" w:rsidRPr="004F53E4" w14:paraId="40B99B38" w14:textId="77777777" w:rsidTr="008E17EE">
        <w:tc>
          <w:tcPr>
            <w:tcW w:w="2605" w:type="dxa"/>
          </w:tcPr>
          <w:p w14:paraId="316CBE89" w14:textId="77777777" w:rsidR="009F4B99" w:rsidRPr="004F53E4" w:rsidRDefault="009F4B99" w:rsidP="004F53E4">
            <w:pPr>
              <w:spacing w:line="22" w:lineRule="atLeast"/>
              <w:rPr>
                <w:b/>
                <w:bCs/>
                <w:sz w:val="22"/>
                <w:szCs w:val="22"/>
              </w:rPr>
            </w:pPr>
            <w:r w:rsidRPr="004F53E4">
              <w:rPr>
                <w:b/>
                <w:bCs/>
                <w:sz w:val="22"/>
                <w:szCs w:val="22"/>
              </w:rPr>
              <w:t>Closing Date:</w:t>
            </w:r>
          </w:p>
        </w:tc>
        <w:tc>
          <w:tcPr>
            <w:tcW w:w="6025" w:type="dxa"/>
          </w:tcPr>
          <w:p w14:paraId="33D6564D" w14:textId="77777777" w:rsidR="009F4B99" w:rsidRPr="004F53E4" w:rsidRDefault="009F4B99" w:rsidP="004F53E4">
            <w:pPr>
              <w:spacing w:line="22" w:lineRule="atLeast"/>
              <w:rPr>
                <w:sz w:val="22"/>
                <w:szCs w:val="22"/>
              </w:rPr>
            </w:pPr>
            <w:r w:rsidRPr="004F53E4">
              <w:rPr>
                <w:sz w:val="22"/>
                <w:szCs w:val="22"/>
              </w:rPr>
              <w:t>[Date]</w:t>
            </w:r>
            <w:r w:rsidR="00385A83">
              <w:rPr>
                <w:sz w:val="22"/>
                <w:szCs w:val="22"/>
              </w:rPr>
              <w:t xml:space="preserve"> (the “</w:t>
            </w:r>
            <w:r w:rsidR="00385A83" w:rsidRPr="00385A83">
              <w:rPr>
                <w:b/>
                <w:sz w:val="22"/>
                <w:szCs w:val="22"/>
              </w:rPr>
              <w:t>Closing</w:t>
            </w:r>
            <w:r w:rsidR="00385A83">
              <w:rPr>
                <w:sz w:val="22"/>
                <w:szCs w:val="22"/>
              </w:rPr>
              <w:t>”)</w:t>
            </w:r>
          </w:p>
        </w:tc>
      </w:tr>
    </w:tbl>
    <w:p w14:paraId="2B84859E" w14:textId="18EC9145" w:rsidR="00843580" w:rsidRDefault="00843580" w:rsidP="004F53E4">
      <w:pPr>
        <w:spacing w:line="22" w:lineRule="atLeast"/>
        <w:rPr>
          <w:b/>
        </w:rPr>
      </w:pPr>
    </w:p>
    <w:p w14:paraId="02ED000C" w14:textId="77777777" w:rsidR="00034A83" w:rsidRPr="00034A83" w:rsidRDefault="00843580" w:rsidP="00034A83">
      <w:pPr>
        <w:rPr>
          <w:rFonts w:ascii="Open Sans" w:hAnsi="Open Sans" w:cs="Open Sans"/>
          <w:sz w:val="20"/>
          <w:lang w:val="en-CA"/>
        </w:rPr>
      </w:pPr>
      <w:r>
        <w:rPr>
          <w:b/>
        </w:rPr>
        <w:br w:type="page"/>
      </w:r>
      <w:r w:rsidR="00034A83" w:rsidRPr="00034A83">
        <w:rPr>
          <w:rFonts w:ascii="Open Sans" w:hAnsi="Open Sans" w:cs="Open Sans"/>
          <w:sz w:val="20"/>
          <w:lang w:val="en-CA"/>
        </w:rPr>
        <w:lastRenderedPageBreak/>
        <w:t>© 2023 CFI Education Inc.</w:t>
      </w:r>
    </w:p>
    <w:p w14:paraId="592783A8" w14:textId="77777777" w:rsidR="00034A83" w:rsidRPr="00034A83" w:rsidRDefault="00034A83" w:rsidP="00034A83">
      <w:pPr>
        <w:rPr>
          <w:rFonts w:ascii="Open Sans" w:hAnsi="Open Sans" w:cs="Open Sans"/>
          <w:sz w:val="20"/>
          <w:lang w:val="en-CA"/>
        </w:rPr>
      </w:pPr>
    </w:p>
    <w:p w14:paraId="5BF29FD2" w14:textId="77777777" w:rsidR="00034A83" w:rsidRPr="00034A83" w:rsidRDefault="00034A83" w:rsidP="00034A83">
      <w:pPr>
        <w:rPr>
          <w:rFonts w:ascii="Open Sans" w:hAnsi="Open Sans" w:cs="Open Sans"/>
          <w:sz w:val="20"/>
          <w:lang w:val="en-CA"/>
        </w:rPr>
      </w:pPr>
      <w:r w:rsidRPr="00034A83">
        <w:rPr>
          <w:rFonts w:ascii="Open Sans" w:hAnsi="Open Sans" w:cs="Open Sans"/>
          <w:sz w:val="20"/>
          <w:lang w:val="en-CA"/>
        </w:rPr>
        <w:t>This document is for educational purposes only and should not be used for any other reason. All content is Copyright material of CFI Education Inc. 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w:t>
      </w:r>
    </w:p>
    <w:p w14:paraId="67F17F1A" w14:textId="05EA1954" w:rsidR="00843580" w:rsidRPr="00843580" w:rsidRDefault="00034A83" w:rsidP="00034A83">
      <w:pPr>
        <w:rPr>
          <w:b/>
        </w:rPr>
      </w:pPr>
      <w:r w:rsidRPr="00034A83">
        <w:rPr>
          <w:rFonts w:ascii="Open Sans" w:hAnsi="Open Sans" w:cs="Open Sans"/>
          <w:sz w:val="20"/>
          <w:lang w:val="en-CA"/>
        </w:rPr>
        <w:t>https://corporatefinanceinstitute.com/</w:t>
      </w:r>
    </w:p>
    <w:p w14:paraId="435B1976" w14:textId="496D5723" w:rsidR="008E17EE" w:rsidRPr="00843580" w:rsidRDefault="008E17EE" w:rsidP="00843580">
      <w:pPr>
        <w:rPr>
          <w:b/>
          <w:lang w:val="en-CA"/>
        </w:rPr>
      </w:pPr>
    </w:p>
    <w:sectPr w:rsidR="008E17EE" w:rsidRPr="00843580" w:rsidSect="004F53E4">
      <w:headerReference w:type="default" r:id="rId7"/>
      <w:footerReference w:type="default" r:id="rId8"/>
      <w:pgSz w:w="12240" w:h="15840"/>
      <w:pgMar w:top="1260" w:right="1800" w:bottom="117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5D14" w14:textId="77777777" w:rsidR="002D433D" w:rsidRDefault="002D433D" w:rsidP="00B4523D">
      <w:r>
        <w:separator/>
      </w:r>
    </w:p>
  </w:endnote>
  <w:endnote w:type="continuationSeparator" w:id="0">
    <w:p w14:paraId="2352AE2C" w14:textId="77777777" w:rsidR="002D433D" w:rsidRDefault="002D433D" w:rsidP="00B4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9641" w14:textId="77777777" w:rsidR="00B4523D" w:rsidRDefault="00000000" w:rsidP="00B4523D">
    <w:pPr>
      <w:pStyle w:val="Footer"/>
      <w:jc w:val="center"/>
    </w:pPr>
    <w:hyperlink r:id="rId1" w:history="1">
      <w:r w:rsidR="00B4523D" w:rsidRPr="00FF1BF4">
        <w:rPr>
          <w:rStyle w:val="Hyperlink"/>
        </w:rPr>
        <w:t>http://www.corporatefinanceinstitute.com/</w:t>
      </w:r>
    </w:hyperlink>
  </w:p>
  <w:p w14:paraId="7B3BF0BC" w14:textId="77777777" w:rsidR="00B4523D" w:rsidRDefault="00B4523D" w:rsidP="00B4523D">
    <w:pPr>
      <w:pStyle w:val="Footer"/>
      <w:jc w:val="center"/>
      <w:rPr>
        <w:sz w:val="20"/>
        <w:szCs w:val="20"/>
      </w:rPr>
    </w:pPr>
  </w:p>
  <w:p w14:paraId="458F542F" w14:textId="77777777" w:rsidR="00B4523D" w:rsidRPr="00B4523D" w:rsidRDefault="00B4523D" w:rsidP="00B4523D">
    <w:pPr>
      <w:pStyle w:val="Footer"/>
      <w:jc w:val="center"/>
      <w:rPr>
        <w:sz w:val="19"/>
        <w:szCs w:val="19"/>
      </w:rPr>
    </w:pPr>
    <w:r w:rsidRPr="00B4523D">
      <w:rPr>
        <w:sz w:val="19"/>
        <w:szCs w:val="19"/>
      </w:rPr>
      <w:t xml:space="preserve">Important Notice: This term sheet template is for educational purposes only and should never be used for any other purpose. Always consult your legal and investment counsel before creating a term sheet.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DE5A" w14:textId="77777777" w:rsidR="002D433D" w:rsidRDefault="002D433D" w:rsidP="00B4523D">
      <w:r>
        <w:separator/>
      </w:r>
    </w:p>
  </w:footnote>
  <w:footnote w:type="continuationSeparator" w:id="0">
    <w:p w14:paraId="6BDF4A06" w14:textId="77777777" w:rsidR="002D433D" w:rsidRDefault="002D433D" w:rsidP="00B45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BD1F" w14:textId="77777777" w:rsidR="00B4523D" w:rsidRPr="00B4523D" w:rsidRDefault="00B4523D" w:rsidP="00B4523D">
    <w:pPr>
      <w:pStyle w:val="Header"/>
      <w:jc w:val="center"/>
      <w:rPr>
        <w:i/>
      </w:rPr>
    </w:pPr>
    <w:r w:rsidRPr="00B4523D">
      <w:rPr>
        <w:i/>
      </w:rPr>
      <w:t>For educational purposes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234"/>
    <w:multiLevelType w:val="hybridMultilevel"/>
    <w:tmpl w:val="605AE0D0"/>
    <w:lvl w:ilvl="0" w:tplc="ED3830B8">
      <w:start w:val="1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1338B"/>
    <w:multiLevelType w:val="hybridMultilevel"/>
    <w:tmpl w:val="0DF01AEA"/>
    <w:lvl w:ilvl="0" w:tplc="A106CD3C">
      <w:start w:val="1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00317"/>
    <w:multiLevelType w:val="hybridMultilevel"/>
    <w:tmpl w:val="5AE4782C"/>
    <w:lvl w:ilvl="0" w:tplc="101C45F6">
      <w:start w:val="1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C3C47"/>
    <w:multiLevelType w:val="hybridMultilevel"/>
    <w:tmpl w:val="6A7A386E"/>
    <w:lvl w:ilvl="0" w:tplc="B068FD6A">
      <w:start w:val="1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152E2"/>
    <w:multiLevelType w:val="hybridMultilevel"/>
    <w:tmpl w:val="C62AB55C"/>
    <w:lvl w:ilvl="0" w:tplc="FC90DFF8">
      <w:start w:val="1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168688">
    <w:abstractNumId w:val="1"/>
  </w:num>
  <w:num w:numId="2" w16cid:durableId="431052010">
    <w:abstractNumId w:val="2"/>
  </w:num>
  <w:num w:numId="3" w16cid:durableId="1658879714">
    <w:abstractNumId w:val="0"/>
  </w:num>
  <w:num w:numId="4" w16cid:durableId="248396235">
    <w:abstractNumId w:val="4"/>
  </w:num>
  <w:num w:numId="5" w16cid:durableId="1010371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E9"/>
    <w:rsid w:val="00034A83"/>
    <w:rsid w:val="001A2418"/>
    <w:rsid w:val="001A39D1"/>
    <w:rsid w:val="001D3811"/>
    <w:rsid w:val="002532DB"/>
    <w:rsid w:val="002C7DEC"/>
    <w:rsid w:val="002D433D"/>
    <w:rsid w:val="00307E47"/>
    <w:rsid w:val="00385A83"/>
    <w:rsid w:val="003B314E"/>
    <w:rsid w:val="003C0A7E"/>
    <w:rsid w:val="003F2D3A"/>
    <w:rsid w:val="004221A7"/>
    <w:rsid w:val="0044153A"/>
    <w:rsid w:val="004F53E4"/>
    <w:rsid w:val="00527274"/>
    <w:rsid w:val="00564D5C"/>
    <w:rsid w:val="00602EE9"/>
    <w:rsid w:val="00777095"/>
    <w:rsid w:val="00843580"/>
    <w:rsid w:val="00867973"/>
    <w:rsid w:val="008831F0"/>
    <w:rsid w:val="00890301"/>
    <w:rsid w:val="008E17EE"/>
    <w:rsid w:val="008F6FD2"/>
    <w:rsid w:val="009F4B99"/>
    <w:rsid w:val="00B27B73"/>
    <w:rsid w:val="00B4523D"/>
    <w:rsid w:val="00C25282"/>
    <w:rsid w:val="00C4693F"/>
    <w:rsid w:val="00D24E97"/>
    <w:rsid w:val="00D63B1A"/>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F151"/>
  <w15:docId w15:val="{AC459ACA-7DE2-459A-AB5D-8F7C0D5D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EE9"/>
    <w:pPr>
      <w:ind w:left="720"/>
      <w:contextualSpacing/>
    </w:pPr>
  </w:style>
  <w:style w:type="table" w:styleId="TableGrid">
    <w:name w:val="Table Grid"/>
    <w:basedOn w:val="TableNormal"/>
    <w:uiPriority w:val="59"/>
    <w:rsid w:val="003C0A7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4523D"/>
    <w:pPr>
      <w:tabs>
        <w:tab w:val="center" w:pos="4680"/>
        <w:tab w:val="right" w:pos="9360"/>
      </w:tabs>
    </w:pPr>
  </w:style>
  <w:style w:type="character" w:customStyle="1" w:styleId="HeaderChar">
    <w:name w:val="Header Char"/>
    <w:basedOn w:val="DefaultParagraphFont"/>
    <w:link w:val="Header"/>
    <w:uiPriority w:val="99"/>
    <w:rsid w:val="00B4523D"/>
  </w:style>
  <w:style w:type="paragraph" w:styleId="Footer">
    <w:name w:val="footer"/>
    <w:basedOn w:val="Normal"/>
    <w:link w:val="FooterChar"/>
    <w:uiPriority w:val="99"/>
    <w:unhideWhenUsed/>
    <w:rsid w:val="00B4523D"/>
    <w:pPr>
      <w:tabs>
        <w:tab w:val="center" w:pos="4680"/>
        <w:tab w:val="right" w:pos="9360"/>
      </w:tabs>
    </w:pPr>
  </w:style>
  <w:style w:type="character" w:customStyle="1" w:styleId="FooterChar">
    <w:name w:val="Footer Char"/>
    <w:basedOn w:val="DefaultParagraphFont"/>
    <w:link w:val="Footer"/>
    <w:uiPriority w:val="99"/>
    <w:rsid w:val="00B4523D"/>
  </w:style>
  <w:style w:type="character" w:styleId="Hyperlink">
    <w:name w:val="Hyperlink"/>
    <w:basedOn w:val="DefaultParagraphFont"/>
    <w:uiPriority w:val="99"/>
    <w:unhideWhenUsed/>
    <w:rsid w:val="00B4523D"/>
    <w:rPr>
      <w:color w:val="0000FF" w:themeColor="hyperlink"/>
      <w:u w:val="single"/>
    </w:rPr>
  </w:style>
  <w:style w:type="paragraph" w:customStyle="1" w:styleId="font7">
    <w:name w:val="font_7"/>
    <w:basedOn w:val="Normal"/>
    <w:rsid w:val="008E17EE"/>
    <w:pPr>
      <w:spacing w:before="100" w:beforeAutospacing="1" w:after="100" w:afterAutospacing="1"/>
    </w:pPr>
    <w:rPr>
      <w:rFonts w:ascii="Times New Roman" w:eastAsia="Times New Roman" w:hAnsi="Times New Roman" w:cs="Times New Roman"/>
    </w:rPr>
  </w:style>
  <w:style w:type="character" w:customStyle="1" w:styleId="wixguard">
    <w:name w:val="wixguard"/>
    <w:basedOn w:val="DefaultParagraphFont"/>
    <w:rsid w:val="008E1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12168">
      <w:bodyDiv w:val="1"/>
      <w:marLeft w:val="0"/>
      <w:marRight w:val="0"/>
      <w:marTop w:val="0"/>
      <w:marBottom w:val="0"/>
      <w:divBdr>
        <w:top w:val="none" w:sz="0" w:space="0" w:color="auto"/>
        <w:left w:val="none" w:sz="0" w:space="0" w:color="auto"/>
        <w:bottom w:val="none" w:sz="0" w:space="0" w:color="auto"/>
        <w:right w:val="none" w:sz="0" w:space="0" w:color="auto"/>
      </w:divBdr>
    </w:div>
    <w:div w:id="471674226">
      <w:bodyDiv w:val="1"/>
      <w:marLeft w:val="0"/>
      <w:marRight w:val="0"/>
      <w:marTop w:val="0"/>
      <w:marBottom w:val="0"/>
      <w:divBdr>
        <w:top w:val="none" w:sz="0" w:space="0" w:color="auto"/>
        <w:left w:val="none" w:sz="0" w:space="0" w:color="auto"/>
        <w:bottom w:val="none" w:sz="0" w:space="0" w:color="auto"/>
        <w:right w:val="none" w:sz="0" w:space="0" w:color="auto"/>
      </w:divBdr>
    </w:div>
    <w:div w:id="711613016">
      <w:bodyDiv w:val="1"/>
      <w:marLeft w:val="0"/>
      <w:marRight w:val="0"/>
      <w:marTop w:val="0"/>
      <w:marBottom w:val="0"/>
      <w:divBdr>
        <w:top w:val="none" w:sz="0" w:space="0" w:color="auto"/>
        <w:left w:val="none" w:sz="0" w:space="0" w:color="auto"/>
        <w:bottom w:val="none" w:sz="0" w:space="0" w:color="auto"/>
        <w:right w:val="none" w:sz="0" w:space="0" w:color="auto"/>
      </w:divBdr>
    </w:div>
    <w:div w:id="1410007765">
      <w:bodyDiv w:val="1"/>
      <w:marLeft w:val="0"/>
      <w:marRight w:val="0"/>
      <w:marTop w:val="0"/>
      <w:marBottom w:val="0"/>
      <w:divBdr>
        <w:top w:val="none" w:sz="0" w:space="0" w:color="auto"/>
        <w:left w:val="none" w:sz="0" w:space="0" w:color="auto"/>
        <w:bottom w:val="none" w:sz="0" w:space="0" w:color="auto"/>
        <w:right w:val="none" w:sz="0" w:space="0" w:color="auto"/>
      </w:divBdr>
    </w:div>
    <w:div w:id="1553080216">
      <w:bodyDiv w:val="1"/>
      <w:marLeft w:val="0"/>
      <w:marRight w:val="0"/>
      <w:marTop w:val="0"/>
      <w:marBottom w:val="0"/>
      <w:divBdr>
        <w:top w:val="none" w:sz="0" w:space="0" w:color="auto"/>
        <w:left w:val="none" w:sz="0" w:space="0" w:color="auto"/>
        <w:bottom w:val="none" w:sz="0" w:space="0" w:color="auto"/>
        <w:right w:val="none" w:sz="0" w:space="0" w:color="auto"/>
      </w:divBdr>
    </w:div>
    <w:div w:id="1722435341">
      <w:bodyDiv w:val="1"/>
      <w:marLeft w:val="0"/>
      <w:marRight w:val="0"/>
      <w:marTop w:val="0"/>
      <w:marBottom w:val="0"/>
      <w:divBdr>
        <w:top w:val="none" w:sz="0" w:space="0" w:color="auto"/>
        <w:left w:val="none" w:sz="0" w:space="0" w:color="auto"/>
        <w:bottom w:val="none" w:sz="0" w:space="0" w:color="auto"/>
        <w:right w:val="none" w:sz="0" w:space="0" w:color="auto"/>
      </w:divBdr>
    </w:div>
    <w:div w:id="1756392061">
      <w:bodyDiv w:val="1"/>
      <w:marLeft w:val="0"/>
      <w:marRight w:val="0"/>
      <w:marTop w:val="0"/>
      <w:marBottom w:val="0"/>
      <w:divBdr>
        <w:top w:val="none" w:sz="0" w:space="0" w:color="auto"/>
        <w:left w:val="none" w:sz="0" w:space="0" w:color="auto"/>
        <w:bottom w:val="none" w:sz="0" w:space="0" w:color="auto"/>
        <w:right w:val="none" w:sz="0" w:space="0" w:color="auto"/>
      </w:divBdr>
    </w:div>
    <w:div w:id="1947613018">
      <w:bodyDiv w:val="1"/>
      <w:marLeft w:val="0"/>
      <w:marRight w:val="0"/>
      <w:marTop w:val="0"/>
      <w:marBottom w:val="0"/>
      <w:divBdr>
        <w:top w:val="none" w:sz="0" w:space="0" w:color="auto"/>
        <w:left w:val="none" w:sz="0" w:space="0" w:color="auto"/>
        <w:bottom w:val="none" w:sz="0" w:space="0" w:color="auto"/>
        <w:right w:val="none" w:sz="0" w:space="0" w:color="auto"/>
      </w:divBdr>
    </w:div>
    <w:div w:id="21472391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orporatefinanceinstitu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cp:lastModifiedBy>Tope Oyeniyi</cp:lastModifiedBy>
  <cp:revision>6</cp:revision>
  <dcterms:created xsi:type="dcterms:W3CDTF">2017-01-29T21:01:00Z</dcterms:created>
  <dcterms:modified xsi:type="dcterms:W3CDTF">2023-05-02T19:04:00Z</dcterms:modified>
</cp:coreProperties>
</file>