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D6F29" w14:textId="77777777" w:rsidR="00F753CE" w:rsidRDefault="00B27271">
      <w:r w:rsidRPr="00B27271">
        <w:rPr>
          <w:b/>
        </w:rPr>
        <w:t>Figure 1</w:t>
      </w:r>
      <w:r>
        <w:t xml:space="preserve">. Study sites. I took rainfall data (Jan 2015 to Dec 2016) from the admin units where the study sites were located according to the map you sent. The admin1 units are colored in blue and the admin2 units are outlined in black. Rainfall patterns were similar when run with admin1 and admin2. </w:t>
      </w:r>
    </w:p>
    <w:p w14:paraId="60CE734D" w14:textId="77777777" w:rsidR="00CD3EF8" w:rsidRDefault="00B27271">
      <w:r>
        <w:rPr>
          <w:noProof/>
        </w:rPr>
        <w:drawing>
          <wp:inline distT="0" distB="0" distL="0" distR="0" wp14:anchorId="7AA3725C" wp14:editId="6B673006">
            <wp:extent cx="2686050" cy="1866577"/>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707810" cy="1881699"/>
                    </a:xfrm>
                    <a:prstGeom prst="rect">
                      <a:avLst/>
                    </a:prstGeom>
                    <a:noFill/>
                    <a:ln>
                      <a:noFill/>
                    </a:ln>
                  </pic:spPr>
                </pic:pic>
              </a:graphicData>
            </a:graphic>
          </wp:inline>
        </w:drawing>
      </w:r>
      <w:r w:rsidR="00F753CE">
        <w:rPr>
          <w:noProof/>
        </w:rPr>
        <w:drawing>
          <wp:inline distT="0" distB="0" distL="0" distR="0" wp14:anchorId="70AA5914" wp14:editId="52283AB1">
            <wp:extent cx="3193342" cy="20821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71" t="8797" r="1975" b="15258"/>
                    <a:stretch/>
                  </pic:blipFill>
                  <pic:spPr bwMode="auto">
                    <a:xfrm>
                      <a:off x="0" y="0"/>
                      <a:ext cx="3215003" cy="2096289"/>
                    </a:xfrm>
                    <a:prstGeom prst="rect">
                      <a:avLst/>
                    </a:prstGeom>
                    <a:ln>
                      <a:noFill/>
                    </a:ln>
                    <a:extLst>
                      <a:ext uri="{53640926-AAD7-44D8-BBD7-CCE9431645EC}">
                        <a14:shadowObscured xmlns:a14="http://schemas.microsoft.com/office/drawing/2010/main"/>
                      </a:ext>
                    </a:extLst>
                  </pic:spPr>
                </pic:pic>
              </a:graphicData>
            </a:graphic>
          </wp:inline>
        </w:drawing>
      </w:r>
    </w:p>
    <w:p w14:paraId="6B2A3107" w14:textId="77777777" w:rsidR="00F753CE" w:rsidRDefault="00F753CE"/>
    <w:p w14:paraId="4CA7D480" w14:textId="77777777" w:rsidR="00B27271" w:rsidRPr="00527820" w:rsidRDefault="00B27271">
      <w:r w:rsidRPr="00527820">
        <w:rPr>
          <w:b/>
        </w:rPr>
        <w:t>Figure 2</w:t>
      </w:r>
      <w:r>
        <w:t xml:space="preserve">. </w:t>
      </w:r>
      <w:r w:rsidR="00527820">
        <w:t xml:space="preserve">Clinical incidence among children 0-5 years. Colored lines indicate </w:t>
      </w:r>
      <w:proofErr w:type="spellStart"/>
      <w:r w:rsidR="00527820" w:rsidRPr="00527820">
        <w:rPr>
          <w:i/>
        </w:rPr>
        <w:t>malariasimulation</w:t>
      </w:r>
      <w:proofErr w:type="spellEnd"/>
      <w:r w:rsidR="00527820" w:rsidRPr="00527820">
        <w:rPr>
          <w:i/>
        </w:rPr>
        <w:t xml:space="preserve"> </w:t>
      </w:r>
      <w:r w:rsidR="00527820">
        <w:t xml:space="preserve">results under different EIR / transmission intensity values. Black lines indicate clinical results from the study sites in 2015 and 2016. </w:t>
      </w:r>
      <w:proofErr w:type="spellStart"/>
      <w:r w:rsidR="00527820" w:rsidRPr="00527820">
        <w:rPr>
          <w:i/>
        </w:rPr>
        <w:t>malariasimulation</w:t>
      </w:r>
      <w:proofErr w:type="spellEnd"/>
      <w:r w:rsidR="00527820">
        <w:rPr>
          <w:i/>
        </w:rPr>
        <w:t xml:space="preserve"> </w:t>
      </w:r>
      <w:r w:rsidR="00527820">
        <w:t xml:space="preserve">results factor in 45% treatment coverage with AL, 0% </w:t>
      </w:r>
      <w:proofErr w:type="spellStart"/>
      <w:r w:rsidR="00527820">
        <w:t>bednet</w:t>
      </w:r>
      <w:proofErr w:type="spellEnd"/>
      <w:r w:rsidR="00527820">
        <w:t xml:space="preserve"> coverage, and a 25% </w:t>
      </w:r>
      <w:proofErr w:type="spellStart"/>
      <w:r w:rsidR="00527820">
        <w:rPr>
          <w:i/>
        </w:rPr>
        <w:t>arabiensis</w:t>
      </w:r>
      <w:proofErr w:type="spellEnd"/>
      <w:r w:rsidR="00527820">
        <w:t xml:space="preserve">, 25% </w:t>
      </w:r>
      <w:proofErr w:type="spellStart"/>
      <w:r w:rsidR="00527820">
        <w:rPr>
          <w:i/>
        </w:rPr>
        <w:t>funestus</w:t>
      </w:r>
      <w:proofErr w:type="spellEnd"/>
      <w:r w:rsidR="00527820">
        <w:t xml:space="preserve">, and 50% </w:t>
      </w:r>
      <w:proofErr w:type="spellStart"/>
      <w:r w:rsidR="00527820">
        <w:rPr>
          <w:i/>
        </w:rPr>
        <w:t>gambiae</w:t>
      </w:r>
      <w:proofErr w:type="spellEnd"/>
      <w:r w:rsidR="00527820">
        <w:t xml:space="preserve"> vector composition.</w:t>
      </w:r>
    </w:p>
    <w:p w14:paraId="5D900F2F" w14:textId="6306CA4A" w:rsidR="00B27271" w:rsidRDefault="00B27271" w:rsidP="00F753CE">
      <w:r w:rsidRPr="00B27271">
        <w:drawing>
          <wp:inline distT="0" distB="0" distL="0" distR="0" wp14:anchorId="023ABA8E" wp14:editId="22138CB0">
            <wp:extent cx="594360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6615"/>
                    </a:xfrm>
                    <a:prstGeom prst="rect">
                      <a:avLst/>
                    </a:prstGeom>
                  </pic:spPr>
                </pic:pic>
              </a:graphicData>
            </a:graphic>
          </wp:inline>
        </w:drawing>
      </w:r>
    </w:p>
    <w:p w14:paraId="168B54D3" w14:textId="7A41D141" w:rsidR="00807E49" w:rsidRDefault="00807E49" w:rsidP="00F753CE"/>
    <w:p w14:paraId="565A26F7" w14:textId="5060E4B5" w:rsidR="00807E49" w:rsidRPr="00527820" w:rsidRDefault="00807E49" w:rsidP="00807E49">
      <w:r w:rsidRPr="00527820">
        <w:rPr>
          <w:b/>
        </w:rPr>
        <w:t xml:space="preserve">Figure </w:t>
      </w:r>
      <w:r w:rsidR="00516BBB">
        <w:rPr>
          <w:b/>
        </w:rPr>
        <w:t>3</w:t>
      </w:r>
      <w:r>
        <w:t xml:space="preserve">. </w:t>
      </w:r>
      <w:r w:rsidR="00C564E6">
        <w:t xml:space="preserve">Figure 2 with </w:t>
      </w:r>
      <w:r w:rsidR="00516BBB">
        <w:t>100</w:t>
      </w:r>
      <w:r>
        <w:t xml:space="preserve">% </w:t>
      </w:r>
      <w:proofErr w:type="spellStart"/>
      <w:r>
        <w:rPr>
          <w:i/>
        </w:rPr>
        <w:t>arabiensis</w:t>
      </w:r>
      <w:proofErr w:type="spellEnd"/>
    </w:p>
    <w:p w14:paraId="4A05AA11" w14:textId="040E2612" w:rsidR="00807E49" w:rsidRDefault="00516BBB" w:rsidP="00F753CE">
      <w:r w:rsidRPr="00516BBB">
        <w:drawing>
          <wp:inline distT="0" distB="0" distL="0" distR="0" wp14:anchorId="663CD136" wp14:editId="0E9DFF2E">
            <wp:extent cx="3200143" cy="18288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143" cy="1828800"/>
                    </a:xfrm>
                    <a:prstGeom prst="rect">
                      <a:avLst/>
                    </a:prstGeom>
                  </pic:spPr>
                </pic:pic>
              </a:graphicData>
            </a:graphic>
          </wp:inline>
        </w:drawing>
      </w:r>
    </w:p>
    <w:p w14:paraId="2DD74061" w14:textId="642BC871" w:rsidR="003014DD" w:rsidRDefault="003014DD" w:rsidP="00F753CE">
      <w:pPr>
        <w:rPr>
          <w:i/>
        </w:rPr>
      </w:pPr>
      <w:r w:rsidRPr="00527820">
        <w:rPr>
          <w:b/>
        </w:rPr>
        <w:t xml:space="preserve">Figure </w:t>
      </w:r>
      <w:r>
        <w:rPr>
          <w:b/>
        </w:rPr>
        <w:t>4</w:t>
      </w:r>
      <w:r>
        <w:t xml:space="preserve">. </w:t>
      </w:r>
      <w:r w:rsidR="00C564E6">
        <w:t xml:space="preserve">Figure 2 with </w:t>
      </w:r>
      <w:r>
        <w:t xml:space="preserve">100% </w:t>
      </w:r>
      <w:proofErr w:type="spellStart"/>
      <w:r>
        <w:rPr>
          <w:i/>
        </w:rPr>
        <w:t>funestus</w:t>
      </w:r>
      <w:proofErr w:type="spellEnd"/>
    </w:p>
    <w:p w14:paraId="6EFD5983" w14:textId="2CBF8A72" w:rsidR="000A078A" w:rsidRDefault="000A078A" w:rsidP="00F753CE">
      <w:pPr>
        <w:rPr>
          <w:i/>
        </w:rPr>
      </w:pPr>
      <w:r w:rsidRPr="000A078A">
        <w:drawing>
          <wp:inline distT="0" distB="0" distL="0" distR="0" wp14:anchorId="4B2F11DA" wp14:editId="59231627">
            <wp:extent cx="3200145" cy="18288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145" cy="1828800"/>
                    </a:xfrm>
                    <a:prstGeom prst="rect">
                      <a:avLst/>
                    </a:prstGeom>
                  </pic:spPr>
                </pic:pic>
              </a:graphicData>
            </a:graphic>
          </wp:inline>
        </w:drawing>
      </w:r>
    </w:p>
    <w:p w14:paraId="61293843" w14:textId="7EB58617" w:rsidR="003014DD" w:rsidRDefault="003014DD" w:rsidP="003014DD">
      <w:r w:rsidRPr="00527820">
        <w:rPr>
          <w:b/>
        </w:rPr>
        <w:t xml:space="preserve">Figure </w:t>
      </w:r>
      <w:r>
        <w:rPr>
          <w:b/>
        </w:rPr>
        <w:t>4</w:t>
      </w:r>
      <w:r>
        <w:t xml:space="preserve">. </w:t>
      </w:r>
      <w:r w:rsidR="00C564E6">
        <w:t xml:space="preserve">Figure 2 with </w:t>
      </w:r>
      <w:bookmarkStart w:id="0" w:name="_GoBack"/>
      <w:bookmarkEnd w:id="0"/>
      <w:r>
        <w:t xml:space="preserve">100% </w:t>
      </w:r>
      <w:proofErr w:type="spellStart"/>
      <w:r>
        <w:rPr>
          <w:i/>
        </w:rPr>
        <w:t>gambiae</w:t>
      </w:r>
      <w:proofErr w:type="spellEnd"/>
    </w:p>
    <w:p w14:paraId="472D785E" w14:textId="64402731" w:rsidR="003014DD" w:rsidRDefault="00A64426" w:rsidP="00F753CE">
      <w:pPr>
        <w:rPr>
          <w:i/>
        </w:rPr>
      </w:pPr>
      <w:r w:rsidRPr="00A64426">
        <w:drawing>
          <wp:inline distT="0" distB="0" distL="0" distR="0" wp14:anchorId="0C2C75AB" wp14:editId="59BA065F">
            <wp:extent cx="3200144" cy="18288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144" cy="1828800"/>
                    </a:xfrm>
                    <a:prstGeom prst="rect">
                      <a:avLst/>
                    </a:prstGeom>
                  </pic:spPr>
                </pic:pic>
              </a:graphicData>
            </a:graphic>
          </wp:inline>
        </w:drawing>
      </w:r>
    </w:p>
    <w:p w14:paraId="70563FDB" w14:textId="37DC9DD5" w:rsidR="003014DD" w:rsidRDefault="003014DD" w:rsidP="00F753CE">
      <w:pPr>
        <w:rPr>
          <w:i/>
        </w:rPr>
      </w:pPr>
    </w:p>
    <w:p w14:paraId="259FD62A" w14:textId="7FE7BE4E" w:rsidR="003014DD" w:rsidRDefault="003014DD" w:rsidP="00F753CE">
      <w:pPr>
        <w:rPr>
          <w:i/>
        </w:rPr>
      </w:pPr>
    </w:p>
    <w:p w14:paraId="787CA740" w14:textId="77777777" w:rsidR="003014DD" w:rsidRDefault="003014DD" w:rsidP="00F753CE"/>
    <w:sectPr w:rsidR="00301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CE"/>
    <w:rsid w:val="000A078A"/>
    <w:rsid w:val="003014DD"/>
    <w:rsid w:val="00431D23"/>
    <w:rsid w:val="00516BBB"/>
    <w:rsid w:val="00527820"/>
    <w:rsid w:val="00634D9F"/>
    <w:rsid w:val="007753AF"/>
    <w:rsid w:val="00807E49"/>
    <w:rsid w:val="009C7551"/>
    <w:rsid w:val="00A64426"/>
    <w:rsid w:val="00B27271"/>
    <w:rsid w:val="00C564E6"/>
    <w:rsid w:val="00F7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23FC"/>
  <w15:chartTrackingRefBased/>
  <w15:docId w15:val="{5FFA02D9-DC7C-4F06-A581-E390BDF6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85758dc4-3d72-4597-a774-fba3e2db9abd" TargetMode="External"/><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1072DEE313B14EB6BD1A6B02A6E64C" ma:contentTypeVersion="14" ma:contentTypeDescription="Create a new document." ma:contentTypeScope="" ma:versionID="e6cd318adf24ccd43b4e167d351c855c">
  <xsd:schema xmlns:xsd="http://www.w3.org/2001/XMLSchema" xmlns:xs="http://www.w3.org/2001/XMLSchema" xmlns:p="http://schemas.microsoft.com/office/2006/metadata/properties" xmlns:ns3="aaee3048-9e5d-4892-81c1-bc7b666d47f0" xmlns:ns4="7ffc11be-aae9-4f15-8331-ade681b6e665" targetNamespace="http://schemas.microsoft.com/office/2006/metadata/properties" ma:root="true" ma:fieldsID="0eaa9a57170ec2b24cc985fe3976305e" ns3:_="" ns4:_="">
    <xsd:import namespace="aaee3048-9e5d-4892-81c1-bc7b666d47f0"/>
    <xsd:import namespace="7ffc11be-aae9-4f15-8331-ade681b6e66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3048-9e5d-4892-81c1-bc7b666d47f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fc11be-aae9-4f15-8331-ade681b6e66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8451A2-C017-485E-BC5B-098006D3B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ee3048-9e5d-4892-81c1-bc7b666d47f0"/>
    <ds:schemaRef ds:uri="7ffc11be-aae9-4f15-8331-ade681b6e6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B2D26D-8F6D-4DDB-99BE-C1EA0C5A7551}">
  <ds:schemaRefs>
    <ds:schemaRef ds:uri="http://schemas.microsoft.com/sharepoint/v3/contenttype/forms"/>
  </ds:schemaRefs>
</ds:datastoreItem>
</file>

<file path=customXml/itemProps3.xml><?xml version="1.0" encoding="utf-8"?>
<ds:datastoreItem xmlns:ds="http://schemas.openxmlformats.org/officeDocument/2006/customXml" ds:itemID="{300FFFBD-8D6C-4CE3-A29E-BAC9DF0CF589}">
  <ds:schemaRefs>
    <ds:schemaRef ds:uri="http://purl.org/dc/terms/"/>
    <ds:schemaRef ds:uri="aaee3048-9e5d-4892-81c1-bc7b666d47f0"/>
    <ds:schemaRef ds:uri="http://schemas.microsoft.com/office/2006/documentManagement/types"/>
    <ds:schemaRef ds:uri="7ffc11be-aae9-4f15-8331-ade681b6e665"/>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Topazian</dc:creator>
  <cp:keywords/>
  <dc:description/>
  <cp:lastModifiedBy>Hillary Topazian</cp:lastModifiedBy>
  <cp:revision>7</cp:revision>
  <dcterms:created xsi:type="dcterms:W3CDTF">2022-01-04T20:09:00Z</dcterms:created>
  <dcterms:modified xsi:type="dcterms:W3CDTF">2022-01-04T21:27:00Z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0x010100E61072DEE313B14EB6BD1A6B02A6E64C</vt:lpwstr>
  </property>
</Properties>
</file>