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DAE" w:rsidRDefault="00FD6DAE" w:rsidP="00CC69E0">
      <w:pPr>
        <w:pStyle w:val="NormalWeb"/>
        <w:spacing w:before="0" w:beforeAutospacing="0" w:after="0" w:afterAutospacing="0" w:line="360" w:lineRule="auto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Huong Phan</w:t>
      </w:r>
    </w:p>
    <w:p w:rsidR="00FD6DAE" w:rsidRDefault="00FD6DAE" w:rsidP="00CC69E0">
      <w:pPr>
        <w:pStyle w:val="NormalWeb"/>
        <w:spacing w:before="0" w:beforeAutospacing="0" w:after="0" w:afterAutospacing="0" w:line="360" w:lineRule="auto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BIOL/CS 383 Bioinformatics - Module 4 Capstone</w:t>
      </w:r>
    </w:p>
    <w:p w:rsidR="00FD6DAE" w:rsidRDefault="00FD6DAE" w:rsidP="00CC69E0">
      <w:pPr>
        <w:spacing w:line="360" w:lineRule="auto"/>
        <w:rPr>
          <w:rFonts w:ascii="-webkit-standard" w:hAnsi="-webkit-standard"/>
          <w:color w:val="000000"/>
        </w:rPr>
      </w:pPr>
    </w:p>
    <w:p w:rsidR="00EB00FC" w:rsidRPr="00EB00FC" w:rsidRDefault="00EB00FC" w:rsidP="00CC69E0">
      <w:pPr>
        <w:spacing w:line="360" w:lineRule="auto"/>
        <w:rPr>
          <w:rFonts w:ascii="Arial" w:hAnsi="Arial" w:cs="Arial"/>
          <w:b/>
          <w:color w:val="000000"/>
          <w:sz w:val="22"/>
          <w:szCs w:val="22"/>
        </w:rPr>
      </w:pPr>
      <w:r w:rsidRPr="00EB00FC">
        <w:rPr>
          <w:rFonts w:ascii="Arial" w:hAnsi="Arial" w:cs="Arial"/>
          <w:b/>
          <w:color w:val="000000"/>
          <w:sz w:val="22"/>
          <w:szCs w:val="22"/>
        </w:rPr>
        <w:t>Abstract</w:t>
      </w:r>
      <w:bookmarkStart w:id="0" w:name="_GoBack"/>
      <w:bookmarkEnd w:id="0"/>
    </w:p>
    <w:p w:rsidR="00CC69E0" w:rsidRDefault="00FD6DAE" w:rsidP="00CC69E0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Female mosquitoes detect carbon dioxide through the olfactory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cpA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neurons in their maxillary palps, which express a family of </w:t>
      </w:r>
      <w:r>
        <w:rPr>
          <w:rFonts w:ascii="Arial" w:hAnsi="Arial" w:cs="Arial"/>
          <w:i/>
          <w:iCs/>
          <w:color w:val="000000"/>
          <w:sz w:val="22"/>
          <w:szCs w:val="22"/>
        </w:rPr>
        <w:t>Gustatory receptor</w:t>
      </w:r>
      <w:r>
        <w:rPr>
          <w:rFonts w:ascii="Arial" w:hAnsi="Arial" w:cs="Arial"/>
          <w:color w:val="000000"/>
          <w:sz w:val="22"/>
          <w:szCs w:val="22"/>
        </w:rPr>
        <w:t xml:space="preserve"> genes (</w:t>
      </w:r>
      <w:r w:rsidRPr="00CC69E0">
        <w:rPr>
          <w:rFonts w:ascii="Arial" w:hAnsi="Arial" w:cs="Arial"/>
          <w:i/>
          <w:color w:val="000000"/>
          <w:sz w:val="22"/>
          <w:szCs w:val="22"/>
        </w:rPr>
        <w:t>Gr1, Gr2, Gr3</w:t>
      </w:r>
      <w:r>
        <w:rPr>
          <w:rFonts w:ascii="Arial" w:hAnsi="Arial" w:cs="Arial"/>
          <w:color w:val="000000"/>
          <w:sz w:val="22"/>
          <w:szCs w:val="22"/>
        </w:rPr>
        <w:t>) (</w:t>
      </w:r>
      <w:proofErr w:type="spellStart"/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Tauxe</w:t>
      </w:r>
      <w:proofErr w:type="spellEnd"/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et al., 2013</w:t>
      </w:r>
      <w:r>
        <w:rPr>
          <w:rFonts w:ascii="Arial" w:hAnsi="Arial" w:cs="Arial"/>
          <w:color w:val="000000"/>
          <w:sz w:val="22"/>
          <w:szCs w:val="22"/>
        </w:rPr>
        <w:t xml:space="preserve">). Therefore, the hypothesis is that if one or more of these gustatory receptor genes could be found in the antennae, they would be significantly differentially expressed towards human. </w:t>
      </w:r>
      <w:r w:rsidR="005A705E">
        <w:rPr>
          <w:rFonts w:ascii="Arial" w:hAnsi="Arial" w:cs="Arial"/>
          <w:color w:val="000000"/>
          <w:sz w:val="22"/>
          <w:szCs w:val="22"/>
        </w:rPr>
        <w:t>We analyzed</w:t>
      </w:r>
      <w:r>
        <w:rPr>
          <w:rFonts w:ascii="Arial" w:hAnsi="Arial" w:cs="Arial"/>
          <w:color w:val="000000"/>
          <w:sz w:val="22"/>
          <w:szCs w:val="22"/>
        </w:rPr>
        <w:t xml:space="preserve"> the data of 32 antennae samples of </w:t>
      </w:r>
      <w:r w:rsidR="0086606A">
        <w:rPr>
          <w:rFonts w:ascii="Arial" w:hAnsi="Arial" w:cs="Arial"/>
          <w:color w:val="000000"/>
          <w:sz w:val="22"/>
          <w:szCs w:val="22"/>
        </w:rPr>
        <w:t xml:space="preserve">different strains: </w:t>
      </w:r>
      <w:r>
        <w:rPr>
          <w:rFonts w:ascii="Arial" w:hAnsi="Arial" w:cs="Arial"/>
          <w:color w:val="000000"/>
          <w:sz w:val="22"/>
          <w:szCs w:val="22"/>
        </w:rPr>
        <w:t xml:space="preserve">forest, domestic, mixed and F2 hybrids </w:t>
      </w:r>
      <w:r w:rsidR="00131E28">
        <w:rPr>
          <w:rFonts w:ascii="Arial" w:hAnsi="Arial" w:cs="Arial"/>
          <w:color w:val="000000"/>
          <w:sz w:val="22"/>
          <w:szCs w:val="22"/>
        </w:rPr>
        <w:t xml:space="preserve">of </w:t>
      </w:r>
      <w:r>
        <w:rPr>
          <w:rFonts w:ascii="Arial" w:hAnsi="Arial" w:cs="Arial"/>
          <w:color w:val="000000"/>
          <w:sz w:val="22"/>
          <w:szCs w:val="22"/>
        </w:rPr>
        <w:t xml:space="preserve">female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Aedes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aegypti</w:t>
      </w:r>
      <w:r>
        <w:rPr>
          <w:rFonts w:ascii="Arial" w:hAnsi="Arial" w:cs="Arial"/>
          <w:color w:val="000000"/>
          <w:sz w:val="22"/>
          <w:szCs w:val="22"/>
        </w:rPr>
        <w:t xml:space="preserve"> from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RNAseq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experiment in a research of mosquito preference for human related to odorant receptor (McBride et al., 2014), </w:t>
      </w:r>
      <w:r w:rsidR="005A705E">
        <w:rPr>
          <w:rFonts w:ascii="Arial" w:hAnsi="Arial" w:cs="Arial"/>
          <w:color w:val="000000"/>
          <w:sz w:val="22"/>
          <w:szCs w:val="22"/>
        </w:rPr>
        <w:t>and categorized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categorized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the antennae as human-preferring, and guinea pig-preferring, </w:t>
      </w:r>
      <w:r w:rsidR="005A705E">
        <w:rPr>
          <w:rFonts w:ascii="Arial" w:hAnsi="Arial" w:cs="Arial"/>
          <w:color w:val="000000"/>
          <w:sz w:val="22"/>
          <w:szCs w:val="22"/>
        </w:rPr>
        <w:t xml:space="preserve">or as having no significant preference </w:t>
      </w:r>
      <w:r>
        <w:rPr>
          <w:rFonts w:ascii="Arial" w:hAnsi="Arial" w:cs="Arial"/>
          <w:color w:val="000000"/>
          <w:sz w:val="22"/>
          <w:szCs w:val="22"/>
        </w:rPr>
        <w:t>towards human or guinea pig. We investigated whether one or more gustatory receptor genes are more differentially expressed in hybrid or non-hybrid population, and whether they are human-preferring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logFC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&gt; 0) or guinea pig-preferring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logFC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 0). The results showed that there was only </w:t>
      </w:r>
      <w:r w:rsidRPr="00CC69E0">
        <w:rPr>
          <w:rFonts w:ascii="Arial" w:hAnsi="Arial" w:cs="Arial"/>
          <w:i/>
          <w:color w:val="000000"/>
          <w:sz w:val="22"/>
          <w:szCs w:val="22"/>
        </w:rPr>
        <w:t xml:space="preserve">Gr2 </w:t>
      </w:r>
      <w:r>
        <w:rPr>
          <w:rFonts w:ascii="Arial" w:hAnsi="Arial" w:cs="Arial"/>
          <w:color w:val="000000"/>
          <w:sz w:val="22"/>
          <w:szCs w:val="22"/>
        </w:rPr>
        <w:t xml:space="preserve">found in the antennae samples in both populations. In the non-hybrid population, </w:t>
      </w:r>
      <w:r w:rsidRPr="00CC69E0">
        <w:rPr>
          <w:rFonts w:ascii="Arial" w:hAnsi="Arial" w:cs="Arial"/>
          <w:i/>
          <w:color w:val="000000"/>
          <w:sz w:val="22"/>
          <w:szCs w:val="22"/>
        </w:rPr>
        <w:t>Gr2</w:t>
      </w:r>
      <w:r>
        <w:rPr>
          <w:rFonts w:ascii="Arial" w:hAnsi="Arial" w:cs="Arial"/>
          <w:color w:val="000000"/>
          <w:sz w:val="22"/>
          <w:szCs w:val="22"/>
        </w:rPr>
        <w:t xml:space="preserve"> gene is more differentially expressed towards human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logFC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0.6443) than in hybrid population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logFC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0.23). Both of which is higher than the mean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logFC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 each population, which is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0.0307 for non-hybrid and 0.0300 for hybrid population. Moreover, </w:t>
      </w:r>
      <w:r w:rsidRPr="00CC69E0"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  <w:t>Gr2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CC69E0">
        <w:rPr>
          <w:rFonts w:ascii="Arial" w:hAnsi="Arial" w:cs="Arial"/>
          <w:color w:val="000000"/>
          <w:sz w:val="22"/>
          <w:szCs w:val="22"/>
          <w:shd w:val="clear" w:color="auto" w:fill="FFFFFF"/>
        </w:rPr>
        <w:t>was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significantly human-preferring in non-hybrid population (p = 0.0428), </w:t>
      </w:r>
      <w:r w:rsidR="00F525FA">
        <w:rPr>
          <w:rFonts w:ascii="Arial" w:hAnsi="Arial" w:cs="Arial"/>
          <w:color w:val="000000"/>
          <w:sz w:val="22"/>
          <w:szCs w:val="22"/>
          <w:shd w:val="clear" w:color="auto" w:fill="FFFFFF"/>
        </w:rPr>
        <w:t>but was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not significantly differentially expressed in hybrid population (p = 0.4875).</w:t>
      </w:r>
      <w:r>
        <w:rPr>
          <w:rFonts w:ascii="Arial" w:hAnsi="Arial" w:cs="Arial"/>
          <w:color w:val="000000"/>
          <w:sz w:val="22"/>
          <w:szCs w:val="22"/>
        </w:rPr>
        <w:t xml:space="preserve"> We also compared the </w:t>
      </w:r>
      <w:r w:rsidR="00E82B04">
        <w:rPr>
          <w:rFonts w:ascii="Arial" w:hAnsi="Arial" w:cs="Arial"/>
          <w:color w:val="000000"/>
          <w:sz w:val="22"/>
          <w:szCs w:val="22"/>
        </w:rPr>
        <w:t xml:space="preserve">log </w:t>
      </w:r>
      <w:r>
        <w:rPr>
          <w:rFonts w:ascii="Arial" w:hAnsi="Arial" w:cs="Arial"/>
          <w:color w:val="000000"/>
          <w:sz w:val="22"/>
          <w:szCs w:val="22"/>
        </w:rPr>
        <w:t>counts per million</w:t>
      </w:r>
      <w:r w:rsidR="003B15C0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="00F77CEB">
        <w:rPr>
          <w:rFonts w:ascii="Arial" w:hAnsi="Arial" w:cs="Arial"/>
          <w:color w:val="000000"/>
          <w:sz w:val="22"/>
          <w:szCs w:val="22"/>
        </w:rPr>
        <w:t>log</w:t>
      </w:r>
      <w:r w:rsidR="003B15C0">
        <w:rPr>
          <w:rFonts w:ascii="Arial" w:hAnsi="Arial" w:cs="Arial"/>
          <w:color w:val="000000"/>
          <w:sz w:val="22"/>
          <w:szCs w:val="22"/>
        </w:rPr>
        <w:t>CPM</w:t>
      </w:r>
      <w:proofErr w:type="spellEnd"/>
      <w:r w:rsidR="003B15C0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 of </w:t>
      </w:r>
      <w:r w:rsidRPr="00CC69E0">
        <w:rPr>
          <w:rFonts w:ascii="Arial" w:hAnsi="Arial" w:cs="Arial"/>
          <w:i/>
          <w:color w:val="000000"/>
          <w:sz w:val="22"/>
          <w:szCs w:val="22"/>
        </w:rPr>
        <w:t>Gr2</w:t>
      </w:r>
      <w:r>
        <w:rPr>
          <w:rFonts w:ascii="Arial" w:hAnsi="Arial" w:cs="Arial"/>
          <w:color w:val="000000"/>
          <w:sz w:val="22"/>
          <w:szCs w:val="22"/>
        </w:rPr>
        <w:t xml:space="preserve"> in forest and domestic population, and found that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logCPM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B134B6">
        <w:rPr>
          <w:rFonts w:ascii="Arial" w:hAnsi="Arial" w:cs="Arial"/>
          <w:color w:val="000000"/>
          <w:sz w:val="22"/>
          <w:szCs w:val="22"/>
        </w:rPr>
        <w:t xml:space="preserve">of </w:t>
      </w:r>
      <w:r w:rsidR="00B134B6" w:rsidRPr="00CC69E0">
        <w:rPr>
          <w:rFonts w:ascii="Arial" w:hAnsi="Arial" w:cs="Arial"/>
          <w:i/>
          <w:color w:val="000000"/>
          <w:sz w:val="22"/>
          <w:szCs w:val="22"/>
        </w:rPr>
        <w:t>Gr2</w:t>
      </w:r>
      <w:r w:rsidR="00B134B6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for domestic</w:t>
      </w:r>
      <w:r w:rsidR="003B15C0">
        <w:rPr>
          <w:rFonts w:ascii="Arial" w:hAnsi="Arial" w:cs="Arial"/>
          <w:color w:val="000000"/>
          <w:sz w:val="22"/>
          <w:szCs w:val="22"/>
        </w:rPr>
        <w:t xml:space="preserve"> population</w:t>
      </w:r>
      <w:r w:rsidR="002F698A">
        <w:rPr>
          <w:rFonts w:ascii="Arial" w:hAnsi="Arial" w:cs="Arial"/>
          <w:color w:val="000000"/>
          <w:sz w:val="22"/>
          <w:szCs w:val="22"/>
        </w:rPr>
        <w:t xml:space="preserve">, which is </w:t>
      </w:r>
      <w:r w:rsidR="00B134B6">
        <w:rPr>
          <w:rFonts w:ascii="Arial" w:hAnsi="Arial" w:cs="Arial"/>
          <w:color w:val="000000"/>
          <w:sz w:val="22"/>
          <w:szCs w:val="22"/>
        </w:rPr>
        <w:t>human-preferring</w:t>
      </w:r>
      <w:r w:rsidR="002F698A">
        <w:rPr>
          <w:rFonts w:ascii="Arial" w:hAnsi="Arial" w:cs="Arial"/>
          <w:color w:val="000000"/>
          <w:sz w:val="22"/>
          <w:szCs w:val="22"/>
        </w:rPr>
        <w:t>,</w:t>
      </w:r>
      <w:r w:rsidR="003B15C0">
        <w:rPr>
          <w:rFonts w:ascii="Arial" w:hAnsi="Arial" w:cs="Arial"/>
          <w:color w:val="000000"/>
          <w:sz w:val="22"/>
          <w:szCs w:val="22"/>
        </w:rPr>
        <w:t xml:space="preserve"> is</w:t>
      </w:r>
      <w:r w:rsidR="000C521D">
        <w:rPr>
          <w:rFonts w:ascii="Arial" w:hAnsi="Arial" w:cs="Arial"/>
          <w:color w:val="000000"/>
          <w:sz w:val="22"/>
          <w:szCs w:val="22"/>
        </w:rPr>
        <w:t xml:space="preserve"> </w:t>
      </w:r>
      <w:r w:rsidR="009935E1">
        <w:rPr>
          <w:rFonts w:ascii="Arial" w:hAnsi="Arial" w:cs="Arial"/>
          <w:color w:val="000000"/>
          <w:sz w:val="22"/>
          <w:szCs w:val="22"/>
        </w:rPr>
        <w:t xml:space="preserve">generally </w:t>
      </w:r>
      <w:r w:rsidR="003B15C0">
        <w:rPr>
          <w:rFonts w:ascii="Arial" w:hAnsi="Arial" w:cs="Arial"/>
          <w:color w:val="000000"/>
          <w:sz w:val="22"/>
          <w:szCs w:val="22"/>
        </w:rPr>
        <w:t xml:space="preserve">higher than that for </w:t>
      </w:r>
      <w:r w:rsidR="004E567D">
        <w:rPr>
          <w:rFonts w:ascii="Arial" w:hAnsi="Arial" w:cs="Arial"/>
          <w:color w:val="000000"/>
          <w:sz w:val="22"/>
          <w:szCs w:val="22"/>
        </w:rPr>
        <w:t>forest population</w:t>
      </w:r>
      <w:r w:rsidR="002F698A">
        <w:rPr>
          <w:rFonts w:ascii="Arial" w:hAnsi="Arial" w:cs="Arial"/>
          <w:color w:val="000000"/>
          <w:sz w:val="22"/>
          <w:szCs w:val="22"/>
        </w:rPr>
        <w:t xml:space="preserve">, which is </w:t>
      </w:r>
      <w:r w:rsidR="00B134B6">
        <w:rPr>
          <w:rFonts w:ascii="Arial" w:hAnsi="Arial" w:cs="Arial"/>
          <w:color w:val="000000"/>
          <w:sz w:val="22"/>
          <w:szCs w:val="22"/>
        </w:rPr>
        <w:t>guinea pig</w:t>
      </w:r>
      <w:r w:rsidR="00B134B6">
        <w:rPr>
          <w:rFonts w:ascii="Arial" w:hAnsi="Arial" w:cs="Arial"/>
          <w:color w:val="000000"/>
          <w:sz w:val="22"/>
          <w:szCs w:val="22"/>
        </w:rPr>
        <w:t>-preferring</w:t>
      </w:r>
      <w:r w:rsidR="00ED3C85">
        <w:rPr>
          <w:rFonts w:ascii="Arial" w:hAnsi="Arial" w:cs="Arial"/>
          <w:color w:val="000000"/>
          <w:sz w:val="22"/>
          <w:szCs w:val="22"/>
        </w:rPr>
        <w:t xml:space="preserve">, </w:t>
      </w:r>
      <w:r w:rsidR="003804BB">
        <w:rPr>
          <w:rFonts w:ascii="Arial" w:hAnsi="Arial" w:cs="Arial"/>
          <w:color w:val="000000"/>
          <w:sz w:val="22"/>
          <w:szCs w:val="22"/>
        </w:rPr>
        <w:t>but</w:t>
      </w:r>
      <w:r w:rsidR="00ED3C85">
        <w:rPr>
          <w:rFonts w:ascii="Arial" w:hAnsi="Arial" w:cs="Arial"/>
          <w:color w:val="000000"/>
          <w:sz w:val="22"/>
          <w:szCs w:val="22"/>
        </w:rPr>
        <w:t xml:space="preserve"> the difference is not significant (p = </w:t>
      </w:r>
      <w:r w:rsidR="00ED3C85" w:rsidRPr="000C521D">
        <w:rPr>
          <w:rFonts w:ascii="Arial" w:hAnsi="Arial" w:cs="Arial"/>
          <w:color w:val="000000"/>
          <w:sz w:val="22"/>
          <w:szCs w:val="22"/>
        </w:rPr>
        <w:t>0.0896</w:t>
      </w:r>
      <w:r w:rsidR="00ED3C85">
        <w:rPr>
          <w:rFonts w:ascii="Arial" w:hAnsi="Arial" w:cs="Arial"/>
          <w:color w:val="000000"/>
          <w:sz w:val="22"/>
          <w:szCs w:val="22"/>
        </w:rPr>
        <w:t>)</w:t>
      </w:r>
      <w:r w:rsidR="00CC69E0">
        <w:rPr>
          <w:rFonts w:ascii="Arial" w:hAnsi="Arial" w:cs="Arial"/>
          <w:color w:val="000000"/>
          <w:sz w:val="22"/>
          <w:szCs w:val="22"/>
        </w:rPr>
        <w:t xml:space="preserve">. </w:t>
      </w:r>
      <w:r w:rsidR="00B134B6">
        <w:rPr>
          <w:rFonts w:ascii="Arial" w:hAnsi="Arial" w:cs="Arial"/>
          <w:color w:val="000000"/>
          <w:sz w:val="22"/>
          <w:szCs w:val="22"/>
        </w:rPr>
        <w:t>In conclusion, the</w:t>
      </w:r>
      <w:r w:rsidR="00CC69E0">
        <w:rPr>
          <w:rFonts w:ascii="Arial" w:hAnsi="Arial" w:cs="Arial"/>
          <w:color w:val="000000"/>
          <w:sz w:val="22"/>
          <w:szCs w:val="22"/>
        </w:rPr>
        <w:t xml:space="preserve"> </w:t>
      </w:r>
      <w:r w:rsidR="00B134B6">
        <w:rPr>
          <w:rFonts w:ascii="Arial" w:hAnsi="Arial" w:cs="Arial"/>
          <w:color w:val="000000"/>
          <w:sz w:val="22"/>
          <w:szCs w:val="22"/>
        </w:rPr>
        <w:t>results partly support</w:t>
      </w:r>
      <w:r w:rsidR="00CC69E0">
        <w:rPr>
          <w:rFonts w:ascii="Arial" w:hAnsi="Arial" w:cs="Arial"/>
          <w:color w:val="000000"/>
          <w:sz w:val="22"/>
          <w:szCs w:val="22"/>
        </w:rPr>
        <w:t>ed</w:t>
      </w:r>
      <w:r w:rsidR="00B134B6">
        <w:rPr>
          <w:rFonts w:ascii="Arial" w:hAnsi="Arial" w:cs="Arial"/>
          <w:color w:val="000000"/>
          <w:sz w:val="22"/>
          <w:szCs w:val="22"/>
        </w:rPr>
        <w:t xml:space="preserve"> the hypothesis that</w:t>
      </w:r>
      <w:r w:rsidR="005D789F">
        <w:rPr>
          <w:rFonts w:ascii="Arial" w:hAnsi="Arial" w:cs="Arial"/>
          <w:color w:val="000000"/>
          <w:sz w:val="22"/>
          <w:szCs w:val="22"/>
        </w:rPr>
        <w:t xml:space="preserve"> gustatory receptors are differentially expressed towards human</w:t>
      </w:r>
      <w:r w:rsidR="0086606A">
        <w:rPr>
          <w:rFonts w:ascii="Arial" w:hAnsi="Arial" w:cs="Arial"/>
          <w:color w:val="000000"/>
          <w:sz w:val="22"/>
          <w:szCs w:val="22"/>
        </w:rPr>
        <w:t>.</w:t>
      </w:r>
    </w:p>
    <w:p w:rsidR="00CC69E0" w:rsidRDefault="00CC69E0" w:rsidP="00CC69E0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22"/>
          <w:szCs w:val="22"/>
        </w:rPr>
      </w:pPr>
    </w:p>
    <w:p w:rsidR="00CC69E0" w:rsidRDefault="00CC69E0" w:rsidP="00CC69E0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22"/>
          <w:szCs w:val="22"/>
        </w:rPr>
      </w:pPr>
    </w:p>
    <w:p w:rsidR="00CC69E0" w:rsidRDefault="00CC69E0" w:rsidP="00CC69E0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22"/>
          <w:szCs w:val="22"/>
        </w:rPr>
      </w:pPr>
    </w:p>
    <w:p w:rsidR="00CC69E0" w:rsidRDefault="00CC69E0" w:rsidP="00CC69E0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22"/>
          <w:szCs w:val="22"/>
        </w:rPr>
      </w:pPr>
    </w:p>
    <w:p w:rsidR="00CC69E0" w:rsidRDefault="00CC69E0" w:rsidP="00CC69E0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22"/>
          <w:szCs w:val="22"/>
        </w:rPr>
      </w:pPr>
    </w:p>
    <w:p w:rsidR="00ED3C85" w:rsidRDefault="00ED3C85" w:rsidP="00CC69E0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22"/>
          <w:szCs w:val="22"/>
        </w:rPr>
      </w:pPr>
    </w:p>
    <w:p w:rsidR="00ED3C85" w:rsidRDefault="00ED3C85" w:rsidP="00CC69E0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22"/>
          <w:szCs w:val="22"/>
        </w:rPr>
      </w:pPr>
    </w:p>
    <w:p w:rsidR="00ED3C85" w:rsidRDefault="00ED3C85" w:rsidP="00CC69E0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22"/>
          <w:szCs w:val="22"/>
        </w:rPr>
      </w:pPr>
    </w:p>
    <w:p w:rsidR="00ED3C85" w:rsidRDefault="00ED3C85" w:rsidP="00CC69E0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22"/>
          <w:szCs w:val="22"/>
        </w:rPr>
      </w:pPr>
    </w:p>
    <w:p w:rsidR="00CC69E0" w:rsidRPr="00EC3918" w:rsidRDefault="00CC69E0" w:rsidP="00CC69E0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color w:val="000000"/>
          <w:sz w:val="22"/>
          <w:szCs w:val="22"/>
        </w:rPr>
      </w:pPr>
      <w:r w:rsidRPr="00EC3918">
        <w:rPr>
          <w:rFonts w:ascii="Arial" w:hAnsi="Arial" w:cs="Arial"/>
          <w:b/>
          <w:color w:val="000000"/>
          <w:sz w:val="22"/>
          <w:szCs w:val="22"/>
        </w:rPr>
        <w:t>Graphs</w:t>
      </w:r>
    </w:p>
    <w:p w:rsidR="00FD6DAE" w:rsidRDefault="00FD6DAE" w:rsidP="00CC69E0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INCLUDEPICTURE "https://lh6.googleusercontent.com/gYAVPwPDeP5XUi1ZutNscuNRSZW3hEa_-XCJL4iwTGT4mFu2oKMLP_h-LMNiEnpahM3seS0pq-fbOUWNVZ_10iqkdUBq1LLvQFurWT54r9tO5aZ4IuJVCcer4UItl0YvnZPfWvRqIg39JHXksg" \* MERGEFORMATINET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4305600" cy="3227792"/>
            <wp:effectExtent l="0" t="0" r="0" b="0"/>
            <wp:docPr id="11" name="Picture 11" descr="/var/folders/5y/rdgj9h0d2sg91sgt1hm2873m0000gn/T/com.microsoft.Word/WebArchiveCopyPasteTempFiles/plot_zoom_png?width=871&amp;height=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var/folders/5y/rdgj9h0d2sg91sgt1hm2873m0000gn/T/com.microsoft.Word/WebArchiveCopyPasteTempFiles/plot_zoom_png?width=871&amp;height=70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643" cy="323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</w:p>
    <w:p w:rsidR="00604D5D" w:rsidRPr="00604D5D" w:rsidRDefault="005D789F" w:rsidP="00604D5D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  <w:r w:rsidRPr="00EC3918">
        <w:rPr>
          <w:rFonts w:ascii="Arial" w:hAnsi="Arial" w:cs="Arial"/>
          <w:color w:val="000000"/>
          <w:sz w:val="22"/>
          <w:szCs w:val="22"/>
        </w:rPr>
        <w:t xml:space="preserve">Figure 1. </w:t>
      </w:r>
      <w:r w:rsidR="00953BAD" w:rsidRPr="00EC3918">
        <w:rPr>
          <w:rFonts w:ascii="Arial" w:hAnsi="Arial" w:cs="Arial"/>
          <w:color w:val="000000"/>
          <w:sz w:val="22"/>
          <w:szCs w:val="22"/>
        </w:rPr>
        <w:t>Bar</w:t>
      </w:r>
      <w:r w:rsidR="00953BAD">
        <w:rPr>
          <w:rFonts w:ascii="Arial" w:hAnsi="Arial" w:cs="Arial"/>
          <w:color w:val="000000"/>
          <w:sz w:val="22"/>
          <w:szCs w:val="22"/>
        </w:rPr>
        <w:t xml:space="preserve"> plots of </w:t>
      </w:r>
      <w:proofErr w:type="spellStart"/>
      <w:r w:rsidR="00953BAD">
        <w:rPr>
          <w:rFonts w:ascii="Arial" w:hAnsi="Arial" w:cs="Arial"/>
          <w:color w:val="000000"/>
          <w:sz w:val="22"/>
          <w:szCs w:val="22"/>
        </w:rPr>
        <w:t>logFC</w:t>
      </w:r>
      <w:proofErr w:type="spellEnd"/>
      <w:r w:rsidR="00953BAD">
        <w:rPr>
          <w:rFonts w:ascii="Arial" w:hAnsi="Arial" w:cs="Arial"/>
          <w:color w:val="000000"/>
          <w:sz w:val="22"/>
          <w:szCs w:val="22"/>
        </w:rPr>
        <w:t xml:space="preserve"> of </w:t>
      </w:r>
      <w:r w:rsidR="00953BAD" w:rsidRPr="00953BAD">
        <w:rPr>
          <w:rFonts w:ascii="Arial" w:hAnsi="Arial" w:cs="Arial"/>
          <w:i/>
          <w:color w:val="000000"/>
          <w:sz w:val="22"/>
          <w:szCs w:val="22"/>
        </w:rPr>
        <w:t>Gr2</w:t>
      </w:r>
      <w:r w:rsidR="00953BAD">
        <w:rPr>
          <w:rFonts w:ascii="Arial" w:hAnsi="Arial" w:cs="Arial"/>
          <w:color w:val="000000"/>
          <w:sz w:val="22"/>
          <w:szCs w:val="22"/>
        </w:rPr>
        <w:t xml:space="preserve"> gene and mean </w:t>
      </w:r>
      <w:proofErr w:type="spellStart"/>
      <w:r w:rsidR="00953BAD">
        <w:rPr>
          <w:rFonts w:ascii="Arial" w:hAnsi="Arial" w:cs="Arial"/>
          <w:color w:val="000000"/>
          <w:sz w:val="22"/>
          <w:szCs w:val="22"/>
        </w:rPr>
        <w:t>logFC</w:t>
      </w:r>
      <w:proofErr w:type="spellEnd"/>
      <w:r w:rsidR="00953BAD">
        <w:rPr>
          <w:rFonts w:ascii="Arial" w:hAnsi="Arial" w:cs="Arial"/>
          <w:color w:val="000000"/>
          <w:sz w:val="22"/>
          <w:szCs w:val="22"/>
        </w:rPr>
        <w:t xml:space="preserve"> in hybrid and non-hybrid populations</w:t>
      </w:r>
    </w:p>
    <w:p w:rsidR="00604D5D" w:rsidRDefault="00604D5D" w:rsidP="00604D5D">
      <w:pPr>
        <w:jc w:val="center"/>
      </w:pPr>
      <w:r>
        <w:fldChar w:fldCharType="begin"/>
      </w:r>
      <w:r>
        <w:instrText xml:space="preserve"> INCLUDEPICTURE "/var/folders/5y/rdgj9h0d2sg91sgt1hm2873m0000gn/T/com.microsoft.Word/WebArchiveCopyPasteTempFiles/plot_zoom_png?width=787&amp;height=689"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4295163" cy="3222749"/>
            <wp:effectExtent l="0" t="0" r="0" b="3175"/>
            <wp:docPr id="12" name="Picture 12" descr="/var/folders/5y/rdgj9h0d2sg91sgt1hm2873m0000gn/T/com.microsoft.Word/WebArchiveCopyPasteTempFiles/plot_zoom_png?width=787&amp;height=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 descr="/var/folders/5y/rdgj9h0d2sg91sgt1hm2873m0000gn/T/com.microsoft.Word/WebArchiveCopyPasteTempFiles/plot_zoom_png?width=787&amp;height=68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704" cy="323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604D5D" w:rsidRDefault="00604D5D" w:rsidP="00604D5D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  <w:r w:rsidRPr="00EC3918">
        <w:rPr>
          <w:rFonts w:ascii="Arial" w:hAnsi="Arial" w:cs="Arial"/>
          <w:color w:val="000000"/>
          <w:sz w:val="22"/>
          <w:szCs w:val="22"/>
        </w:rPr>
        <w:t>Figure 2.</w:t>
      </w:r>
      <w:r>
        <w:rPr>
          <w:rFonts w:ascii="Arial" w:hAnsi="Arial" w:cs="Arial"/>
          <w:color w:val="000000"/>
          <w:sz w:val="22"/>
          <w:szCs w:val="22"/>
        </w:rPr>
        <w:t xml:space="preserve"> Box plots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logCPM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of </w:t>
      </w:r>
      <w:r w:rsidRPr="000C521D">
        <w:rPr>
          <w:rFonts w:ascii="Arial" w:hAnsi="Arial" w:cs="Arial"/>
          <w:i/>
          <w:color w:val="000000"/>
          <w:sz w:val="22"/>
          <w:szCs w:val="22"/>
        </w:rPr>
        <w:t>Gr2</w:t>
      </w:r>
      <w:r>
        <w:rPr>
          <w:rFonts w:ascii="Arial" w:hAnsi="Arial" w:cs="Arial"/>
          <w:color w:val="000000"/>
          <w:sz w:val="22"/>
          <w:szCs w:val="22"/>
        </w:rPr>
        <w:t xml:space="preserve"> gene in domestic and forest populations</w:t>
      </w:r>
    </w:p>
    <w:p w:rsidR="00604D5D" w:rsidRPr="000C521D" w:rsidRDefault="00604D5D" w:rsidP="00604D5D">
      <w:pPr>
        <w:pStyle w:val="NormalWeb"/>
        <w:spacing w:before="0" w:beforeAutospacing="0" w:after="0" w:afterAutospacing="0" w:line="360" w:lineRule="auto"/>
        <w:jc w:val="center"/>
        <w:rPr>
          <w:rFonts w:ascii="-webkit-standard" w:hAnsi="-webkit-standard"/>
          <w:color w:val="000000"/>
        </w:rPr>
      </w:pPr>
    </w:p>
    <w:p w:rsidR="00604D5D" w:rsidRDefault="00604D5D" w:rsidP="00604D5D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604D5D" w:rsidRDefault="00604D5D" w:rsidP="00604D5D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604D5D" w:rsidRDefault="00604D5D" w:rsidP="00604D5D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604D5D" w:rsidRDefault="00604D5D" w:rsidP="00604D5D">
      <w:pPr>
        <w:pStyle w:val="NormalWeb"/>
        <w:spacing w:before="0" w:beforeAutospacing="0" w:after="0" w:afterAutospacing="0" w:line="360" w:lineRule="auto"/>
        <w:rPr>
          <w:rFonts w:ascii="-webkit-standard" w:hAnsi="-webkit-standard"/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References</w:t>
      </w:r>
    </w:p>
    <w:p w:rsidR="00604D5D" w:rsidRDefault="00604D5D" w:rsidP="00604D5D">
      <w:pPr>
        <w:pStyle w:val="NormalWeb"/>
        <w:spacing w:before="0" w:beforeAutospacing="0" w:after="0" w:afterAutospacing="0" w:line="360" w:lineRule="auto"/>
        <w:rPr>
          <w:rFonts w:ascii="-webkit-standard" w:hAnsi="-webkit-standard"/>
          <w:color w:val="000000"/>
        </w:rPr>
      </w:pPr>
      <w:proofErr w:type="spellStart"/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Tauxe</w:t>
      </w:r>
      <w:proofErr w:type="spellEnd"/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, Genevieve M., et al. "Targeting a dual detector of skin and CO2 to modify mosquito host seeking." </w:t>
      </w:r>
      <w:r>
        <w:rPr>
          <w:rFonts w:ascii="Arial" w:hAnsi="Arial" w:cs="Arial"/>
          <w:i/>
          <w:iCs/>
          <w:color w:val="222222"/>
          <w:sz w:val="22"/>
          <w:szCs w:val="22"/>
        </w:rPr>
        <w:t>Cell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 155.6, 2013, pp. 1365-1379.</w:t>
      </w:r>
    </w:p>
    <w:p w:rsidR="00604D5D" w:rsidRDefault="00604D5D" w:rsidP="00604D5D">
      <w:pPr>
        <w:pStyle w:val="NormalWeb"/>
        <w:spacing w:before="0" w:beforeAutospacing="0" w:after="0" w:afterAutospacing="0" w:line="360" w:lineRule="auto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McBride, Carolyn S., et al. "Evolution of mosquito preference for humans linked to an odorant receptor." </w:t>
      </w:r>
      <w:r>
        <w:rPr>
          <w:rFonts w:ascii="Arial" w:hAnsi="Arial" w:cs="Arial"/>
          <w:i/>
          <w:iCs/>
          <w:color w:val="222222"/>
          <w:sz w:val="22"/>
          <w:szCs w:val="22"/>
        </w:rPr>
        <w:t>Nature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 515.7526, 2014, pp. 222.</w:t>
      </w:r>
    </w:p>
    <w:p w:rsidR="00604D5D" w:rsidRDefault="00604D5D" w:rsidP="00604D5D">
      <w:pPr>
        <w:spacing w:after="240" w:line="360" w:lineRule="auto"/>
      </w:pPr>
    </w:p>
    <w:p w:rsidR="009E61F1" w:rsidRPr="005416DB" w:rsidRDefault="009E61F1" w:rsidP="00CC69E0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9E61F1" w:rsidRPr="005416DB" w:rsidSect="00072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DE"/>
    <w:rsid w:val="00012084"/>
    <w:rsid w:val="0007209F"/>
    <w:rsid w:val="000C521D"/>
    <w:rsid w:val="00131E28"/>
    <w:rsid w:val="001860B9"/>
    <w:rsid w:val="001E00AD"/>
    <w:rsid w:val="002329B8"/>
    <w:rsid w:val="00272BDE"/>
    <w:rsid w:val="002F698A"/>
    <w:rsid w:val="003262F9"/>
    <w:rsid w:val="00364A9E"/>
    <w:rsid w:val="003804BB"/>
    <w:rsid w:val="003B15C0"/>
    <w:rsid w:val="004E567D"/>
    <w:rsid w:val="005416DB"/>
    <w:rsid w:val="005649D5"/>
    <w:rsid w:val="00585B13"/>
    <w:rsid w:val="00597A3F"/>
    <w:rsid w:val="005A705E"/>
    <w:rsid w:val="005B6D0C"/>
    <w:rsid w:val="005C3CF4"/>
    <w:rsid w:val="005D789F"/>
    <w:rsid w:val="00604D5D"/>
    <w:rsid w:val="00706301"/>
    <w:rsid w:val="008627DE"/>
    <w:rsid w:val="0086606A"/>
    <w:rsid w:val="008922E6"/>
    <w:rsid w:val="00941FFA"/>
    <w:rsid w:val="00953BAD"/>
    <w:rsid w:val="00983D2B"/>
    <w:rsid w:val="009935E1"/>
    <w:rsid w:val="009E61F1"/>
    <w:rsid w:val="009F44B0"/>
    <w:rsid w:val="00A0221E"/>
    <w:rsid w:val="00A22850"/>
    <w:rsid w:val="00A2417E"/>
    <w:rsid w:val="00A305F2"/>
    <w:rsid w:val="00AF0967"/>
    <w:rsid w:val="00B134B6"/>
    <w:rsid w:val="00B16CAE"/>
    <w:rsid w:val="00B17484"/>
    <w:rsid w:val="00B36D85"/>
    <w:rsid w:val="00BF7BC5"/>
    <w:rsid w:val="00C4021C"/>
    <w:rsid w:val="00C95CF9"/>
    <w:rsid w:val="00CC69E0"/>
    <w:rsid w:val="00CF56A8"/>
    <w:rsid w:val="00D40E8D"/>
    <w:rsid w:val="00E10438"/>
    <w:rsid w:val="00E82B04"/>
    <w:rsid w:val="00EB00FC"/>
    <w:rsid w:val="00EC3918"/>
    <w:rsid w:val="00ED3C85"/>
    <w:rsid w:val="00F525FA"/>
    <w:rsid w:val="00F77CEB"/>
    <w:rsid w:val="00FA5A46"/>
    <w:rsid w:val="00FD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C8621"/>
  <w15:chartTrackingRefBased/>
  <w15:docId w15:val="{243CCF08-F8AE-734E-9C4D-600312BC0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6CA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6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61F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83D2B"/>
  </w:style>
  <w:style w:type="paragraph" w:styleId="NormalWeb">
    <w:name w:val="Normal (Web)"/>
    <w:basedOn w:val="Normal"/>
    <w:uiPriority w:val="99"/>
    <w:unhideWhenUsed/>
    <w:rsid w:val="00FD6DA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445</Words>
  <Characters>2488</Characters>
  <Application>Microsoft Office Word</Application>
  <DocSecurity>0</DocSecurity>
  <Lines>55</Lines>
  <Paragraphs>12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Phan</dc:creator>
  <cp:keywords/>
  <dc:description/>
  <cp:lastModifiedBy>Huong Phan</cp:lastModifiedBy>
  <cp:revision>55</cp:revision>
  <dcterms:created xsi:type="dcterms:W3CDTF">2019-05-02T00:23:00Z</dcterms:created>
  <dcterms:modified xsi:type="dcterms:W3CDTF">2019-05-04T02:10:00Z</dcterms:modified>
</cp:coreProperties>
</file>