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C91A2" w14:textId="49002646" w:rsidR="002F0BFB" w:rsidRDefault="00AE3548" w:rsidP="000744CF">
      <w:pPr>
        <w:jc w:val="both"/>
        <w:rPr>
          <w:rFonts w:ascii="Times New Roman" w:hAnsi="Times New Roman" w:cs="Times New Roman"/>
          <w:sz w:val="28"/>
          <w:szCs w:val="28"/>
        </w:rPr>
      </w:pPr>
      <w:r w:rsidRPr="000744CF">
        <w:rPr>
          <w:rFonts w:ascii="Times New Roman" w:hAnsi="Times New Roman" w:cs="Times New Roman"/>
          <w:color w:val="00B050"/>
          <w:sz w:val="28"/>
          <w:szCs w:val="28"/>
        </w:rPr>
        <w:t xml:space="preserve">Take </w:t>
      </w:r>
      <w:r w:rsidR="00BB6308" w:rsidRPr="000744CF">
        <w:rPr>
          <w:rFonts w:ascii="Times New Roman" w:hAnsi="Times New Roman" w:cs="Times New Roman"/>
          <w:color w:val="00B050"/>
          <w:sz w:val="28"/>
          <w:szCs w:val="28"/>
        </w:rPr>
        <w:t>salaam</w:t>
      </w:r>
      <w:r w:rsidRPr="000744CF">
        <w:rPr>
          <w:rFonts w:ascii="Times New Roman" w:hAnsi="Times New Roman" w:cs="Times New Roman"/>
          <w:color w:val="00B050"/>
          <w:sz w:val="28"/>
          <w:szCs w:val="28"/>
        </w:rPr>
        <w:t xml:space="preserve"> </w:t>
      </w:r>
      <w:r w:rsidR="003E16A8" w:rsidRPr="000744CF">
        <w:rPr>
          <w:rFonts w:ascii="Times New Roman" w:hAnsi="Times New Roman" w:cs="Times New Roman"/>
          <w:color w:val="00B050"/>
          <w:sz w:val="28"/>
          <w:szCs w:val="28"/>
        </w:rPr>
        <w:t>everyone, I am Nishat Tasnim Alvi before you.</w:t>
      </w:r>
      <w:r w:rsidR="00804BAB" w:rsidRPr="000744CF">
        <w:rPr>
          <w:rFonts w:ascii="Times New Roman" w:hAnsi="Times New Roman" w:cs="Times New Roman"/>
          <w:color w:val="00B050"/>
          <w:sz w:val="28"/>
          <w:szCs w:val="28"/>
        </w:rPr>
        <w:t xml:space="preserve"> Now I am going to presenting </w:t>
      </w:r>
      <w:r w:rsidR="00BB6308" w:rsidRPr="000744CF">
        <w:rPr>
          <w:rFonts w:ascii="Times New Roman" w:hAnsi="Times New Roman" w:cs="Times New Roman"/>
          <w:color w:val="00B050"/>
          <w:sz w:val="28"/>
          <w:szCs w:val="28"/>
        </w:rPr>
        <w:t xml:space="preserve">my topic under registration act </w:t>
      </w:r>
      <w:r w:rsidR="00BB6308" w:rsidRPr="00A231E7">
        <w:rPr>
          <w:rFonts w:ascii="Times New Roman" w:hAnsi="Times New Roman" w:cs="Times New Roman"/>
          <w:color w:val="EE0000"/>
          <w:sz w:val="28"/>
          <w:szCs w:val="28"/>
        </w:rPr>
        <w:t xml:space="preserve">section </w:t>
      </w:r>
      <w:r w:rsidR="00A231E7" w:rsidRPr="00A231E7">
        <w:rPr>
          <w:rFonts w:ascii="Times New Roman" w:hAnsi="Times New Roman" w:cs="Times New Roman"/>
          <w:color w:val="EE0000"/>
          <w:sz w:val="28"/>
          <w:szCs w:val="28"/>
        </w:rPr>
        <w:t>83 and 84.</w:t>
      </w:r>
    </w:p>
    <w:p w14:paraId="315C84CF" w14:textId="2C519EE8" w:rsidR="00B41499" w:rsidRDefault="00B41499" w:rsidP="000744CF">
      <w:pPr>
        <w:jc w:val="both"/>
        <w:rPr>
          <w:rFonts w:ascii="Times New Roman" w:hAnsi="Times New Roman" w:cs="Times New Roman"/>
          <w:sz w:val="28"/>
          <w:szCs w:val="28"/>
        </w:rPr>
      </w:pPr>
      <w:r>
        <w:rPr>
          <w:rFonts w:ascii="Times New Roman" w:hAnsi="Times New Roman" w:cs="Times New Roman"/>
          <w:sz w:val="28"/>
          <w:szCs w:val="28"/>
        </w:rPr>
        <w:t xml:space="preserve">According to section 83 of registration </w:t>
      </w:r>
      <w:r w:rsidR="002836FA">
        <w:rPr>
          <w:rFonts w:ascii="Times New Roman" w:hAnsi="Times New Roman" w:cs="Times New Roman"/>
          <w:sz w:val="28"/>
          <w:szCs w:val="28"/>
        </w:rPr>
        <w:t>act 1908 states that,</w:t>
      </w:r>
    </w:p>
    <w:p w14:paraId="4FF894D5" w14:textId="77777777" w:rsidR="000B3E48" w:rsidRPr="000B3E48" w:rsidRDefault="000B3E48" w:rsidP="000744CF">
      <w:pPr>
        <w:numPr>
          <w:ilvl w:val="0"/>
          <w:numId w:val="1"/>
        </w:numPr>
        <w:jc w:val="both"/>
        <w:rPr>
          <w:rFonts w:ascii="Times New Roman" w:hAnsi="Times New Roman" w:cs="Times New Roman"/>
          <w:sz w:val="28"/>
          <w:szCs w:val="28"/>
        </w:rPr>
      </w:pPr>
      <w:r w:rsidRPr="000B3E48">
        <w:rPr>
          <w:rFonts w:ascii="Times New Roman" w:hAnsi="Times New Roman" w:cs="Times New Roman"/>
          <w:sz w:val="28"/>
          <w:szCs w:val="28"/>
        </w:rPr>
        <w:t>Query successful</w:t>
      </w:r>
    </w:p>
    <w:p w14:paraId="0E728566" w14:textId="77777777" w:rsidR="000B3E48" w:rsidRPr="000B3E48" w:rsidRDefault="000B3E48" w:rsidP="000744CF">
      <w:pPr>
        <w:jc w:val="both"/>
        <w:rPr>
          <w:rFonts w:ascii="Times New Roman" w:hAnsi="Times New Roman" w:cs="Times New Roman"/>
          <w:sz w:val="28"/>
          <w:szCs w:val="28"/>
        </w:rPr>
      </w:pPr>
      <w:r w:rsidRPr="000B3E48">
        <w:rPr>
          <w:rFonts w:ascii="Times New Roman" w:hAnsi="Times New Roman" w:cs="Times New Roman"/>
          <w:sz w:val="28"/>
          <w:szCs w:val="28"/>
        </w:rPr>
        <w:t xml:space="preserve">Try again without apps </w:t>
      </w:r>
    </w:p>
    <w:p w14:paraId="5A74619C" w14:textId="77777777" w:rsidR="000B3E48" w:rsidRPr="000B3E48" w:rsidRDefault="000B3E48" w:rsidP="000744CF">
      <w:pPr>
        <w:jc w:val="both"/>
        <w:rPr>
          <w:rFonts w:ascii="Times New Roman" w:hAnsi="Times New Roman" w:cs="Times New Roman"/>
          <w:sz w:val="28"/>
          <w:szCs w:val="28"/>
        </w:rPr>
      </w:pPr>
      <w:r w:rsidRPr="000B3E48">
        <w:rPr>
          <w:rFonts w:ascii="Times New Roman" w:hAnsi="Times New Roman" w:cs="Times New Roman"/>
          <w:sz w:val="28"/>
          <w:szCs w:val="28"/>
        </w:rPr>
        <w:t xml:space="preserve">Section 83 most commonly refers to </w:t>
      </w:r>
      <w:r w:rsidRPr="000B3E48">
        <w:rPr>
          <w:rFonts w:ascii="Times New Roman" w:hAnsi="Times New Roman" w:cs="Times New Roman"/>
          <w:b/>
          <w:bCs/>
          <w:sz w:val="28"/>
          <w:szCs w:val="28"/>
        </w:rPr>
        <w:t>Section 83 of the Registration Act, 1908</w:t>
      </w:r>
      <w:r w:rsidRPr="000B3E48">
        <w:rPr>
          <w:rFonts w:ascii="Times New Roman" w:hAnsi="Times New Roman" w:cs="Times New Roman"/>
          <w:sz w:val="28"/>
          <w:szCs w:val="28"/>
        </w:rPr>
        <w:t xml:space="preserve">, which deals with the power of a </w:t>
      </w:r>
      <w:r w:rsidRPr="000B3E48">
        <w:rPr>
          <w:rFonts w:ascii="Times New Roman" w:hAnsi="Times New Roman" w:cs="Times New Roman"/>
          <w:b/>
          <w:bCs/>
          <w:sz w:val="28"/>
          <w:szCs w:val="28"/>
        </w:rPr>
        <w:t>Registering Officer to commence prosecutions</w:t>
      </w:r>
      <w:r w:rsidRPr="000B3E48">
        <w:rPr>
          <w:rFonts w:ascii="Times New Roman" w:hAnsi="Times New Roman" w:cs="Times New Roman"/>
          <w:sz w:val="28"/>
          <w:szCs w:val="28"/>
        </w:rPr>
        <w:t xml:space="preserve"> for offenses under that Act.</w:t>
      </w:r>
    </w:p>
    <w:p w14:paraId="3DD1896B" w14:textId="77777777" w:rsidR="000B3E48" w:rsidRPr="000B3E48" w:rsidRDefault="000B3E48" w:rsidP="000744CF">
      <w:pPr>
        <w:jc w:val="both"/>
        <w:rPr>
          <w:rFonts w:ascii="Times New Roman" w:hAnsi="Times New Roman" w:cs="Times New Roman"/>
          <w:sz w:val="28"/>
          <w:szCs w:val="28"/>
        </w:rPr>
      </w:pPr>
      <w:r w:rsidRPr="000B3E48">
        <w:rPr>
          <w:rFonts w:ascii="Times New Roman" w:hAnsi="Times New Roman" w:cs="Times New Roman"/>
          <w:sz w:val="28"/>
          <w:szCs w:val="28"/>
        </w:rPr>
        <w:t>Here is a breakdown of the key provision:</w:t>
      </w:r>
    </w:p>
    <w:p w14:paraId="2A91AF5B" w14:textId="77777777" w:rsidR="000B3E48" w:rsidRPr="000B3E48" w:rsidRDefault="000B3E48" w:rsidP="000744CF">
      <w:pPr>
        <w:numPr>
          <w:ilvl w:val="0"/>
          <w:numId w:val="2"/>
        </w:numPr>
        <w:jc w:val="both"/>
        <w:rPr>
          <w:rFonts w:ascii="Times New Roman" w:hAnsi="Times New Roman" w:cs="Times New Roman"/>
          <w:sz w:val="28"/>
          <w:szCs w:val="28"/>
        </w:rPr>
      </w:pPr>
      <w:r w:rsidRPr="000B3E48">
        <w:rPr>
          <w:rFonts w:ascii="Times New Roman" w:hAnsi="Times New Roman" w:cs="Times New Roman"/>
          <w:b/>
          <w:bCs/>
          <w:sz w:val="28"/>
          <w:szCs w:val="28"/>
        </w:rPr>
        <w:t>Subject:</w:t>
      </w:r>
      <w:r w:rsidRPr="000B3E48">
        <w:rPr>
          <w:rFonts w:ascii="Times New Roman" w:hAnsi="Times New Roman" w:cs="Times New Roman"/>
          <w:sz w:val="28"/>
          <w:szCs w:val="28"/>
        </w:rPr>
        <w:t xml:space="preserve"> Registering Officer may commence prosecutions.</w:t>
      </w:r>
    </w:p>
    <w:p w14:paraId="3200F599" w14:textId="77777777" w:rsidR="000B3E48" w:rsidRPr="000B3E48" w:rsidRDefault="000B3E48" w:rsidP="000744CF">
      <w:pPr>
        <w:numPr>
          <w:ilvl w:val="0"/>
          <w:numId w:val="2"/>
        </w:numPr>
        <w:jc w:val="both"/>
        <w:rPr>
          <w:rFonts w:ascii="Times New Roman" w:hAnsi="Times New Roman" w:cs="Times New Roman"/>
          <w:sz w:val="28"/>
          <w:szCs w:val="28"/>
        </w:rPr>
      </w:pPr>
      <w:r w:rsidRPr="000B3E48">
        <w:rPr>
          <w:rFonts w:ascii="Times New Roman" w:hAnsi="Times New Roman" w:cs="Times New Roman"/>
          <w:b/>
          <w:bCs/>
          <w:sz w:val="28"/>
          <w:szCs w:val="28"/>
        </w:rPr>
        <w:t>Provision:</w:t>
      </w:r>
      <w:r w:rsidRPr="000B3E48">
        <w:rPr>
          <w:rFonts w:ascii="Times New Roman" w:hAnsi="Times New Roman" w:cs="Times New Roman"/>
          <w:sz w:val="28"/>
          <w:szCs w:val="28"/>
        </w:rPr>
        <w:t xml:space="preserve"> A prosecution for any offense under the Act that comes to the knowledge of a registering officer in their official capacity may be commenced </w:t>
      </w:r>
      <w:r w:rsidRPr="000B3E48">
        <w:rPr>
          <w:rFonts w:ascii="Times New Roman" w:hAnsi="Times New Roman" w:cs="Times New Roman"/>
          <w:b/>
          <w:bCs/>
          <w:sz w:val="28"/>
          <w:szCs w:val="28"/>
        </w:rPr>
        <w:t>by</w:t>
      </w:r>
      <w:r w:rsidRPr="000B3E48">
        <w:rPr>
          <w:rFonts w:ascii="Times New Roman" w:hAnsi="Times New Roman" w:cs="Times New Roman"/>
          <w:sz w:val="28"/>
          <w:szCs w:val="28"/>
        </w:rPr>
        <w:t xml:space="preserve"> or </w:t>
      </w:r>
      <w:r w:rsidRPr="000B3E48">
        <w:rPr>
          <w:rFonts w:ascii="Times New Roman" w:hAnsi="Times New Roman" w:cs="Times New Roman"/>
          <w:b/>
          <w:bCs/>
          <w:sz w:val="28"/>
          <w:szCs w:val="28"/>
        </w:rPr>
        <w:t>with the permission</w:t>
      </w:r>
      <w:r w:rsidRPr="000B3E48">
        <w:rPr>
          <w:rFonts w:ascii="Times New Roman" w:hAnsi="Times New Roman" w:cs="Times New Roman"/>
          <w:sz w:val="28"/>
          <w:szCs w:val="28"/>
        </w:rPr>
        <w:t xml:space="preserve"> of the:</w:t>
      </w:r>
    </w:p>
    <w:p w14:paraId="69DAC99E" w14:textId="77777777" w:rsidR="000B3E48" w:rsidRPr="000B3E48" w:rsidRDefault="000B3E48" w:rsidP="000744CF">
      <w:pPr>
        <w:numPr>
          <w:ilvl w:val="1"/>
          <w:numId w:val="2"/>
        </w:numPr>
        <w:jc w:val="both"/>
        <w:rPr>
          <w:rFonts w:ascii="Times New Roman" w:hAnsi="Times New Roman" w:cs="Times New Roman"/>
          <w:sz w:val="28"/>
          <w:szCs w:val="28"/>
        </w:rPr>
      </w:pPr>
      <w:r w:rsidRPr="000B3E48">
        <w:rPr>
          <w:rFonts w:ascii="Times New Roman" w:hAnsi="Times New Roman" w:cs="Times New Roman"/>
          <w:sz w:val="28"/>
          <w:szCs w:val="28"/>
        </w:rPr>
        <w:t>Inspector-General,</w:t>
      </w:r>
    </w:p>
    <w:p w14:paraId="0975A6D7" w14:textId="77777777" w:rsidR="000B3E48" w:rsidRPr="000B3E48" w:rsidRDefault="000B3E48" w:rsidP="000744CF">
      <w:pPr>
        <w:numPr>
          <w:ilvl w:val="1"/>
          <w:numId w:val="2"/>
        </w:numPr>
        <w:jc w:val="both"/>
        <w:rPr>
          <w:rFonts w:ascii="Times New Roman" w:hAnsi="Times New Roman" w:cs="Times New Roman"/>
          <w:sz w:val="28"/>
          <w:szCs w:val="28"/>
        </w:rPr>
      </w:pPr>
      <w:r w:rsidRPr="000B3E48">
        <w:rPr>
          <w:rFonts w:ascii="Times New Roman" w:hAnsi="Times New Roman" w:cs="Times New Roman"/>
          <w:sz w:val="28"/>
          <w:szCs w:val="28"/>
        </w:rPr>
        <w:t>Registrar, or</w:t>
      </w:r>
    </w:p>
    <w:p w14:paraId="018E43ED" w14:textId="77777777" w:rsidR="000B3E48" w:rsidRPr="000B3E48" w:rsidRDefault="000B3E48" w:rsidP="000744CF">
      <w:pPr>
        <w:numPr>
          <w:ilvl w:val="1"/>
          <w:numId w:val="2"/>
        </w:numPr>
        <w:jc w:val="both"/>
        <w:rPr>
          <w:rFonts w:ascii="Times New Roman" w:hAnsi="Times New Roman" w:cs="Times New Roman"/>
          <w:sz w:val="28"/>
          <w:szCs w:val="28"/>
        </w:rPr>
      </w:pPr>
      <w:r w:rsidRPr="000B3E48">
        <w:rPr>
          <w:rFonts w:ascii="Times New Roman" w:hAnsi="Times New Roman" w:cs="Times New Roman"/>
          <w:sz w:val="28"/>
          <w:szCs w:val="28"/>
        </w:rPr>
        <w:t>Sub-Registrar</w:t>
      </w:r>
    </w:p>
    <w:p w14:paraId="49D088F4" w14:textId="77777777" w:rsidR="000B3E48" w:rsidRPr="000B3E48" w:rsidRDefault="000B3E48" w:rsidP="000744CF">
      <w:pPr>
        <w:numPr>
          <w:ilvl w:val="1"/>
          <w:numId w:val="2"/>
        </w:numPr>
        <w:jc w:val="both"/>
        <w:rPr>
          <w:rFonts w:ascii="Times New Roman" w:hAnsi="Times New Roman" w:cs="Times New Roman"/>
          <w:sz w:val="28"/>
          <w:szCs w:val="28"/>
        </w:rPr>
      </w:pPr>
      <w:r w:rsidRPr="000B3E48">
        <w:rPr>
          <w:rFonts w:ascii="Times New Roman" w:hAnsi="Times New Roman" w:cs="Times New Roman"/>
          <w:sz w:val="28"/>
          <w:szCs w:val="28"/>
        </w:rPr>
        <w:t>in whose territories, district, or sub-district the offense was committed.</w:t>
      </w:r>
    </w:p>
    <w:p w14:paraId="6022D8C6" w14:textId="77777777" w:rsidR="000B3E48" w:rsidRDefault="000B3E48" w:rsidP="000744CF">
      <w:pPr>
        <w:numPr>
          <w:ilvl w:val="0"/>
          <w:numId w:val="2"/>
        </w:numPr>
        <w:jc w:val="both"/>
        <w:rPr>
          <w:rFonts w:ascii="Times New Roman" w:hAnsi="Times New Roman" w:cs="Times New Roman"/>
          <w:sz w:val="28"/>
          <w:szCs w:val="28"/>
        </w:rPr>
      </w:pPr>
      <w:r w:rsidRPr="000B3E48">
        <w:rPr>
          <w:rFonts w:ascii="Times New Roman" w:hAnsi="Times New Roman" w:cs="Times New Roman"/>
          <w:b/>
          <w:bCs/>
          <w:sz w:val="28"/>
          <w:szCs w:val="28"/>
        </w:rPr>
        <w:t>Trial of Offenses:</w:t>
      </w:r>
      <w:r w:rsidRPr="000B3E48">
        <w:rPr>
          <w:rFonts w:ascii="Times New Roman" w:hAnsi="Times New Roman" w:cs="Times New Roman"/>
          <w:sz w:val="28"/>
          <w:szCs w:val="28"/>
        </w:rPr>
        <w:t xml:space="preserve"> Offenses punishable under the Act are generally triable by any court or officer exercising powers not less than those of a Magistrate of the second class.</w:t>
      </w:r>
    </w:p>
    <w:p w14:paraId="14A8EC62" w14:textId="671CD706" w:rsidR="003B6C93" w:rsidRDefault="0041010A" w:rsidP="000744CF">
      <w:pPr>
        <w:ind w:left="360"/>
        <w:jc w:val="both"/>
        <w:rPr>
          <w:rFonts w:ascii="Times New Roman" w:hAnsi="Times New Roman" w:cs="Times New Roman"/>
          <w:sz w:val="28"/>
          <w:szCs w:val="28"/>
        </w:rPr>
      </w:pPr>
      <w:r w:rsidRPr="0041010A">
        <w:rPr>
          <w:rFonts w:ascii="Times New Roman" w:hAnsi="Times New Roman" w:cs="Times New Roman"/>
          <w:sz w:val="28"/>
          <w:szCs w:val="28"/>
        </w:rPr>
        <w:t>case summary dharamdeo rai vs ramnagina rai 1972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6771"/>
      </w:tblGrid>
      <w:tr w:rsidR="009266CA" w:rsidRPr="009266CA" w14:paraId="1CE6348E" w14:textId="77777777">
        <w:trPr>
          <w:tblCellSpacing w:w="15" w:type="dxa"/>
        </w:trPr>
        <w:tc>
          <w:tcPr>
            <w:tcW w:w="0" w:type="auto"/>
            <w:vAlign w:val="center"/>
            <w:hideMark/>
          </w:tcPr>
          <w:p w14:paraId="08273EE6"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b/>
                <w:bCs/>
                <w:sz w:val="28"/>
                <w:szCs w:val="28"/>
              </w:rPr>
              <w:t>Background/Facts</w:t>
            </w:r>
          </w:p>
        </w:tc>
        <w:tc>
          <w:tcPr>
            <w:tcW w:w="0" w:type="auto"/>
            <w:vAlign w:val="center"/>
            <w:hideMark/>
          </w:tcPr>
          <w:p w14:paraId="64A4AF4E"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 xml:space="preserve">Ramnagina Rai filed a complaint alleging a conspiracy to forge a </w:t>
            </w:r>
            <w:r w:rsidRPr="009266CA">
              <w:rPr>
                <w:rFonts w:ascii="Times New Roman" w:hAnsi="Times New Roman" w:cs="Times New Roman"/>
                <w:i/>
                <w:iCs/>
                <w:sz w:val="28"/>
                <w:szCs w:val="28"/>
              </w:rPr>
              <w:t>Zerpeshgi</w:t>
            </w:r>
            <w:r w:rsidRPr="009266CA">
              <w:rPr>
                <w:rFonts w:ascii="Times New Roman" w:hAnsi="Times New Roman" w:cs="Times New Roman"/>
                <w:sz w:val="28"/>
                <w:szCs w:val="28"/>
              </w:rPr>
              <w:t xml:space="preserve"> deed (a mortgage deed) and false personation during the registration process. The trial court convicted some of the accused under the Indian Penal Code and the Registration Act. The High Court, on appeal, convicted the appellant, Dharmadeo Rai, under Section 82(d) of the Registration Act for abetment, finding that he had falsely identified one of the personators before the Sub-Registrar.</w:t>
            </w:r>
          </w:p>
        </w:tc>
      </w:tr>
      <w:tr w:rsidR="009266CA" w:rsidRPr="009266CA" w14:paraId="5A8FB4BE" w14:textId="77777777">
        <w:trPr>
          <w:tblCellSpacing w:w="15" w:type="dxa"/>
        </w:trPr>
        <w:tc>
          <w:tcPr>
            <w:tcW w:w="0" w:type="auto"/>
            <w:vAlign w:val="center"/>
            <w:hideMark/>
          </w:tcPr>
          <w:p w14:paraId="467AF0AB" w14:textId="77777777" w:rsidR="009266CA" w:rsidRPr="009266CA" w:rsidRDefault="009266CA" w:rsidP="009266CA">
            <w:pPr>
              <w:ind w:left="360"/>
              <w:rPr>
                <w:rFonts w:ascii="Times New Roman" w:hAnsi="Times New Roman" w:cs="Times New Roman"/>
                <w:sz w:val="28"/>
                <w:szCs w:val="28"/>
              </w:rPr>
            </w:pPr>
            <w:r w:rsidRPr="009266CA">
              <w:rPr>
                <w:rFonts w:ascii="Times New Roman" w:hAnsi="Times New Roman" w:cs="Times New Roman"/>
                <w:b/>
                <w:bCs/>
                <w:sz w:val="28"/>
                <w:szCs w:val="28"/>
              </w:rPr>
              <w:lastRenderedPageBreak/>
              <w:t>Main Legal Issue</w:t>
            </w:r>
          </w:p>
        </w:tc>
        <w:tc>
          <w:tcPr>
            <w:tcW w:w="0" w:type="auto"/>
            <w:vAlign w:val="center"/>
            <w:hideMark/>
          </w:tcPr>
          <w:p w14:paraId="756FBC17"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 xml:space="preserve">The core issue before the Supreme Court was whether a private individual (Ramnagina Rai) could file a criminal complaint for an offense under the Registration Act without first obtaining the </w:t>
            </w:r>
            <w:r w:rsidRPr="009266CA">
              <w:rPr>
                <w:rFonts w:ascii="Times New Roman" w:hAnsi="Times New Roman" w:cs="Times New Roman"/>
                <w:b/>
                <w:bCs/>
                <w:sz w:val="28"/>
                <w:szCs w:val="28"/>
              </w:rPr>
              <w:t>permission</w:t>
            </w:r>
            <w:r w:rsidRPr="009266CA">
              <w:rPr>
                <w:rFonts w:ascii="Times New Roman" w:hAnsi="Times New Roman" w:cs="Times New Roman"/>
                <w:sz w:val="28"/>
                <w:szCs w:val="28"/>
              </w:rPr>
              <w:t xml:space="preserve"> of the Registering Officer as mentioned in </w:t>
            </w:r>
            <w:r w:rsidRPr="009266CA">
              <w:rPr>
                <w:rFonts w:ascii="Times New Roman" w:hAnsi="Times New Roman" w:cs="Times New Roman"/>
                <w:b/>
                <w:bCs/>
                <w:sz w:val="28"/>
                <w:szCs w:val="28"/>
              </w:rPr>
              <w:t>Section 83(1)</w:t>
            </w:r>
            <w:r w:rsidRPr="009266CA">
              <w:rPr>
                <w:rFonts w:ascii="Times New Roman" w:hAnsi="Times New Roman" w:cs="Times New Roman"/>
                <w:sz w:val="28"/>
                <w:szCs w:val="28"/>
              </w:rPr>
              <w:t xml:space="preserve"> of the Act.</w:t>
            </w:r>
          </w:p>
        </w:tc>
      </w:tr>
      <w:tr w:rsidR="009266CA" w:rsidRPr="009266CA" w14:paraId="7BABA1D4" w14:textId="77777777">
        <w:trPr>
          <w:tblCellSpacing w:w="15" w:type="dxa"/>
        </w:trPr>
        <w:tc>
          <w:tcPr>
            <w:tcW w:w="0" w:type="auto"/>
            <w:vAlign w:val="center"/>
            <w:hideMark/>
          </w:tcPr>
          <w:p w14:paraId="5615B690" w14:textId="77777777" w:rsidR="009266CA" w:rsidRPr="009266CA" w:rsidRDefault="009266CA" w:rsidP="009266CA">
            <w:pPr>
              <w:ind w:left="360"/>
              <w:rPr>
                <w:rFonts w:ascii="Times New Roman" w:hAnsi="Times New Roman" w:cs="Times New Roman"/>
                <w:sz w:val="28"/>
                <w:szCs w:val="28"/>
              </w:rPr>
            </w:pPr>
            <w:r w:rsidRPr="009266CA">
              <w:rPr>
                <w:rFonts w:ascii="Times New Roman" w:hAnsi="Times New Roman" w:cs="Times New Roman"/>
                <w:b/>
                <w:bCs/>
                <w:sz w:val="28"/>
                <w:szCs w:val="28"/>
              </w:rPr>
              <w:t>Appellant's Contention (Dharmadeo Rai)</w:t>
            </w:r>
          </w:p>
        </w:tc>
        <w:tc>
          <w:tcPr>
            <w:tcW w:w="0" w:type="auto"/>
            <w:vAlign w:val="center"/>
            <w:hideMark/>
          </w:tcPr>
          <w:p w14:paraId="1A098E7A"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The conviction was bad because the private complaint was filed without the mandatory permission required by Section 83.</w:t>
            </w:r>
          </w:p>
        </w:tc>
      </w:tr>
      <w:tr w:rsidR="009266CA" w:rsidRPr="009266CA" w14:paraId="475D7FFB" w14:textId="77777777">
        <w:trPr>
          <w:tblCellSpacing w:w="15" w:type="dxa"/>
        </w:trPr>
        <w:tc>
          <w:tcPr>
            <w:tcW w:w="0" w:type="auto"/>
            <w:vAlign w:val="center"/>
            <w:hideMark/>
          </w:tcPr>
          <w:p w14:paraId="026C351C" w14:textId="77777777" w:rsidR="009266CA" w:rsidRPr="009266CA" w:rsidRDefault="009266CA" w:rsidP="009266CA">
            <w:pPr>
              <w:ind w:left="360"/>
              <w:rPr>
                <w:rFonts w:ascii="Times New Roman" w:hAnsi="Times New Roman" w:cs="Times New Roman"/>
                <w:sz w:val="28"/>
                <w:szCs w:val="28"/>
              </w:rPr>
            </w:pPr>
            <w:r w:rsidRPr="009266CA">
              <w:rPr>
                <w:rFonts w:ascii="Times New Roman" w:hAnsi="Times New Roman" w:cs="Times New Roman"/>
                <w:b/>
                <w:bCs/>
                <w:sz w:val="28"/>
                <w:szCs w:val="28"/>
              </w:rPr>
              <w:t>Supreme Court's Interpretation &amp; Ruling</w:t>
            </w:r>
          </w:p>
        </w:tc>
        <w:tc>
          <w:tcPr>
            <w:tcW w:w="0" w:type="auto"/>
            <w:vAlign w:val="center"/>
            <w:hideMark/>
          </w:tcPr>
          <w:p w14:paraId="0C3E26A7"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 xml:space="preserve">The Supreme Court </w:t>
            </w:r>
            <w:r w:rsidRPr="009266CA">
              <w:rPr>
                <w:rFonts w:ascii="Times New Roman" w:hAnsi="Times New Roman" w:cs="Times New Roman"/>
                <w:b/>
                <w:bCs/>
                <w:sz w:val="28"/>
                <w:szCs w:val="28"/>
              </w:rPr>
              <w:t>dismissed the appeal</w:t>
            </w:r>
            <w:r w:rsidRPr="009266CA">
              <w:rPr>
                <w:rFonts w:ascii="Times New Roman" w:hAnsi="Times New Roman" w:cs="Times New Roman"/>
                <w:sz w:val="28"/>
                <w:szCs w:val="28"/>
              </w:rPr>
              <w:t xml:space="preserve"> and </w:t>
            </w:r>
            <w:r w:rsidRPr="009266CA">
              <w:rPr>
                <w:rFonts w:ascii="Times New Roman" w:hAnsi="Times New Roman" w:cs="Times New Roman"/>
                <w:b/>
                <w:bCs/>
                <w:sz w:val="28"/>
                <w:szCs w:val="28"/>
              </w:rPr>
              <w:t>upheld the conviction</w:t>
            </w:r>
            <w:r w:rsidRPr="009266CA">
              <w:rPr>
                <w:rFonts w:ascii="Times New Roman" w:hAnsi="Times New Roman" w:cs="Times New Roman"/>
                <w:sz w:val="28"/>
                <w:szCs w:val="28"/>
              </w:rPr>
              <w:t>, holding that:</w:t>
            </w:r>
          </w:p>
        </w:tc>
      </w:tr>
      <w:tr w:rsidR="009266CA" w:rsidRPr="009266CA" w14:paraId="0905C178" w14:textId="77777777">
        <w:trPr>
          <w:tblCellSpacing w:w="15" w:type="dxa"/>
        </w:trPr>
        <w:tc>
          <w:tcPr>
            <w:tcW w:w="0" w:type="auto"/>
            <w:vAlign w:val="center"/>
            <w:hideMark/>
          </w:tcPr>
          <w:p w14:paraId="69038A34" w14:textId="77777777" w:rsidR="009266CA" w:rsidRPr="009266CA" w:rsidRDefault="009266CA" w:rsidP="009266CA">
            <w:pPr>
              <w:ind w:left="360"/>
              <w:rPr>
                <w:rFonts w:ascii="Times New Roman" w:hAnsi="Times New Roman" w:cs="Times New Roman"/>
                <w:sz w:val="28"/>
                <w:szCs w:val="28"/>
              </w:rPr>
            </w:pPr>
            <w:r w:rsidRPr="009266CA">
              <w:rPr>
                <w:rFonts w:ascii="Times New Roman" w:hAnsi="Times New Roman" w:cs="Times New Roman"/>
                <w:b/>
                <w:bCs/>
                <w:sz w:val="28"/>
                <w:szCs w:val="28"/>
              </w:rPr>
              <w:t>Key Principle Established</w:t>
            </w:r>
          </w:p>
        </w:tc>
        <w:tc>
          <w:tcPr>
            <w:tcW w:w="0" w:type="auto"/>
            <w:vAlign w:val="center"/>
            <w:hideMark/>
          </w:tcPr>
          <w:p w14:paraId="47D9C921"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b/>
                <w:bCs/>
                <w:sz w:val="28"/>
                <w:szCs w:val="28"/>
              </w:rPr>
              <w:t xml:space="preserve">Section 83 is an </w:t>
            </w:r>
            <w:r w:rsidRPr="009266CA">
              <w:rPr>
                <w:rFonts w:ascii="Times New Roman" w:hAnsi="Times New Roman" w:cs="Times New Roman"/>
                <w:b/>
                <w:bCs/>
                <w:i/>
                <w:iCs/>
                <w:sz w:val="28"/>
                <w:szCs w:val="28"/>
              </w:rPr>
              <w:t>enabling</w:t>
            </w:r>
            <w:r w:rsidRPr="009266CA">
              <w:rPr>
                <w:rFonts w:ascii="Times New Roman" w:hAnsi="Times New Roman" w:cs="Times New Roman"/>
                <w:b/>
                <w:bCs/>
                <w:sz w:val="28"/>
                <w:szCs w:val="28"/>
              </w:rPr>
              <w:t xml:space="preserve"> provision, not a </w:t>
            </w:r>
            <w:r w:rsidRPr="009266CA">
              <w:rPr>
                <w:rFonts w:ascii="Times New Roman" w:hAnsi="Times New Roman" w:cs="Times New Roman"/>
                <w:b/>
                <w:bCs/>
                <w:i/>
                <w:iCs/>
                <w:sz w:val="28"/>
                <w:szCs w:val="28"/>
              </w:rPr>
              <w:t>prohibitory</w:t>
            </w:r>
            <w:r w:rsidRPr="009266CA">
              <w:rPr>
                <w:rFonts w:ascii="Times New Roman" w:hAnsi="Times New Roman" w:cs="Times New Roman"/>
                <w:b/>
                <w:bCs/>
                <w:sz w:val="28"/>
                <w:szCs w:val="28"/>
              </w:rPr>
              <w:t xml:space="preserve"> one.</w:t>
            </w:r>
          </w:p>
        </w:tc>
      </w:tr>
      <w:tr w:rsidR="009266CA" w:rsidRPr="009266CA" w14:paraId="790FB62C" w14:textId="77777777">
        <w:trPr>
          <w:tblCellSpacing w:w="15" w:type="dxa"/>
        </w:trPr>
        <w:tc>
          <w:tcPr>
            <w:tcW w:w="0" w:type="auto"/>
            <w:vAlign w:val="center"/>
            <w:hideMark/>
          </w:tcPr>
          <w:p w14:paraId="3CDBE133" w14:textId="77777777" w:rsidR="009266CA" w:rsidRPr="009266CA" w:rsidRDefault="009266CA" w:rsidP="009266CA">
            <w:pPr>
              <w:ind w:left="360"/>
              <w:rPr>
                <w:rFonts w:ascii="Times New Roman" w:hAnsi="Times New Roman" w:cs="Times New Roman"/>
                <w:sz w:val="28"/>
                <w:szCs w:val="28"/>
              </w:rPr>
            </w:pPr>
            <w:r w:rsidRPr="009266CA">
              <w:rPr>
                <w:rFonts w:ascii="Times New Roman" w:hAnsi="Times New Roman" w:cs="Times New Roman"/>
                <w:b/>
                <w:bCs/>
                <w:sz w:val="28"/>
                <w:szCs w:val="28"/>
              </w:rPr>
              <w:t>Detailed Rationale</w:t>
            </w:r>
          </w:p>
        </w:tc>
        <w:tc>
          <w:tcPr>
            <w:tcW w:w="0" w:type="auto"/>
            <w:vAlign w:val="center"/>
            <w:hideMark/>
          </w:tcPr>
          <w:p w14:paraId="5A5B3BBD"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 xml:space="preserve">- </w:t>
            </w:r>
            <w:r w:rsidRPr="009266CA">
              <w:rPr>
                <w:rFonts w:ascii="Times New Roman" w:hAnsi="Times New Roman" w:cs="Times New Roman"/>
                <w:b/>
                <w:bCs/>
                <w:sz w:val="28"/>
                <w:szCs w:val="28"/>
              </w:rPr>
              <w:t>Nature of Section 83:</w:t>
            </w:r>
            <w:r w:rsidRPr="009266CA">
              <w:rPr>
                <w:rFonts w:ascii="Times New Roman" w:hAnsi="Times New Roman" w:cs="Times New Roman"/>
                <w:sz w:val="28"/>
                <w:szCs w:val="28"/>
              </w:rPr>
              <w:t xml:space="preserve"> The court held that Section 83 merely empowers a Registering Officer to initiate a prosecution when an offense comes to their knowledge in their official capacity. The language "may be commenced by or with the permission of" is permissive and not restrictive.</w:t>
            </w:r>
          </w:p>
        </w:tc>
      </w:tr>
      <w:tr w:rsidR="009266CA" w:rsidRPr="009266CA" w14:paraId="259C8D1A" w14:textId="77777777">
        <w:trPr>
          <w:tblCellSpacing w:w="15" w:type="dxa"/>
        </w:trPr>
        <w:tc>
          <w:tcPr>
            <w:tcW w:w="0" w:type="auto"/>
            <w:vAlign w:val="center"/>
            <w:hideMark/>
          </w:tcPr>
          <w:p w14:paraId="6ACCA121" w14:textId="77777777" w:rsidR="009266CA" w:rsidRPr="009266CA" w:rsidRDefault="009266CA" w:rsidP="009266CA">
            <w:pPr>
              <w:ind w:left="360"/>
              <w:rPr>
                <w:rFonts w:ascii="Times New Roman" w:hAnsi="Times New Roman" w:cs="Times New Roman"/>
                <w:sz w:val="28"/>
                <w:szCs w:val="28"/>
              </w:rPr>
            </w:pPr>
          </w:p>
        </w:tc>
        <w:tc>
          <w:tcPr>
            <w:tcW w:w="0" w:type="auto"/>
            <w:vAlign w:val="center"/>
            <w:hideMark/>
          </w:tcPr>
          <w:p w14:paraId="474E659A" w14:textId="77777777" w:rsidR="009266CA" w:rsidRP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 xml:space="preserve">- </w:t>
            </w:r>
            <w:r w:rsidRPr="009266CA">
              <w:rPr>
                <w:rFonts w:ascii="Times New Roman" w:hAnsi="Times New Roman" w:cs="Times New Roman"/>
                <w:b/>
                <w:bCs/>
                <w:sz w:val="28"/>
                <w:szCs w:val="28"/>
              </w:rPr>
              <w:t>Right of Private Individual:</w:t>
            </w:r>
            <w:r w:rsidRPr="009266CA">
              <w:rPr>
                <w:rFonts w:ascii="Times New Roman" w:hAnsi="Times New Roman" w:cs="Times New Roman"/>
                <w:sz w:val="28"/>
                <w:szCs w:val="28"/>
              </w:rPr>
              <w:t xml:space="preserve"> The section does </w:t>
            </w:r>
            <w:r w:rsidRPr="009266CA">
              <w:rPr>
                <w:rFonts w:ascii="Times New Roman" w:hAnsi="Times New Roman" w:cs="Times New Roman"/>
                <w:b/>
                <w:bCs/>
                <w:sz w:val="28"/>
                <w:szCs w:val="28"/>
              </w:rPr>
              <w:t>not</w:t>
            </w:r>
            <w:r w:rsidRPr="009266CA">
              <w:rPr>
                <w:rFonts w:ascii="Times New Roman" w:hAnsi="Times New Roman" w:cs="Times New Roman"/>
                <w:sz w:val="28"/>
                <w:szCs w:val="28"/>
              </w:rPr>
              <w:t xml:space="preserve"> take away the right of an aggrieved private person to file a complaint for an offense under the Act. To hold otherwise would unjustly deprive individuals of their right to seek redress, especially in cases where the Registering Officer might be negligent or complicit.</w:t>
            </w:r>
          </w:p>
        </w:tc>
      </w:tr>
      <w:tr w:rsidR="009266CA" w:rsidRPr="009266CA" w14:paraId="2F9A6DAD" w14:textId="77777777">
        <w:trPr>
          <w:tblCellSpacing w:w="15" w:type="dxa"/>
        </w:trPr>
        <w:tc>
          <w:tcPr>
            <w:tcW w:w="0" w:type="auto"/>
            <w:vAlign w:val="center"/>
            <w:hideMark/>
          </w:tcPr>
          <w:p w14:paraId="01DDF537" w14:textId="77777777" w:rsidR="009266CA" w:rsidRPr="009266CA" w:rsidRDefault="009266CA" w:rsidP="009266CA">
            <w:pPr>
              <w:ind w:left="360"/>
              <w:rPr>
                <w:rFonts w:ascii="Times New Roman" w:hAnsi="Times New Roman" w:cs="Times New Roman"/>
                <w:sz w:val="28"/>
                <w:szCs w:val="28"/>
              </w:rPr>
            </w:pPr>
          </w:p>
        </w:tc>
        <w:tc>
          <w:tcPr>
            <w:tcW w:w="0" w:type="auto"/>
            <w:vAlign w:val="center"/>
            <w:hideMark/>
          </w:tcPr>
          <w:p w14:paraId="5FA2B175" w14:textId="77777777" w:rsidR="009266CA" w:rsidRDefault="009266CA" w:rsidP="000744CF">
            <w:pPr>
              <w:ind w:left="360"/>
              <w:jc w:val="both"/>
              <w:rPr>
                <w:rFonts w:ascii="Times New Roman" w:hAnsi="Times New Roman" w:cs="Times New Roman"/>
                <w:sz w:val="28"/>
                <w:szCs w:val="28"/>
              </w:rPr>
            </w:pPr>
            <w:r w:rsidRPr="009266CA">
              <w:rPr>
                <w:rFonts w:ascii="Times New Roman" w:hAnsi="Times New Roman" w:cs="Times New Roman"/>
                <w:sz w:val="28"/>
                <w:szCs w:val="28"/>
              </w:rPr>
              <w:t xml:space="preserve">- </w:t>
            </w:r>
            <w:r w:rsidRPr="009266CA">
              <w:rPr>
                <w:rFonts w:ascii="Times New Roman" w:hAnsi="Times New Roman" w:cs="Times New Roman"/>
                <w:b/>
                <w:bCs/>
                <w:sz w:val="28"/>
                <w:szCs w:val="28"/>
              </w:rPr>
              <w:t>Scope of Applicability:</w:t>
            </w:r>
            <w:r w:rsidRPr="009266CA">
              <w:rPr>
                <w:rFonts w:ascii="Times New Roman" w:hAnsi="Times New Roman" w:cs="Times New Roman"/>
                <w:sz w:val="28"/>
                <w:szCs w:val="28"/>
              </w:rPr>
              <w:t xml:space="preserve"> Section 83 only applies to cases where the commission of the offense comes to the knowledge of the Registering Officer in their official capacity.</w:t>
            </w:r>
          </w:p>
          <w:p w14:paraId="3B4A46EF" w14:textId="77777777" w:rsidR="005F13C9" w:rsidRDefault="005F13C9" w:rsidP="000744CF">
            <w:pPr>
              <w:ind w:left="360"/>
              <w:jc w:val="both"/>
              <w:rPr>
                <w:rFonts w:ascii="Times New Roman" w:hAnsi="Times New Roman" w:cs="Times New Roman"/>
                <w:sz w:val="28"/>
                <w:szCs w:val="28"/>
              </w:rPr>
            </w:pPr>
          </w:p>
          <w:p w14:paraId="2FB20B0A" w14:textId="77777777" w:rsidR="005F13C9" w:rsidRDefault="005F13C9" w:rsidP="000744CF">
            <w:pPr>
              <w:ind w:left="360"/>
              <w:jc w:val="both"/>
              <w:rPr>
                <w:rFonts w:ascii="Times New Roman" w:hAnsi="Times New Roman" w:cs="Times New Roman"/>
                <w:color w:val="EE0000"/>
                <w:sz w:val="28"/>
                <w:szCs w:val="28"/>
              </w:rPr>
            </w:pPr>
            <w:r w:rsidRPr="005F13C9">
              <w:rPr>
                <w:rFonts w:ascii="Times New Roman" w:hAnsi="Times New Roman" w:cs="Times New Roman"/>
                <w:color w:val="EE0000"/>
                <w:sz w:val="28"/>
                <w:szCs w:val="28"/>
              </w:rPr>
              <w:t>According to section 84,</w:t>
            </w:r>
          </w:p>
          <w:p w14:paraId="2136E52A" w14:textId="77777777" w:rsidR="00247969" w:rsidRPr="00247969" w:rsidRDefault="00247969" w:rsidP="000744CF">
            <w:pPr>
              <w:numPr>
                <w:ilvl w:val="0"/>
                <w:numId w:val="3"/>
              </w:numPr>
              <w:jc w:val="both"/>
              <w:rPr>
                <w:rFonts w:ascii="Times New Roman" w:hAnsi="Times New Roman" w:cs="Times New Roman"/>
                <w:sz w:val="28"/>
                <w:szCs w:val="28"/>
              </w:rPr>
            </w:pPr>
            <w:r w:rsidRPr="00247969">
              <w:rPr>
                <w:rFonts w:ascii="Times New Roman" w:hAnsi="Times New Roman" w:cs="Times New Roman"/>
                <w:sz w:val="28"/>
                <w:szCs w:val="28"/>
              </w:rPr>
              <w:t>Query successful</w:t>
            </w:r>
          </w:p>
          <w:p w14:paraId="52024E61" w14:textId="77777777" w:rsidR="00247969" w:rsidRPr="00247969" w:rsidRDefault="00247969" w:rsidP="000744CF">
            <w:pPr>
              <w:ind w:left="360"/>
              <w:jc w:val="both"/>
              <w:rPr>
                <w:rFonts w:ascii="Times New Roman" w:hAnsi="Times New Roman" w:cs="Times New Roman"/>
                <w:sz w:val="28"/>
                <w:szCs w:val="28"/>
              </w:rPr>
            </w:pPr>
            <w:r w:rsidRPr="00247969">
              <w:rPr>
                <w:rFonts w:ascii="Times New Roman" w:hAnsi="Times New Roman" w:cs="Times New Roman"/>
                <w:sz w:val="28"/>
                <w:szCs w:val="28"/>
              </w:rPr>
              <w:t xml:space="preserve">Try again without apps </w:t>
            </w:r>
          </w:p>
          <w:p w14:paraId="3D85BC13" w14:textId="77777777" w:rsidR="00247969" w:rsidRPr="00247969" w:rsidRDefault="00247969" w:rsidP="000744CF">
            <w:pPr>
              <w:ind w:left="360"/>
              <w:jc w:val="both"/>
              <w:rPr>
                <w:rFonts w:ascii="Times New Roman" w:hAnsi="Times New Roman" w:cs="Times New Roman"/>
                <w:sz w:val="28"/>
                <w:szCs w:val="28"/>
              </w:rPr>
            </w:pPr>
            <w:r w:rsidRPr="00247969">
              <w:rPr>
                <w:rFonts w:ascii="Times New Roman" w:hAnsi="Times New Roman" w:cs="Times New Roman"/>
                <w:sz w:val="28"/>
                <w:szCs w:val="28"/>
              </w:rPr>
              <w:t xml:space="preserve">Section 84 of the </w:t>
            </w:r>
            <w:r w:rsidRPr="00247969">
              <w:rPr>
                <w:rFonts w:ascii="Times New Roman" w:hAnsi="Times New Roman" w:cs="Times New Roman"/>
                <w:b/>
                <w:bCs/>
                <w:sz w:val="28"/>
                <w:szCs w:val="28"/>
              </w:rPr>
              <w:t>Registration Act, 1908</w:t>
            </w:r>
            <w:r w:rsidRPr="00247969">
              <w:rPr>
                <w:rFonts w:ascii="Times New Roman" w:hAnsi="Times New Roman" w:cs="Times New Roman"/>
                <w:sz w:val="28"/>
                <w:szCs w:val="28"/>
              </w:rPr>
              <w:t xml:space="preserve"> (of India and similar jurisdictions) is a brief but crucial provision that addresses the legal status of the officers appointed under the Act.</w:t>
            </w:r>
          </w:p>
          <w:p w14:paraId="4E8D00C4" w14:textId="77777777" w:rsidR="00247969" w:rsidRPr="00247969" w:rsidRDefault="00247969" w:rsidP="000744CF">
            <w:pPr>
              <w:ind w:left="360"/>
              <w:jc w:val="both"/>
              <w:rPr>
                <w:rFonts w:ascii="Times New Roman" w:hAnsi="Times New Roman" w:cs="Times New Roman"/>
                <w:sz w:val="28"/>
                <w:szCs w:val="28"/>
              </w:rPr>
            </w:pPr>
            <w:r w:rsidRPr="00247969">
              <w:rPr>
                <w:rFonts w:ascii="Times New Roman" w:hAnsi="Times New Roman" w:cs="Times New Roman"/>
                <w:sz w:val="28"/>
                <w:szCs w:val="28"/>
              </w:rPr>
              <w:t xml:space="preserve">The section is titled </w:t>
            </w:r>
            <w:r w:rsidRPr="00247969">
              <w:rPr>
                <w:rFonts w:ascii="Times New Roman" w:hAnsi="Times New Roman" w:cs="Times New Roman"/>
                <w:b/>
                <w:bCs/>
                <w:sz w:val="28"/>
                <w:szCs w:val="28"/>
              </w:rPr>
              <w:t>"Registering officers to be deemed public servants"</w:t>
            </w:r>
            <w:r w:rsidRPr="00247969">
              <w:rPr>
                <w:rFonts w:ascii="Times New Roman" w:hAnsi="Times New Roman" w:cs="Times New Roman"/>
                <w:sz w:val="28"/>
                <w:szCs w:val="28"/>
              </w:rPr>
              <w:t xml:space="preserve"> and typically consists of three sub-sections:</w:t>
            </w:r>
          </w:p>
          <w:p w14:paraId="12632D35" w14:textId="77777777" w:rsidR="00247969" w:rsidRPr="00247969" w:rsidRDefault="00247969" w:rsidP="000744CF">
            <w:pPr>
              <w:ind w:left="360"/>
              <w:jc w:val="both"/>
              <w:rPr>
                <w:rFonts w:ascii="Times New Roman" w:hAnsi="Times New Roman" w:cs="Times New Roman"/>
                <w:b/>
                <w:bCs/>
                <w:sz w:val="28"/>
                <w:szCs w:val="28"/>
              </w:rPr>
            </w:pPr>
            <w:r w:rsidRPr="00247969">
              <w:rPr>
                <w:rFonts w:ascii="Times New Roman" w:hAnsi="Times New Roman" w:cs="Times New Roman"/>
                <w:b/>
                <w:bCs/>
                <w:sz w:val="28"/>
                <w:szCs w:val="28"/>
              </w:rPr>
              <w:t>1. Registering Officers as Public Servants</w:t>
            </w:r>
          </w:p>
          <w:p w14:paraId="01CA011B" w14:textId="77777777" w:rsidR="00247969" w:rsidRPr="00247969" w:rsidRDefault="00247969" w:rsidP="000744CF">
            <w:pPr>
              <w:numPr>
                <w:ilvl w:val="0"/>
                <w:numId w:val="4"/>
              </w:numPr>
              <w:jc w:val="both"/>
              <w:rPr>
                <w:rFonts w:ascii="Times New Roman" w:hAnsi="Times New Roman" w:cs="Times New Roman"/>
                <w:sz w:val="28"/>
                <w:szCs w:val="28"/>
              </w:rPr>
            </w:pPr>
            <w:r w:rsidRPr="00247969">
              <w:rPr>
                <w:rFonts w:ascii="Times New Roman" w:hAnsi="Times New Roman" w:cs="Times New Roman"/>
                <w:b/>
                <w:bCs/>
                <w:sz w:val="28"/>
                <w:szCs w:val="28"/>
              </w:rPr>
              <w:t>Subsection (1):</w:t>
            </w:r>
            <w:r w:rsidRPr="00247969">
              <w:rPr>
                <w:rFonts w:ascii="Times New Roman" w:hAnsi="Times New Roman" w:cs="Times New Roman"/>
                <w:sz w:val="28"/>
                <w:szCs w:val="28"/>
              </w:rPr>
              <w:t xml:space="preserve"> Every registering officer (such as the Inspector-General, Registrar, or Sub-Registrar) appointed under this Act </w:t>
            </w:r>
            <w:r w:rsidRPr="00247969">
              <w:rPr>
                <w:rFonts w:ascii="Times New Roman" w:hAnsi="Times New Roman" w:cs="Times New Roman"/>
                <w:b/>
                <w:bCs/>
                <w:sz w:val="28"/>
                <w:szCs w:val="28"/>
              </w:rPr>
              <w:t>shall be deemed to be a public servant</w:t>
            </w:r>
            <w:r w:rsidRPr="00247969">
              <w:rPr>
                <w:rFonts w:ascii="Times New Roman" w:hAnsi="Times New Roman" w:cs="Times New Roman"/>
                <w:sz w:val="28"/>
                <w:szCs w:val="28"/>
              </w:rPr>
              <w:t xml:space="preserve"> within the meaning of the Indian Penal Code.</w:t>
            </w:r>
          </w:p>
          <w:p w14:paraId="3D991AC9" w14:textId="77777777" w:rsidR="00247969" w:rsidRPr="00247969" w:rsidRDefault="00247969" w:rsidP="000744CF">
            <w:pPr>
              <w:numPr>
                <w:ilvl w:val="1"/>
                <w:numId w:val="4"/>
              </w:numPr>
              <w:jc w:val="both"/>
              <w:rPr>
                <w:rFonts w:ascii="Times New Roman" w:hAnsi="Times New Roman" w:cs="Times New Roman"/>
                <w:sz w:val="28"/>
                <w:szCs w:val="28"/>
              </w:rPr>
            </w:pPr>
            <w:r w:rsidRPr="00247969">
              <w:rPr>
                <w:rFonts w:ascii="Times New Roman" w:hAnsi="Times New Roman" w:cs="Times New Roman"/>
                <w:b/>
                <w:bCs/>
                <w:sz w:val="28"/>
                <w:szCs w:val="28"/>
              </w:rPr>
              <w:t>Implication:</w:t>
            </w:r>
            <w:r w:rsidRPr="00247969">
              <w:rPr>
                <w:rFonts w:ascii="Times New Roman" w:hAnsi="Times New Roman" w:cs="Times New Roman"/>
                <w:sz w:val="28"/>
                <w:szCs w:val="28"/>
              </w:rPr>
              <w:t xml:space="preserve"> This grants them the legal protection and subjects them to the responsibilities and penalties that apply to public servants under the general criminal law.</w:t>
            </w:r>
          </w:p>
          <w:p w14:paraId="35A570C8" w14:textId="77777777" w:rsidR="00247969" w:rsidRPr="00247969" w:rsidRDefault="00247969" w:rsidP="000744CF">
            <w:pPr>
              <w:ind w:left="360"/>
              <w:jc w:val="both"/>
              <w:rPr>
                <w:rFonts w:ascii="Times New Roman" w:hAnsi="Times New Roman" w:cs="Times New Roman"/>
                <w:b/>
                <w:bCs/>
                <w:sz w:val="28"/>
                <w:szCs w:val="28"/>
              </w:rPr>
            </w:pPr>
            <w:r w:rsidRPr="00247969">
              <w:rPr>
                <w:rFonts w:ascii="Times New Roman" w:hAnsi="Times New Roman" w:cs="Times New Roman"/>
                <w:b/>
                <w:bCs/>
                <w:sz w:val="28"/>
                <w:szCs w:val="28"/>
              </w:rPr>
              <w:t>2. Duty to Furnish Information</w:t>
            </w:r>
          </w:p>
          <w:p w14:paraId="26E47862" w14:textId="77777777" w:rsidR="00247969" w:rsidRPr="00247969" w:rsidRDefault="00247969" w:rsidP="000744CF">
            <w:pPr>
              <w:numPr>
                <w:ilvl w:val="0"/>
                <w:numId w:val="5"/>
              </w:numPr>
              <w:jc w:val="both"/>
              <w:rPr>
                <w:rFonts w:ascii="Times New Roman" w:hAnsi="Times New Roman" w:cs="Times New Roman"/>
                <w:sz w:val="28"/>
                <w:szCs w:val="28"/>
              </w:rPr>
            </w:pPr>
            <w:r w:rsidRPr="00247969">
              <w:rPr>
                <w:rFonts w:ascii="Times New Roman" w:hAnsi="Times New Roman" w:cs="Times New Roman"/>
                <w:b/>
                <w:bCs/>
                <w:sz w:val="28"/>
                <w:szCs w:val="28"/>
              </w:rPr>
              <w:t>Subsection (2):</w:t>
            </w:r>
            <w:r w:rsidRPr="00247969">
              <w:rPr>
                <w:rFonts w:ascii="Times New Roman" w:hAnsi="Times New Roman" w:cs="Times New Roman"/>
                <w:sz w:val="28"/>
                <w:szCs w:val="28"/>
              </w:rPr>
              <w:t xml:space="preserve"> Every person </w:t>
            </w:r>
            <w:r w:rsidRPr="00247969">
              <w:rPr>
                <w:rFonts w:ascii="Times New Roman" w:hAnsi="Times New Roman" w:cs="Times New Roman"/>
                <w:b/>
                <w:bCs/>
                <w:sz w:val="28"/>
                <w:szCs w:val="28"/>
              </w:rPr>
              <w:t>shall be legally bound to furnish information</w:t>
            </w:r>
            <w:r w:rsidRPr="00247969">
              <w:rPr>
                <w:rFonts w:ascii="Times New Roman" w:hAnsi="Times New Roman" w:cs="Times New Roman"/>
                <w:sz w:val="28"/>
                <w:szCs w:val="28"/>
              </w:rPr>
              <w:t xml:space="preserve"> to such registering officer when required by the officer to do so.</w:t>
            </w:r>
          </w:p>
          <w:p w14:paraId="25EB0545" w14:textId="77777777" w:rsidR="00247969" w:rsidRPr="00247969" w:rsidRDefault="00247969" w:rsidP="000744CF">
            <w:pPr>
              <w:numPr>
                <w:ilvl w:val="1"/>
                <w:numId w:val="5"/>
              </w:numPr>
              <w:jc w:val="both"/>
              <w:rPr>
                <w:rFonts w:ascii="Times New Roman" w:hAnsi="Times New Roman" w:cs="Times New Roman"/>
                <w:sz w:val="28"/>
                <w:szCs w:val="28"/>
              </w:rPr>
            </w:pPr>
            <w:r w:rsidRPr="00247969">
              <w:rPr>
                <w:rFonts w:ascii="Times New Roman" w:hAnsi="Times New Roman" w:cs="Times New Roman"/>
                <w:b/>
                <w:bCs/>
                <w:sz w:val="28"/>
                <w:szCs w:val="28"/>
              </w:rPr>
              <w:t>Implication:</w:t>
            </w:r>
            <w:r w:rsidRPr="00247969">
              <w:rPr>
                <w:rFonts w:ascii="Times New Roman" w:hAnsi="Times New Roman" w:cs="Times New Roman"/>
                <w:sz w:val="28"/>
                <w:szCs w:val="28"/>
              </w:rPr>
              <w:t xml:space="preserve"> This empowers the registering officer to demand necessary information from the public during inquiries or proceedings and places a legal obligation on the public to comply.</w:t>
            </w:r>
          </w:p>
          <w:p w14:paraId="4435EE59" w14:textId="77777777" w:rsidR="00247969" w:rsidRPr="00247969" w:rsidRDefault="00247969" w:rsidP="000744CF">
            <w:pPr>
              <w:ind w:left="360"/>
              <w:jc w:val="both"/>
              <w:rPr>
                <w:rFonts w:ascii="Times New Roman" w:hAnsi="Times New Roman" w:cs="Times New Roman"/>
                <w:b/>
                <w:bCs/>
                <w:sz w:val="28"/>
                <w:szCs w:val="28"/>
              </w:rPr>
            </w:pPr>
            <w:r w:rsidRPr="00247969">
              <w:rPr>
                <w:rFonts w:ascii="Times New Roman" w:hAnsi="Times New Roman" w:cs="Times New Roman"/>
                <w:b/>
                <w:bCs/>
                <w:sz w:val="28"/>
                <w:szCs w:val="28"/>
              </w:rPr>
              <w:t>3. Proceedings as Judicial Proceedings</w:t>
            </w:r>
          </w:p>
          <w:p w14:paraId="6405B4B5" w14:textId="77777777" w:rsidR="00247969" w:rsidRPr="00247969" w:rsidRDefault="00247969" w:rsidP="000744CF">
            <w:pPr>
              <w:numPr>
                <w:ilvl w:val="0"/>
                <w:numId w:val="6"/>
              </w:numPr>
              <w:jc w:val="both"/>
              <w:rPr>
                <w:rFonts w:ascii="Times New Roman" w:hAnsi="Times New Roman" w:cs="Times New Roman"/>
                <w:sz w:val="28"/>
                <w:szCs w:val="28"/>
              </w:rPr>
            </w:pPr>
            <w:r w:rsidRPr="00247969">
              <w:rPr>
                <w:rFonts w:ascii="Times New Roman" w:hAnsi="Times New Roman" w:cs="Times New Roman"/>
                <w:b/>
                <w:bCs/>
                <w:sz w:val="28"/>
                <w:szCs w:val="28"/>
              </w:rPr>
              <w:t>Subsection (3):</w:t>
            </w:r>
            <w:r w:rsidRPr="00247969">
              <w:rPr>
                <w:rFonts w:ascii="Times New Roman" w:hAnsi="Times New Roman" w:cs="Times New Roman"/>
                <w:sz w:val="28"/>
                <w:szCs w:val="28"/>
              </w:rPr>
              <w:t xml:space="preserve"> In section 228 of the Indian Penal Code (which deals with intentional insult or interruption to a public servant sitting in a judicial proceeding), the words "judicial proceeding" </w:t>
            </w:r>
            <w:r w:rsidRPr="00247969">
              <w:rPr>
                <w:rFonts w:ascii="Times New Roman" w:hAnsi="Times New Roman" w:cs="Times New Roman"/>
                <w:b/>
                <w:bCs/>
                <w:sz w:val="28"/>
                <w:szCs w:val="28"/>
              </w:rPr>
              <w:t>shall be deemed to include any proceeding under this Act.</w:t>
            </w:r>
          </w:p>
          <w:p w14:paraId="49F25E91" w14:textId="77777777" w:rsidR="00247969" w:rsidRPr="00247969" w:rsidRDefault="00247969" w:rsidP="000744CF">
            <w:pPr>
              <w:numPr>
                <w:ilvl w:val="1"/>
                <w:numId w:val="6"/>
              </w:numPr>
              <w:jc w:val="both"/>
              <w:rPr>
                <w:rFonts w:ascii="Times New Roman" w:hAnsi="Times New Roman" w:cs="Times New Roman"/>
                <w:sz w:val="28"/>
                <w:szCs w:val="28"/>
              </w:rPr>
            </w:pPr>
            <w:r w:rsidRPr="00247969">
              <w:rPr>
                <w:rFonts w:ascii="Times New Roman" w:hAnsi="Times New Roman" w:cs="Times New Roman"/>
                <w:b/>
                <w:bCs/>
                <w:sz w:val="28"/>
                <w:szCs w:val="28"/>
              </w:rPr>
              <w:t>Implication:</w:t>
            </w:r>
            <w:r w:rsidRPr="00247969">
              <w:rPr>
                <w:rFonts w:ascii="Times New Roman" w:hAnsi="Times New Roman" w:cs="Times New Roman"/>
                <w:sz w:val="28"/>
                <w:szCs w:val="28"/>
              </w:rPr>
              <w:t xml:space="preserve"> This extends the penal provision of Section 228 of the IPC (punishment for contempt of court-like acts) to cover proceedings conducted by the registering officers under the Registration Act, ensuring respect and smooth functioning of the registration process.</w:t>
            </w:r>
          </w:p>
          <w:p w14:paraId="05FCBBC2" w14:textId="77777777" w:rsidR="005F13C9" w:rsidRDefault="005F13C9" w:rsidP="000744CF">
            <w:pPr>
              <w:ind w:left="360"/>
              <w:jc w:val="both"/>
              <w:rPr>
                <w:rFonts w:ascii="Times New Roman" w:hAnsi="Times New Roman" w:cs="Times New Roman"/>
                <w:sz w:val="28"/>
                <w:szCs w:val="28"/>
              </w:rPr>
            </w:pPr>
          </w:p>
          <w:p w14:paraId="7B44E45F" w14:textId="77777777" w:rsidR="00247969" w:rsidRDefault="00247969" w:rsidP="000744CF">
            <w:pPr>
              <w:ind w:left="360"/>
              <w:jc w:val="both"/>
              <w:rPr>
                <w:rFonts w:ascii="Times New Roman" w:hAnsi="Times New Roman" w:cs="Times New Roman"/>
                <w:sz w:val="28"/>
                <w:szCs w:val="28"/>
              </w:rPr>
            </w:pPr>
          </w:p>
          <w:p w14:paraId="3CCB1768" w14:textId="77777777" w:rsidR="00247969" w:rsidRDefault="00247969" w:rsidP="000744CF">
            <w:pPr>
              <w:ind w:left="360"/>
              <w:jc w:val="both"/>
              <w:rPr>
                <w:rFonts w:ascii="Times New Roman" w:hAnsi="Times New Roman" w:cs="Times New Roman"/>
                <w:sz w:val="28"/>
                <w:szCs w:val="28"/>
              </w:rPr>
            </w:pPr>
          </w:p>
          <w:p w14:paraId="02DB967F" w14:textId="77777777" w:rsidR="00247969" w:rsidRDefault="00247969" w:rsidP="000744CF">
            <w:pPr>
              <w:ind w:left="360"/>
              <w:jc w:val="both"/>
              <w:rPr>
                <w:rFonts w:ascii="Times New Roman" w:hAnsi="Times New Roman" w:cs="Times New Roman"/>
                <w:sz w:val="28"/>
                <w:szCs w:val="28"/>
              </w:rPr>
            </w:pPr>
          </w:p>
          <w:p w14:paraId="3B14FF7F" w14:textId="6D8F46B3" w:rsidR="00247969" w:rsidRPr="009266CA" w:rsidRDefault="00975D69" w:rsidP="000744CF">
            <w:pPr>
              <w:ind w:left="360"/>
              <w:jc w:val="both"/>
              <w:rPr>
                <w:rFonts w:ascii="Times New Roman" w:hAnsi="Times New Roman" w:cs="Times New Roman"/>
                <w:sz w:val="28"/>
                <w:szCs w:val="28"/>
              </w:rPr>
            </w:pPr>
            <w:r w:rsidRPr="000744CF">
              <w:rPr>
                <w:rFonts w:ascii="Times New Roman" w:hAnsi="Times New Roman" w:cs="Times New Roman"/>
                <w:color w:val="EE0000"/>
                <w:sz w:val="28"/>
                <w:szCs w:val="28"/>
              </w:rPr>
              <w:t xml:space="preserve">I have finished my </w:t>
            </w:r>
            <w:r w:rsidR="00806AEB" w:rsidRPr="000744CF">
              <w:rPr>
                <w:rFonts w:ascii="Times New Roman" w:hAnsi="Times New Roman" w:cs="Times New Roman"/>
                <w:color w:val="EE0000"/>
                <w:sz w:val="28"/>
                <w:szCs w:val="28"/>
              </w:rPr>
              <w:t>cases and I am grateful to you for your patience. See you later.</w:t>
            </w:r>
          </w:p>
        </w:tc>
      </w:tr>
    </w:tbl>
    <w:p w14:paraId="526E5BB7" w14:textId="5B39F67B" w:rsidR="009266CA" w:rsidRPr="009266CA" w:rsidRDefault="009266CA" w:rsidP="009266CA">
      <w:pPr>
        <w:ind w:left="360"/>
        <w:rPr>
          <w:rFonts w:ascii="Times New Roman" w:hAnsi="Times New Roman" w:cs="Times New Roman"/>
          <w:sz w:val="28"/>
          <w:szCs w:val="28"/>
        </w:rPr>
      </w:pPr>
    </w:p>
    <w:p w14:paraId="32CBA97A" w14:textId="77777777" w:rsidR="0041010A" w:rsidRPr="000B3E48" w:rsidRDefault="0041010A" w:rsidP="0041010A">
      <w:pPr>
        <w:ind w:left="360"/>
        <w:rPr>
          <w:rFonts w:ascii="Times New Roman" w:hAnsi="Times New Roman" w:cs="Times New Roman"/>
          <w:sz w:val="28"/>
          <w:szCs w:val="28"/>
        </w:rPr>
      </w:pPr>
    </w:p>
    <w:p w14:paraId="33E30AF5" w14:textId="415F4EA5" w:rsidR="000B3E48" w:rsidRPr="000B3E48" w:rsidRDefault="000B3E48" w:rsidP="000B3E48">
      <w:pPr>
        <w:rPr>
          <w:rFonts w:ascii="Times New Roman" w:hAnsi="Times New Roman" w:cs="Times New Roman"/>
          <w:sz w:val="28"/>
          <w:szCs w:val="28"/>
        </w:rPr>
      </w:pPr>
    </w:p>
    <w:p w14:paraId="6B44708E" w14:textId="77777777" w:rsidR="001469FF" w:rsidRPr="00A231E7" w:rsidRDefault="001469FF">
      <w:pPr>
        <w:rPr>
          <w:rFonts w:ascii="Times New Roman" w:hAnsi="Times New Roman" w:cs="Times New Roman"/>
          <w:sz w:val="28"/>
          <w:szCs w:val="28"/>
        </w:rPr>
      </w:pPr>
    </w:p>
    <w:sectPr w:rsidR="001469FF" w:rsidRPr="00A231E7" w:rsidSect="0024796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2C91"/>
    <w:multiLevelType w:val="multilevel"/>
    <w:tmpl w:val="E062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2133E"/>
    <w:multiLevelType w:val="multilevel"/>
    <w:tmpl w:val="EDBA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70A27"/>
    <w:multiLevelType w:val="multilevel"/>
    <w:tmpl w:val="364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E4783"/>
    <w:multiLevelType w:val="multilevel"/>
    <w:tmpl w:val="561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961EC"/>
    <w:multiLevelType w:val="multilevel"/>
    <w:tmpl w:val="E532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A2235"/>
    <w:multiLevelType w:val="multilevel"/>
    <w:tmpl w:val="2A4AE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03735">
    <w:abstractNumId w:val="3"/>
  </w:num>
  <w:num w:numId="2" w16cid:durableId="532153203">
    <w:abstractNumId w:val="0"/>
  </w:num>
  <w:num w:numId="3" w16cid:durableId="99646842">
    <w:abstractNumId w:val="2"/>
  </w:num>
  <w:num w:numId="4" w16cid:durableId="1985306668">
    <w:abstractNumId w:val="5"/>
  </w:num>
  <w:num w:numId="5" w16cid:durableId="598680913">
    <w:abstractNumId w:val="1"/>
  </w:num>
  <w:num w:numId="6" w16cid:durableId="1853647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FB"/>
    <w:rsid w:val="000744CF"/>
    <w:rsid w:val="000B3E48"/>
    <w:rsid w:val="001469FF"/>
    <w:rsid w:val="00153ECB"/>
    <w:rsid w:val="00247969"/>
    <w:rsid w:val="00262A0B"/>
    <w:rsid w:val="002836FA"/>
    <w:rsid w:val="002B5A79"/>
    <w:rsid w:val="002F0BFB"/>
    <w:rsid w:val="003B6C93"/>
    <w:rsid w:val="003E16A8"/>
    <w:rsid w:val="0041010A"/>
    <w:rsid w:val="005F13C9"/>
    <w:rsid w:val="00804BAB"/>
    <w:rsid w:val="00806AEB"/>
    <w:rsid w:val="009266CA"/>
    <w:rsid w:val="00975D69"/>
    <w:rsid w:val="00A05C2A"/>
    <w:rsid w:val="00A231E7"/>
    <w:rsid w:val="00AE3548"/>
    <w:rsid w:val="00B41499"/>
    <w:rsid w:val="00BB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342F"/>
  <w15:chartTrackingRefBased/>
  <w15:docId w15:val="{742F43F8-FE6D-4100-A7ED-19F172E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B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B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B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B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B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B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B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B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B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BFB"/>
    <w:rPr>
      <w:rFonts w:eastAsiaTheme="majorEastAsia" w:cstheme="majorBidi"/>
      <w:color w:val="272727" w:themeColor="text1" w:themeTint="D8"/>
    </w:rPr>
  </w:style>
  <w:style w:type="paragraph" w:styleId="Title">
    <w:name w:val="Title"/>
    <w:basedOn w:val="Normal"/>
    <w:next w:val="Normal"/>
    <w:link w:val="TitleChar"/>
    <w:uiPriority w:val="10"/>
    <w:qFormat/>
    <w:rsid w:val="002F0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BFB"/>
    <w:pPr>
      <w:spacing w:before="160"/>
      <w:jc w:val="center"/>
    </w:pPr>
    <w:rPr>
      <w:i/>
      <w:iCs/>
      <w:color w:val="404040" w:themeColor="text1" w:themeTint="BF"/>
    </w:rPr>
  </w:style>
  <w:style w:type="character" w:customStyle="1" w:styleId="QuoteChar">
    <w:name w:val="Quote Char"/>
    <w:basedOn w:val="DefaultParagraphFont"/>
    <w:link w:val="Quote"/>
    <w:uiPriority w:val="29"/>
    <w:rsid w:val="002F0BFB"/>
    <w:rPr>
      <w:i/>
      <w:iCs/>
      <w:color w:val="404040" w:themeColor="text1" w:themeTint="BF"/>
    </w:rPr>
  </w:style>
  <w:style w:type="paragraph" w:styleId="ListParagraph">
    <w:name w:val="List Paragraph"/>
    <w:basedOn w:val="Normal"/>
    <w:uiPriority w:val="34"/>
    <w:qFormat/>
    <w:rsid w:val="002F0BFB"/>
    <w:pPr>
      <w:ind w:left="720"/>
      <w:contextualSpacing/>
    </w:pPr>
  </w:style>
  <w:style w:type="character" w:styleId="IntenseEmphasis">
    <w:name w:val="Intense Emphasis"/>
    <w:basedOn w:val="DefaultParagraphFont"/>
    <w:uiPriority w:val="21"/>
    <w:qFormat/>
    <w:rsid w:val="002F0BFB"/>
    <w:rPr>
      <w:i/>
      <w:iCs/>
      <w:color w:val="2F5496" w:themeColor="accent1" w:themeShade="BF"/>
    </w:rPr>
  </w:style>
  <w:style w:type="paragraph" w:styleId="IntenseQuote">
    <w:name w:val="Intense Quote"/>
    <w:basedOn w:val="Normal"/>
    <w:next w:val="Normal"/>
    <w:link w:val="IntenseQuoteChar"/>
    <w:uiPriority w:val="30"/>
    <w:qFormat/>
    <w:rsid w:val="002F0B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BFB"/>
    <w:rPr>
      <w:i/>
      <w:iCs/>
      <w:color w:val="2F5496" w:themeColor="accent1" w:themeShade="BF"/>
    </w:rPr>
  </w:style>
  <w:style w:type="character" w:styleId="IntenseReference">
    <w:name w:val="Intense Reference"/>
    <w:basedOn w:val="DefaultParagraphFont"/>
    <w:uiPriority w:val="32"/>
    <w:qFormat/>
    <w:rsid w:val="002F0B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21</cp:revision>
  <dcterms:created xsi:type="dcterms:W3CDTF">2025-09-29T15:50:00Z</dcterms:created>
  <dcterms:modified xsi:type="dcterms:W3CDTF">2025-09-29T16:17:00Z</dcterms:modified>
</cp:coreProperties>
</file>