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87B2E" w14:textId="77777777" w:rsidR="00311AF3" w:rsidRPr="009C5616" w:rsidRDefault="00000000">
      <w:pPr>
        <w:pStyle w:val="Title"/>
        <w:rPr>
          <w:rFonts w:cstheme="majorHAnsi"/>
          <w:sz w:val="44"/>
          <w:szCs w:val="44"/>
        </w:rPr>
      </w:pPr>
      <w:r w:rsidRPr="009C5616">
        <w:rPr>
          <w:rFonts w:cstheme="majorHAnsi"/>
          <w:sz w:val="44"/>
          <w:szCs w:val="44"/>
        </w:rPr>
        <w:t>Music Taste Assistant Data Architecture Blueprint</w:t>
      </w:r>
    </w:p>
    <w:p w14:paraId="7EFA4F93"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Final project draft  |  13 October 2026</w:t>
      </w:r>
    </w:p>
    <w:p w14:paraId="1A833578" w14:textId="27CF4E60"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1 Purpose Scope and Business Context</w:t>
      </w:r>
    </w:p>
    <w:p w14:paraId="36A6F5FD" w14:textId="77777777" w:rsidR="00311AF3" w:rsidRPr="009C5616" w:rsidRDefault="00000000">
      <w:pPr>
        <w:rPr>
          <w:rFonts w:ascii="Calibri" w:hAnsi="Calibri" w:cs="Calibri"/>
          <w:sz w:val="24"/>
          <w:szCs w:val="24"/>
        </w:rPr>
      </w:pPr>
      <w:r w:rsidRPr="009C5616">
        <w:rPr>
          <w:rFonts w:ascii="Calibri" w:hAnsi="Calibri" w:cs="Calibri"/>
          <w:sz w:val="24"/>
          <w:szCs w:val="24"/>
        </w:rPr>
        <w:t>The proposed Music Taste Assistant helps a listener turn an imported playlist and their stated tastes into a usable music queue. The business problem is that a playlist contains useful signals but does not by itself explain the listener’s current goal, exclusions, or reasons for each recommendation. The assistant will summarize the playlist, let the listener correct that summary, generate and explain a queue, and refine it in conversation. It will ask before saving preferences inferred from chat.</w:t>
      </w:r>
    </w:p>
    <w:p w14:paraId="3E37C9FF" w14:textId="77777777" w:rsidR="00311AF3" w:rsidRPr="009C5616" w:rsidRDefault="00000000">
      <w:pPr>
        <w:rPr>
          <w:rFonts w:ascii="Calibri" w:hAnsi="Calibri" w:cs="Calibri"/>
          <w:sz w:val="24"/>
          <w:szCs w:val="24"/>
        </w:rPr>
      </w:pPr>
      <w:r w:rsidRPr="009C5616">
        <w:rPr>
          <w:rFonts w:ascii="Calibri" w:hAnsi="Calibri" w:cs="Calibri"/>
          <w:sz w:val="24"/>
          <w:szCs w:val="24"/>
        </w:rPr>
        <w:t>The blueprint covers consent, playlist import and review, a listener profile, a corrected taste summary, recommendation and chat interactions, saved data controls, and the catalog data needed to identify tracks, artists, albums, and genres. The existing project repository contains scripts for public music datasets and a PostgreSQL relational catalog prototype; the team must verify its loaded data and reconcile the final implementation with this blueprint. A production streaming integration, audio playback, payment, advertising, and fully automated preference capture are outside this demo’s scope. The playlist import method remains a design decision for the team.</w:t>
      </w:r>
    </w:p>
    <w:p w14:paraId="7D4D025E" w14:textId="77777777" w:rsidR="00311AF3" w:rsidRPr="009C5616" w:rsidRDefault="00000000">
      <w:pPr>
        <w:rPr>
          <w:rFonts w:ascii="Calibri" w:hAnsi="Calibri" w:cs="Calibri"/>
          <w:sz w:val="24"/>
          <w:szCs w:val="24"/>
        </w:rPr>
      </w:pPr>
      <w:r w:rsidRPr="009C5616">
        <w:rPr>
          <w:rFonts w:ascii="Calibri" w:hAnsi="Calibri" w:cs="Calibri"/>
          <w:sz w:val="24"/>
          <w:szCs w:val="24"/>
        </w:rPr>
        <w:t>Primary users are listeners who import playlists, request queues, and manage their data. The proposed sponsor is the product owner for the demo. The intended readers are the project team, course evaluator, and any engineer responsible for the data model, proof of concept, security, or testing.</w:t>
      </w:r>
    </w:p>
    <w:tbl>
      <w:tblPr>
        <w:tblStyle w:val="LightShading-Accent1"/>
        <w:tblW w:w="0" w:type="auto"/>
        <w:jc w:val="center"/>
        <w:tblLook w:val="04A0" w:firstRow="1" w:lastRow="0" w:firstColumn="1" w:lastColumn="0" w:noHBand="0" w:noVBand="1"/>
      </w:tblPr>
      <w:tblGrid>
        <w:gridCol w:w="2376"/>
        <w:gridCol w:w="7344"/>
      </w:tblGrid>
      <w:tr w:rsidR="00311AF3" w:rsidRPr="0099114D" w14:paraId="2402F326" w14:textId="77777777" w:rsidTr="00311AF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E60BBF9"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Success criterion</w:t>
            </w:r>
          </w:p>
        </w:tc>
        <w:tc>
          <w:tcPr>
            <w:tcW w:w="7344" w:type="dxa"/>
            <w:vAlign w:val="center"/>
          </w:tcPr>
          <w:p w14:paraId="3018019F"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Proposed acceptance test</w:t>
            </w:r>
          </w:p>
        </w:tc>
      </w:tr>
      <w:tr w:rsidR="00311AF3" w:rsidRPr="0099114D" w14:paraId="5724B124"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036D019"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Consent and control</w:t>
            </w:r>
          </w:p>
        </w:tc>
        <w:tc>
          <w:tcPr>
            <w:tcW w:w="7344" w:type="dxa"/>
            <w:vAlign w:val="center"/>
          </w:tcPr>
          <w:p w14:paraId="71DA1A02" w14:textId="77777777" w:rsidR="00311AF3" w:rsidRPr="009C5616"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C5616">
              <w:rPr>
                <w:rFonts w:ascii="Calibri" w:hAnsi="Calibri" w:cs="Calibri"/>
                <w:sz w:val="24"/>
                <w:szCs w:val="24"/>
              </w:rPr>
              <w:t>No playlist import or preference persistence before recorded consent; a deletion request removes saved listener data within 24 hours in the demo environment.</w:t>
            </w:r>
          </w:p>
        </w:tc>
      </w:tr>
      <w:tr w:rsidR="00311AF3" w:rsidRPr="0099114D" w14:paraId="54A5AAD4"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5AC9A01"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Transparent import</w:t>
            </w:r>
          </w:p>
        </w:tc>
        <w:tc>
          <w:tcPr>
            <w:tcW w:w="7344" w:type="dxa"/>
            <w:vAlign w:val="center"/>
          </w:tcPr>
          <w:p w14:paraId="399CEFBB" w14:textId="77777777" w:rsidR="00311AF3" w:rsidRPr="009C5616"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C5616">
              <w:rPr>
                <w:rFonts w:ascii="Calibri" w:hAnsi="Calibri" w:cs="Calibri"/>
                <w:sz w:val="24"/>
                <w:szCs w:val="24"/>
              </w:rPr>
              <w:t>Every imported row is either accepted or shown with a duplicate, unsupported, or incomplete reason; no row is silently discarded.</w:t>
            </w:r>
          </w:p>
        </w:tc>
      </w:tr>
      <w:tr w:rsidR="00311AF3" w:rsidRPr="0099114D" w14:paraId="34AD340D"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7297754F"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Grounded recommendations</w:t>
            </w:r>
          </w:p>
        </w:tc>
        <w:tc>
          <w:tcPr>
            <w:tcW w:w="7344" w:type="dxa"/>
            <w:vAlign w:val="center"/>
          </w:tcPr>
          <w:p w14:paraId="377C3FED" w14:textId="77777777" w:rsidR="00311AF3" w:rsidRPr="009C5616"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9C5616">
              <w:rPr>
                <w:rFonts w:ascii="Calibri" w:hAnsi="Calibri" w:cs="Calibri"/>
                <w:sz w:val="24"/>
                <w:szCs w:val="24"/>
              </w:rPr>
              <w:t>For a reviewed 100-track playlist, the queue is returned within 5 seconds in at least 95% of test runs; all hard exclusions are respected and every recommendation identifies its supporting playlist or confirmed-preference signal.</w:t>
            </w:r>
          </w:p>
        </w:tc>
      </w:tr>
      <w:tr w:rsidR="00311AF3" w:rsidRPr="0099114D" w14:paraId="46D51D7D"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73B29F1A"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Confirmed inferences</w:t>
            </w:r>
          </w:p>
        </w:tc>
        <w:tc>
          <w:tcPr>
            <w:tcW w:w="7344" w:type="dxa"/>
            <w:vAlign w:val="center"/>
          </w:tcPr>
          <w:p w14:paraId="268E941F" w14:textId="77777777" w:rsidR="00311AF3" w:rsidRPr="009C5616"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9C5616">
              <w:rPr>
                <w:rFonts w:ascii="Calibri" w:hAnsi="Calibri" w:cs="Calibri"/>
                <w:sz w:val="24"/>
                <w:szCs w:val="24"/>
              </w:rPr>
              <w:t>No AI-inferred preference is persisted until the listener explicitly confirms it.</w:t>
            </w:r>
          </w:p>
        </w:tc>
      </w:tr>
    </w:tbl>
    <w:p w14:paraId="78D90F09" w14:textId="77777777" w:rsidR="00311AF3" w:rsidRPr="0099114D" w:rsidRDefault="00311AF3">
      <w:pPr>
        <w:rPr>
          <w:rFonts w:asciiTheme="majorHAnsi" w:hAnsiTheme="majorHAnsi" w:cstheme="majorHAnsi"/>
          <w:sz w:val="24"/>
          <w:szCs w:val="24"/>
        </w:rPr>
      </w:pPr>
    </w:p>
    <w:p w14:paraId="3A22C92D" w14:textId="77777777" w:rsidR="00311AF3" w:rsidRPr="009C5616" w:rsidRDefault="00000000">
      <w:pPr>
        <w:rPr>
          <w:rFonts w:asciiTheme="majorHAnsi" w:hAnsiTheme="majorHAnsi" w:cstheme="majorHAnsi"/>
          <w:sz w:val="24"/>
          <w:szCs w:val="24"/>
        </w:rPr>
      </w:pPr>
      <w:r w:rsidRPr="009C5616">
        <w:rPr>
          <w:rFonts w:asciiTheme="majorHAnsi" w:hAnsiTheme="majorHAnsi" w:cstheme="majorHAnsi"/>
          <w:sz w:val="24"/>
          <w:szCs w:val="24"/>
        </w:rPr>
        <w:t>Status: these are design targets, not verified results. The team should report pass or fail using the Section 6 proof of concept and Section 13 demo evidence before final submission. Any metric that cannot be tested should remain identified as unverified.</w:t>
      </w:r>
    </w:p>
    <w:p w14:paraId="638C9564" w14:textId="381621D2"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2 Architecture Principles</w:t>
      </w:r>
    </w:p>
    <w:tbl>
      <w:tblPr>
        <w:tblStyle w:val="LightShading-Accent1"/>
        <w:tblW w:w="0" w:type="auto"/>
        <w:jc w:val="center"/>
        <w:tblLook w:val="04A0" w:firstRow="1" w:lastRow="0" w:firstColumn="1" w:lastColumn="0" w:noHBand="0" w:noVBand="1"/>
      </w:tblPr>
      <w:tblGrid>
        <w:gridCol w:w="2736"/>
        <w:gridCol w:w="6984"/>
      </w:tblGrid>
      <w:tr w:rsidR="00311AF3" w:rsidRPr="0099114D" w14:paraId="1A493874" w14:textId="77777777" w:rsidTr="00311AF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234C1990"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Principle</w:t>
            </w:r>
          </w:p>
        </w:tc>
        <w:tc>
          <w:tcPr>
            <w:tcW w:w="6984" w:type="dxa"/>
            <w:vAlign w:val="center"/>
          </w:tcPr>
          <w:p w14:paraId="397D62EF"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Application and decision rule</w:t>
            </w:r>
          </w:p>
        </w:tc>
      </w:tr>
      <w:tr w:rsidR="00311AF3" w:rsidRPr="0099114D" w14:paraId="0DC751DF"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06077483"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One authority per data object</w:t>
            </w:r>
          </w:p>
        </w:tc>
        <w:tc>
          <w:tcPr>
            <w:tcW w:w="6984" w:type="dxa"/>
            <w:vAlign w:val="center"/>
          </w:tcPr>
          <w:p w14:paraId="670D8C2C"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The catalog owns canonical track, artist, album, and genre identifiers; the listener service owns consent, explicit preferences, and saved queues. Imported playlist rows remain linked to their source and are not silently promoted to canonical catalog records.</w:t>
            </w:r>
          </w:p>
        </w:tc>
      </w:tr>
      <w:tr w:rsidR="00311AF3" w:rsidRPr="0099114D" w14:paraId="0AE083AD"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329CA257"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Consent and listener control</w:t>
            </w:r>
          </w:p>
        </w:tc>
        <w:tc>
          <w:tcPr>
            <w:tcW w:w="6984" w:type="dxa"/>
            <w:vAlign w:val="center"/>
          </w:tcPr>
          <w:p w14:paraId="3E0CC4A3"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Import and persistence require explicit consent. A listener can inspect, correct, clear, or delete saved data. This principle is non-negotiable.</w:t>
            </w:r>
          </w:p>
        </w:tc>
      </w:tr>
      <w:tr w:rsidR="00311AF3" w:rsidRPr="0099114D" w14:paraId="7C849A30"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62282AE2"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Explainable recommendation inputs</w:t>
            </w:r>
          </w:p>
        </w:tc>
        <w:tc>
          <w:tcPr>
            <w:tcW w:w="6984" w:type="dxa"/>
            <w:vAlign w:val="center"/>
          </w:tcPr>
          <w:p w14:paraId="3A02124B"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Queue reasons must point to reviewed playlist data, confirmed preferences, or a clearly identified catalog attribute. AI inferences stay separate until confirmed.</w:t>
            </w:r>
          </w:p>
        </w:tc>
      </w:tr>
      <w:tr w:rsidR="00311AF3" w:rsidRPr="0099114D" w14:paraId="00587E1F"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061C2691"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Minimum access and retention</w:t>
            </w:r>
          </w:p>
        </w:tc>
        <w:tc>
          <w:tcPr>
            <w:tcW w:w="6984" w:type="dxa"/>
            <w:vAlign w:val="center"/>
          </w:tcPr>
          <w:p w14:paraId="0100375C"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Each service sees only fields needed for its task. Chat history is optional and off by default in the proposed design; a documented retention period is required before launch.</w:t>
            </w:r>
          </w:p>
        </w:tc>
      </w:tr>
      <w:tr w:rsidR="00311AF3" w:rsidRPr="0099114D" w14:paraId="239C6BF4"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vAlign w:val="center"/>
          </w:tcPr>
          <w:p w14:paraId="5DEB197E"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Measured design choices</w:t>
            </w:r>
          </w:p>
        </w:tc>
        <w:tc>
          <w:tcPr>
            <w:tcW w:w="6984" w:type="dxa"/>
            <w:vAlign w:val="center"/>
          </w:tcPr>
          <w:p w14:paraId="1F3DDEE3"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Access patterns, indexes, freshness, and quality rules are approved with a test result or a clearly marked assumption.</w:t>
            </w:r>
          </w:p>
        </w:tc>
      </w:tr>
    </w:tbl>
    <w:p w14:paraId="42E6400A" w14:textId="77777777" w:rsidR="00311AF3" w:rsidRPr="0099114D" w:rsidRDefault="00311AF3">
      <w:pPr>
        <w:rPr>
          <w:rFonts w:asciiTheme="majorHAnsi" w:hAnsiTheme="majorHAnsi" w:cstheme="majorHAnsi"/>
          <w:sz w:val="24"/>
          <w:szCs w:val="24"/>
        </w:rPr>
      </w:pPr>
    </w:p>
    <w:p w14:paraId="163395A7" w14:textId="77777777" w:rsidR="00311AF3" w:rsidRPr="00BD702C" w:rsidRDefault="00000000">
      <w:pPr>
        <w:rPr>
          <w:rFonts w:ascii="Calibri" w:hAnsi="Calibri" w:cs="Calibri"/>
          <w:sz w:val="24"/>
          <w:szCs w:val="24"/>
        </w:rPr>
      </w:pPr>
      <w:r w:rsidRPr="00BD702C">
        <w:rPr>
          <w:rFonts w:ascii="Calibri" w:hAnsi="Calibri" w:cs="Calibri"/>
          <w:sz w:val="24"/>
          <w:szCs w:val="24"/>
        </w:rPr>
        <w:t>When personalization competes with privacy, consent and deletion take priority. When a rapid answer competes with data accuracy, the system should show an import or catalog limitation instead of inventing a track match. Performance and convenience defaults may be overridden by the product owner with a documented reason; consent, access limits, and deletion cannot.</w:t>
      </w:r>
    </w:p>
    <w:p w14:paraId="5400EF39" w14:textId="441C5054" w:rsidR="00311AF3" w:rsidRPr="00BD702C" w:rsidRDefault="00BD702C">
      <w:pPr>
        <w:pStyle w:val="Heading1"/>
        <w:rPr>
          <w:rFonts w:cstheme="majorHAnsi"/>
          <w:color w:val="EE0000"/>
          <w:sz w:val="32"/>
          <w:szCs w:val="32"/>
        </w:rPr>
      </w:pPr>
      <w:r w:rsidRPr="00BD702C">
        <w:rPr>
          <w:rFonts w:cstheme="majorHAnsi"/>
          <w:color w:val="EE0000"/>
          <w:sz w:val="32"/>
          <w:szCs w:val="32"/>
        </w:rPr>
        <w:lastRenderedPageBreak/>
        <w:t xml:space="preserve">Section </w:t>
      </w:r>
      <w:r w:rsidR="00000000" w:rsidRPr="00BD702C">
        <w:rPr>
          <w:rFonts w:cstheme="majorHAnsi"/>
          <w:color w:val="EE0000"/>
          <w:sz w:val="32"/>
          <w:szCs w:val="32"/>
        </w:rPr>
        <w:t>3 Baseline Current State Data Architecture</w:t>
      </w:r>
      <w:r w:rsidR="009C5616" w:rsidRPr="00BD702C">
        <w:rPr>
          <w:rFonts w:cstheme="majorHAnsi"/>
          <w:color w:val="EE0000"/>
          <w:sz w:val="32"/>
          <w:szCs w:val="32"/>
        </w:rPr>
        <w:t xml:space="preserve"> (Need complete)</w:t>
      </w:r>
    </w:p>
    <w:p w14:paraId="42E64974"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b/>
          <w:color w:val="5A646E"/>
          <w:sz w:val="24"/>
          <w:szCs w:val="24"/>
        </w:rPr>
        <w:t>TEAM SECTION TO COMPLETE  |  Complete the proposed process and system context for this new product; distinguish existing catalog work from proposed listener features.</w:t>
      </w:r>
    </w:p>
    <w:p w14:paraId="179CC8A0" w14:textId="77777777" w:rsidR="00311AF3" w:rsidRPr="0099114D" w:rsidRDefault="00000000">
      <w:pPr>
        <w:pStyle w:val="Heading2"/>
        <w:rPr>
          <w:rFonts w:cstheme="majorHAnsi"/>
          <w:sz w:val="24"/>
          <w:szCs w:val="24"/>
        </w:rPr>
      </w:pPr>
      <w:r w:rsidRPr="0099114D">
        <w:rPr>
          <w:rFonts w:cstheme="majorHAnsi"/>
          <w:sz w:val="24"/>
          <w:szCs w:val="24"/>
        </w:rPr>
        <w:t>Processes and BPMN</w:t>
      </w:r>
    </w:p>
    <w:p w14:paraId="74C961A9" w14:textId="77777777" w:rsidR="00311AF3" w:rsidRPr="00BD702C" w:rsidRDefault="00000000">
      <w:pPr>
        <w:rPr>
          <w:rFonts w:ascii="Calibri" w:hAnsi="Calibri" w:cs="Calibri"/>
          <w:sz w:val="24"/>
          <w:szCs w:val="24"/>
        </w:rPr>
      </w:pPr>
      <w:r w:rsidRPr="00BD702C">
        <w:rPr>
          <w:rFonts w:ascii="Calibri" w:hAnsi="Calibri" w:cs="Calibri"/>
          <w:sz w:val="24"/>
          <w:szCs w:val="24"/>
        </w:rPr>
        <w:t>Provide one BPMN diagram per in-scope process with listener, application, and AI lanes; include import and consent, queue generation, and taste chat or profile management.</w:t>
      </w:r>
    </w:p>
    <w:p w14:paraId="6CB491CB" w14:textId="77777777" w:rsidR="00311AF3" w:rsidRPr="00BD702C" w:rsidRDefault="00000000">
      <w:pPr>
        <w:rPr>
          <w:rFonts w:ascii="Calibri" w:hAnsi="Calibri" w:cs="Calibri"/>
          <w:sz w:val="24"/>
          <w:szCs w:val="24"/>
        </w:rPr>
      </w:pPr>
      <w:r w:rsidRPr="00BD702C">
        <w:rPr>
          <w:rFonts w:ascii="Calibri" w:hAnsi="Calibri" w:cs="Calibri"/>
          <w:sz w:val="24"/>
          <w:szCs w:val="24"/>
        </w:rPr>
        <w:t>[Insert team content and evidence here.]</w:t>
      </w:r>
    </w:p>
    <w:p w14:paraId="664A0D42" w14:textId="77777777" w:rsidR="00311AF3" w:rsidRPr="0099114D" w:rsidRDefault="00000000">
      <w:pPr>
        <w:pStyle w:val="Heading2"/>
        <w:rPr>
          <w:rFonts w:cstheme="majorHAnsi"/>
          <w:sz w:val="24"/>
          <w:szCs w:val="24"/>
        </w:rPr>
      </w:pPr>
      <w:r w:rsidRPr="0099114D">
        <w:rPr>
          <w:rFonts w:cstheme="majorHAnsi"/>
          <w:sz w:val="24"/>
          <w:szCs w:val="24"/>
        </w:rPr>
        <w:t>Process to data table</w:t>
      </w:r>
    </w:p>
    <w:p w14:paraId="41EB8833" w14:textId="77777777" w:rsidR="00311AF3" w:rsidRPr="00BD702C" w:rsidRDefault="00000000">
      <w:pPr>
        <w:rPr>
          <w:rFonts w:ascii="Calibri" w:hAnsi="Calibri" w:cs="Calibri"/>
          <w:sz w:val="24"/>
          <w:szCs w:val="24"/>
        </w:rPr>
      </w:pPr>
      <w:r w:rsidRPr="00BD702C">
        <w:rPr>
          <w:rFonts w:ascii="Calibri" w:hAnsi="Calibri" w:cs="Calibri"/>
          <w:sz w:val="24"/>
          <w:szCs w:val="24"/>
        </w:rPr>
        <w:t>List every process step and its create, read, update, or delete operation. Ensure each data object later appears in the Section 4 conceptual model.</w:t>
      </w:r>
    </w:p>
    <w:p w14:paraId="03D4E399" w14:textId="77777777" w:rsidR="00311AF3" w:rsidRPr="00BD702C" w:rsidRDefault="00000000">
      <w:pPr>
        <w:rPr>
          <w:rFonts w:ascii="Calibri" w:hAnsi="Calibri" w:cs="Calibri"/>
          <w:sz w:val="24"/>
          <w:szCs w:val="24"/>
        </w:rPr>
      </w:pPr>
      <w:r w:rsidRPr="00BD702C">
        <w:rPr>
          <w:rFonts w:ascii="Calibri" w:hAnsi="Calibri" w:cs="Calibri"/>
          <w:sz w:val="24"/>
          <w:szCs w:val="24"/>
        </w:rPr>
        <w:t>[Insert team content and evidence here.]</w:t>
      </w:r>
    </w:p>
    <w:p w14:paraId="192C1A9C" w14:textId="77777777" w:rsidR="00311AF3" w:rsidRPr="0099114D" w:rsidRDefault="00000000">
      <w:pPr>
        <w:pStyle w:val="Heading2"/>
        <w:rPr>
          <w:rFonts w:cstheme="majorHAnsi"/>
          <w:sz w:val="24"/>
          <w:szCs w:val="24"/>
        </w:rPr>
      </w:pPr>
      <w:r w:rsidRPr="0099114D">
        <w:rPr>
          <w:rFonts w:cstheme="majorHAnsi"/>
          <w:sz w:val="24"/>
          <w:szCs w:val="24"/>
        </w:rPr>
        <w:t>System context and baseline issues</w:t>
      </w:r>
    </w:p>
    <w:p w14:paraId="4C0584B9" w14:textId="77777777" w:rsidR="00311AF3" w:rsidRPr="00BD702C" w:rsidRDefault="00000000">
      <w:pPr>
        <w:rPr>
          <w:rFonts w:ascii="Calibri" w:hAnsi="Calibri" w:cs="Calibri"/>
          <w:sz w:val="24"/>
          <w:szCs w:val="24"/>
        </w:rPr>
      </w:pPr>
      <w:r w:rsidRPr="00BD702C">
        <w:rPr>
          <w:rFonts w:ascii="Calibri" w:hAnsi="Calibri" w:cs="Calibri"/>
          <w:sz w:val="24"/>
          <w:szCs w:val="24"/>
        </w:rPr>
        <w:t>Identify existing and assumed source systems, what each holds, reusable repository components, duplicate or unmatched track risks, and any verified technical debt.</w:t>
      </w:r>
    </w:p>
    <w:p w14:paraId="0AC193F0"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3F5512CA" w14:textId="0D427498" w:rsidR="00311AF3" w:rsidRPr="00BD702C" w:rsidRDefault="00BD702C">
      <w:pPr>
        <w:pStyle w:val="Heading1"/>
        <w:rPr>
          <w:rFonts w:cstheme="majorHAnsi"/>
          <w:color w:val="EE0000"/>
          <w:sz w:val="32"/>
          <w:szCs w:val="32"/>
        </w:rPr>
      </w:pPr>
      <w:r w:rsidRPr="00BD702C">
        <w:rPr>
          <w:rFonts w:cstheme="majorHAnsi"/>
          <w:color w:val="EE0000"/>
          <w:sz w:val="32"/>
          <w:szCs w:val="32"/>
        </w:rPr>
        <w:t xml:space="preserve">Section </w:t>
      </w:r>
      <w:r w:rsidR="00000000" w:rsidRPr="00BD702C">
        <w:rPr>
          <w:rFonts w:cstheme="majorHAnsi"/>
          <w:color w:val="EE0000"/>
          <w:sz w:val="32"/>
          <w:szCs w:val="32"/>
        </w:rPr>
        <w:t>4 Data Domains and Conceptual Data Model</w:t>
      </w:r>
      <w:r w:rsidR="009C5616" w:rsidRPr="00BD702C">
        <w:rPr>
          <w:rFonts w:cstheme="majorHAnsi"/>
          <w:color w:val="EE0000"/>
          <w:sz w:val="32"/>
          <w:szCs w:val="32"/>
        </w:rPr>
        <w:t xml:space="preserve"> </w:t>
      </w:r>
      <w:r w:rsidR="009C5616" w:rsidRPr="00BD702C">
        <w:rPr>
          <w:rFonts w:cstheme="majorHAnsi"/>
          <w:color w:val="EE0000"/>
          <w:sz w:val="32"/>
          <w:szCs w:val="32"/>
        </w:rPr>
        <w:t>(Need complete)</w:t>
      </w:r>
    </w:p>
    <w:p w14:paraId="3DBE967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b/>
          <w:color w:val="5A646E"/>
          <w:sz w:val="24"/>
          <w:szCs w:val="24"/>
        </w:rPr>
        <w:t>TEAM SECTION TO COMPLETE  |  Use the Section 3 data objects and number access patterns for later citation.</w:t>
      </w:r>
    </w:p>
    <w:p w14:paraId="53A021B6" w14:textId="77777777" w:rsidR="00311AF3" w:rsidRPr="0099114D" w:rsidRDefault="00000000">
      <w:pPr>
        <w:pStyle w:val="Heading2"/>
        <w:rPr>
          <w:rFonts w:cstheme="majorHAnsi"/>
          <w:sz w:val="24"/>
          <w:szCs w:val="24"/>
        </w:rPr>
      </w:pPr>
      <w:r w:rsidRPr="0099114D">
        <w:rPr>
          <w:rFonts w:cstheme="majorHAnsi"/>
          <w:sz w:val="24"/>
          <w:szCs w:val="24"/>
        </w:rPr>
        <w:t>Conceptual ERD</w:t>
      </w:r>
    </w:p>
    <w:p w14:paraId="413A16F6"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Show major business entities and crow’s foot cardinalities without platform-specific tables.</w:t>
      </w:r>
    </w:p>
    <w:p w14:paraId="6C8FBF05"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61A012FB" w14:textId="77777777" w:rsidR="00311AF3" w:rsidRPr="0099114D" w:rsidRDefault="00000000">
      <w:pPr>
        <w:pStyle w:val="Heading2"/>
        <w:rPr>
          <w:rFonts w:cstheme="majorHAnsi"/>
          <w:sz w:val="24"/>
          <w:szCs w:val="24"/>
        </w:rPr>
      </w:pPr>
      <w:r w:rsidRPr="0099114D">
        <w:rPr>
          <w:rFonts w:cstheme="majorHAnsi"/>
          <w:sz w:val="24"/>
          <w:szCs w:val="24"/>
        </w:rPr>
        <w:t>Data source inventory</w:t>
      </w:r>
    </w:p>
    <w:p w14:paraId="5505243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For each domain, state source, authority, current volume, monthly growth, and record-size assumptions with arithmetic.</w:t>
      </w:r>
    </w:p>
    <w:p w14:paraId="414C1812"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1F443133" w14:textId="77777777" w:rsidR="00311AF3" w:rsidRPr="0099114D" w:rsidRDefault="00000000">
      <w:pPr>
        <w:pStyle w:val="Heading2"/>
        <w:rPr>
          <w:rFonts w:cstheme="majorHAnsi"/>
          <w:sz w:val="24"/>
          <w:szCs w:val="24"/>
        </w:rPr>
      </w:pPr>
      <w:r w:rsidRPr="0099114D">
        <w:rPr>
          <w:rFonts w:cstheme="majorHAnsi"/>
          <w:sz w:val="24"/>
          <w:szCs w:val="24"/>
        </w:rPr>
        <w:t>Access pattern table</w:t>
      </w:r>
    </w:p>
    <w:p w14:paraId="16203005"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Define AP1, AP2, and so on, with read or write, frequency, latency target, consumer, and query type. Cite these IDs in Sections 5–7 and 13.</w:t>
      </w:r>
    </w:p>
    <w:p w14:paraId="6BDEF606"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63912596" w14:textId="497FA909" w:rsidR="00311AF3" w:rsidRPr="00BD702C" w:rsidRDefault="00BD702C">
      <w:pPr>
        <w:pStyle w:val="Heading1"/>
        <w:rPr>
          <w:rFonts w:cstheme="majorHAnsi"/>
          <w:color w:val="EE0000"/>
          <w:sz w:val="32"/>
          <w:szCs w:val="32"/>
        </w:rPr>
      </w:pPr>
      <w:r w:rsidRPr="00BD702C">
        <w:rPr>
          <w:rFonts w:cstheme="majorHAnsi"/>
          <w:color w:val="EE0000"/>
          <w:sz w:val="32"/>
          <w:szCs w:val="32"/>
        </w:rPr>
        <w:t xml:space="preserve">Section </w:t>
      </w:r>
      <w:r w:rsidR="00000000" w:rsidRPr="00BD702C">
        <w:rPr>
          <w:rFonts w:cstheme="majorHAnsi"/>
          <w:color w:val="EE0000"/>
          <w:sz w:val="32"/>
          <w:szCs w:val="32"/>
        </w:rPr>
        <w:t>5 Logical Data Model and Schema Design</w:t>
      </w:r>
      <w:r w:rsidR="009C5616" w:rsidRPr="00BD702C">
        <w:rPr>
          <w:rFonts w:cstheme="majorHAnsi"/>
          <w:color w:val="EE0000"/>
          <w:sz w:val="32"/>
          <w:szCs w:val="32"/>
        </w:rPr>
        <w:t xml:space="preserve"> </w:t>
      </w:r>
      <w:r w:rsidR="009C5616" w:rsidRPr="00BD702C">
        <w:rPr>
          <w:rFonts w:cstheme="majorHAnsi"/>
          <w:color w:val="EE0000"/>
          <w:sz w:val="32"/>
          <w:szCs w:val="32"/>
        </w:rPr>
        <w:t>(Need complete)</w:t>
      </w:r>
    </w:p>
    <w:p w14:paraId="525BCA6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b/>
          <w:color w:val="5A646E"/>
          <w:sz w:val="24"/>
          <w:szCs w:val="24"/>
        </w:rPr>
        <w:t>TEAM SECTION TO COMPLETE  |  Use the Section 4 access patterns as the reason for each model choice.</w:t>
      </w:r>
    </w:p>
    <w:p w14:paraId="267196C2" w14:textId="77777777" w:rsidR="00311AF3" w:rsidRPr="0099114D" w:rsidRDefault="00000000">
      <w:pPr>
        <w:pStyle w:val="Heading2"/>
        <w:rPr>
          <w:rFonts w:cstheme="majorHAnsi"/>
          <w:sz w:val="24"/>
          <w:szCs w:val="24"/>
        </w:rPr>
      </w:pPr>
      <w:r w:rsidRPr="0099114D">
        <w:rPr>
          <w:rFonts w:cstheme="majorHAnsi"/>
          <w:sz w:val="24"/>
          <w:szCs w:val="24"/>
        </w:rPr>
        <w:t>Model choices and cross-store identity</w:t>
      </w:r>
    </w:p>
    <w:p w14:paraId="6EB15E2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Provide model assignment and alternatives; state canonical IDs and conflict resolution.</w:t>
      </w:r>
    </w:p>
    <w:p w14:paraId="2576CC0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597ED12F" w14:textId="77777777" w:rsidR="00311AF3" w:rsidRPr="0099114D" w:rsidRDefault="00000000">
      <w:pPr>
        <w:pStyle w:val="Heading2"/>
        <w:rPr>
          <w:rFonts w:cstheme="majorHAnsi"/>
          <w:sz w:val="24"/>
          <w:szCs w:val="24"/>
        </w:rPr>
      </w:pPr>
      <w:r w:rsidRPr="0099114D">
        <w:rPr>
          <w:rFonts w:cstheme="majorHAnsi"/>
          <w:sz w:val="24"/>
          <w:szCs w:val="24"/>
        </w:rPr>
        <w:t>Relational design</w:t>
      </w:r>
    </w:p>
    <w:p w14:paraId="712BD655"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logical ERD, 3NF rationale, data dictionary, and enforceable business-rule list.</w:t>
      </w:r>
    </w:p>
    <w:p w14:paraId="39CA680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2506873A" w14:textId="77777777" w:rsidR="00311AF3" w:rsidRPr="0099114D" w:rsidRDefault="00000000">
      <w:pPr>
        <w:pStyle w:val="Heading2"/>
        <w:rPr>
          <w:rFonts w:cstheme="majorHAnsi"/>
          <w:sz w:val="24"/>
          <w:szCs w:val="24"/>
        </w:rPr>
      </w:pPr>
      <w:r w:rsidRPr="0099114D">
        <w:rPr>
          <w:rFonts w:cstheme="majorHAnsi"/>
          <w:sz w:val="24"/>
          <w:szCs w:val="24"/>
        </w:rPr>
        <w:t>Other selected models</w:t>
      </w:r>
    </w:p>
    <w:p w14:paraId="067E8102"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If document or vector storage is used, add sample schema or chunk record, metadata, source link, and validation rules.</w:t>
      </w:r>
    </w:p>
    <w:p w14:paraId="3E27E166"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1AFEDE53" w14:textId="4184927D" w:rsidR="00311AF3" w:rsidRPr="00BD702C" w:rsidRDefault="00BD702C">
      <w:pPr>
        <w:pStyle w:val="Heading1"/>
        <w:rPr>
          <w:rFonts w:cstheme="majorHAnsi"/>
          <w:color w:val="EE0000"/>
          <w:sz w:val="32"/>
          <w:szCs w:val="32"/>
        </w:rPr>
      </w:pPr>
      <w:r w:rsidRPr="00BD702C">
        <w:rPr>
          <w:rFonts w:cstheme="majorHAnsi"/>
          <w:color w:val="EE0000"/>
          <w:sz w:val="32"/>
          <w:szCs w:val="32"/>
        </w:rPr>
        <w:t xml:space="preserve">Section </w:t>
      </w:r>
      <w:r w:rsidR="00000000" w:rsidRPr="00BD702C">
        <w:rPr>
          <w:rFonts w:cstheme="majorHAnsi"/>
          <w:color w:val="EE0000"/>
          <w:sz w:val="32"/>
          <w:szCs w:val="32"/>
        </w:rPr>
        <w:t>6 Data Storage and Technology Architecture</w:t>
      </w:r>
      <w:r w:rsidR="009C5616" w:rsidRPr="00BD702C">
        <w:rPr>
          <w:rFonts w:cstheme="majorHAnsi"/>
          <w:color w:val="EE0000"/>
          <w:sz w:val="32"/>
          <w:szCs w:val="32"/>
        </w:rPr>
        <w:t xml:space="preserve"> </w:t>
      </w:r>
      <w:r w:rsidR="009C5616" w:rsidRPr="00BD702C">
        <w:rPr>
          <w:rFonts w:cstheme="majorHAnsi"/>
          <w:color w:val="EE0000"/>
          <w:sz w:val="32"/>
          <w:szCs w:val="32"/>
        </w:rPr>
        <w:t>(Need complete)</w:t>
      </w:r>
    </w:p>
    <w:p w14:paraId="3EA3C894"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b/>
          <w:color w:val="5A646E"/>
          <w:sz w:val="24"/>
          <w:szCs w:val="24"/>
        </w:rPr>
        <w:t>TEAM SECTION TO COMPLETE  |  Show an implemented, measured proof of concept rather than a platform proposal alone.</w:t>
      </w:r>
    </w:p>
    <w:p w14:paraId="2C52B8F9" w14:textId="77777777" w:rsidR="00311AF3" w:rsidRPr="0099114D" w:rsidRDefault="00000000">
      <w:pPr>
        <w:pStyle w:val="Heading2"/>
        <w:rPr>
          <w:rFonts w:cstheme="majorHAnsi"/>
          <w:sz w:val="24"/>
          <w:szCs w:val="24"/>
        </w:rPr>
      </w:pPr>
      <w:r w:rsidRPr="0099114D">
        <w:rPr>
          <w:rFonts w:cstheme="majorHAnsi"/>
          <w:sz w:val="24"/>
          <w:szCs w:val="24"/>
        </w:rPr>
        <w:t>Platform and storage decisions</w:t>
      </w:r>
    </w:p>
    <w:p w14:paraId="7C8EEED0"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Name chosen platforms, consistency tradeoffs, analytical storage, indexes, partitions, and AP IDs.</w:t>
      </w:r>
    </w:p>
    <w:p w14:paraId="126C90E9"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69FFEB1F" w14:textId="77777777" w:rsidR="00311AF3" w:rsidRPr="0099114D" w:rsidRDefault="00000000">
      <w:pPr>
        <w:pStyle w:val="Heading2"/>
        <w:rPr>
          <w:rFonts w:cstheme="majorHAnsi"/>
          <w:sz w:val="24"/>
          <w:szCs w:val="24"/>
        </w:rPr>
      </w:pPr>
      <w:r w:rsidRPr="0099114D">
        <w:rPr>
          <w:rFonts w:cstheme="majorHAnsi"/>
          <w:sz w:val="24"/>
          <w:szCs w:val="24"/>
        </w:rPr>
        <w:t>Implementation evidence</w:t>
      </w:r>
    </w:p>
    <w:p w14:paraId="19EBF21C"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Include DDL, loaded dataset size, at least three tuned AP queries, and before-and-after timings or query plans. If a document or vector store is selected, show a working query linked to source entities.</w:t>
      </w:r>
    </w:p>
    <w:p w14:paraId="0BB3DA97"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0DD59219" w14:textId="77777777" w:rsidR="00311AF3" w:rsidRPr="0099114D" w:rsidRDefault="00000000">
      <w:pPr>
        <w:pStyle w:val="Heading2"/>
        <w:rPr>
          <w:rFonts w:cstheme="majorHAnsi"/>
          <w:sz w:val="24"/>
          <w:szCs w:val="24"/>
        </w:rPr>
      </w:pPr>
      <w:r w:rsidRPr="0099114D">
        <w:rPr>
          <w:rFonts w:cstheme="majorHAnsi"/>
          <w:sz w:val="24"/>
          <w:szCs w:val="24"/>
        </w:rPr>
        <w:t>Appendix links</w:t>
      </w:r>
    </w:p>
    <w:p w14:paraId="5552883F"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Identify repository paths for DDL, benchmark queries, data-loading scripts, and measured output. Resolve the local Docker Compose merge conflict before claiming a runnable setup.</w:t>
      </w:r>
    </w:p>
    <w:p w14:paraId="5A41B772"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26277319" w14:textId="15F4A58C" w:rsidR="00311AF3" w:rsidRPr="009C5616" w:rsidRDefault="00BD702C">
      <w:pPr>
        <w:pStyle w:val="Heading1"/>
        <w:rPr>
          <w:rFonts w:cstheme="majorHAnsi"/>
          <w:color w:val="EE0000"/>
          <w:sz w:val="32"/>
          <w:szCs w:val="32"/>
        </w:rPr>
      </w:pPr>
      <w:r w:rsidRPr="00BD702C">
        <w:rPr>
          <w:rFonts w:cstheme="majorHAnsi"/>
          <w:color w:val="EE0000"/>
          <w:sz w:val="32"/>
          <w:szCs w:val="32"/>
        </w:rPr>
        <w:t xml:space="preserve">Section </w:t>
      </w:r>
      <w:r w:rsidR="00000000" w:rsidRPr="00BD702C">
        <w:rPr>
          <w:rFonts w:cstheme="majorHAnsi"/>
          <w:color w:val="EE0000"/>
          <w:sz w:val="32"/>
          <w:szCs w:val="32"/>
        </w:rPr>
        <w:t xml:space="preserve">7 </w:t>
      </w:r>
      <w:r w:rsidR="00000000" w:rsidRPr="009C5616">
        <w:rPr>
          <w:rFonts w:cstheme="majorHAnsi"/>
          <w:color w:val="EE0000"/>
          <w:sz w:val="32"/>
          <w:szCs w:val="32"/>
        </w:rPr>
        <w:t>Data Integration and Pipeline Architecture</w:t>
      </w:r>
      <w:r w:rsidR="009C5616" w:rsidRPr="009C5616">
        <w:rPr>
          <w:rFonts w:cstheme="majorHAnsi"/>
          <w:color w:val="EE0000"/>
          <w:sz w:val="32"/>
          <w:szCs w:val="32"/>
        </w:rPr>
        <w:t xml:space="preserve"> </w:t>
      </w:r>
      <w:r w:rsidR="009C5616" w:rsidRPr="009C5616">
        <w:rPr>
          <w:rFonts w:cstheme="majorHAnsi"/>
          <w:color w:val="EE0000"/>
          <w:sz w:val="32"/>
          <w:szCs w:val="32"/>
        </w:rPr>
        <w:t>(Need complete)</w:t>
      </w:r>
      <w:r w:rsidR="009C5616" w:rsidRPr="009C5616">
        <w:rPr>
          <w:rFonts w:cstheme="majorHAnsi"/>
          <w:color w:val="EE0000"/>
          <w:sz w:val="32"/>
          <w:szCs w:val="32"/>
        </w:rPr>
        <w:t xml:space="preserve"> </w:t>
      </w:r>
    </w:p>
    <w:p w14:paraId="52774206"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b/>
          <w:color w:val="5A646E"/>
          <w:sz w:val="24"/>
          <w:szCs w:val="24"/>
        </w:rPr>
        <w:t>TEAM SECTION TO COMPLETE  |  Trace each external field from source to the stores and AI delivery path.</w:t>
      </w:r>
    </w:p>
    <w:p w14:paraId="442CC602" w14:textId="77777777" w:rsidR="00311AF3" w:rsidRPr="0099114D" w:rsidRDefault="00000000">
      <w:pPr>
        <w:pStyle w:val="Heading2"/>
        <w:rPr>
          <w:rFonts w:cstheme="majorHAnsi"/>
          <w:sz w:val="24"/>
          <w:szCs w:val="24"/>
        </w:rPr>
      </w:pPr>
      <w:r w:rsidRPr="0099114D">
        <w:rPr>
          <w:rFonts w:cstheme="majorHAnsi"/>
          <w:sz w:val="24"/>
          <w:szCs w:val="24"/>
        </w:rPr>
        <w:t>Pipeline architecture diagram</w:t>
      </w:r>
    </w:p>
    <w:p w14:paraId="04B50EC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Show sources, validations, transformations, targets, orchestration, retries, and failure handling.</w:t>
      </w:r>
    </w:p>
    <w:p w14:paraId="31057A4F"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3A31E624" w14:textId="77777777" w:rsidR="00311AF3" w:rsidRPr="0099114D" w:rsidRDefault="00000000">
      <w:pPr>
        <w:pStyle w:val="Heading2"/>
        <w:rPr>
          <w:rFonts w:cstheme="majorHAnsi"/>
          <w:sz w:val="24"/>
          <w:szCs w:val="24"/>
        </w:rPr>
      </w:pPr>
      <w:r w:rsidRPr="0099114D">
        <w:rPr>
          <w:rFonts w:cstheme="majorHAnsi"/>
          <w:sz w:val="24"/>
          <w:szCs w:val="24"/>
        </w:rPr>
        <w:t>Source to target mapping</w:t>
      </w:r>
    </w:p>
    <w:p w14:paraId="2756CAD2"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Map every externally sourced field in Section 5 to its source and transformation.</w:t>
      </w:r>
    </w:p>
    <w:p w14:paraId="47AFA8AA"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38E65B73" w14:textId="77777777" w:rsidR="00311AF3" w:rsidRPr="0099114D" w:rsidRDefault="00000000">
      <w:pPr>
        <w:pStyle w:val="Heading2"/>
        <w:rPr>
          <w:rFonts w:cstheme="majorHAnsi"/>
          <w:sz w:val="24"/>
          <w:szCs w:val="24"/>
        </w:rPr>
      </w:pPr>
      <w:r w:rsidRPr="0099114D">
        <w:rPr>
          <w:rFonts w:cstheme="majorHAnsi"/>
          <w:sz w:val="24"/>
          <w:szCs w:val="24"/>
        </w:rPr>
        <w:t>Freshness and deletion</w:t>
      </w:r>
    </w:p>
    <w:p w14:paraId="784F0E82"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Compare required and designed freshness; explain propagation of changed or deleted playlist and profile data, and any embedding refresh if vector search is used.</w:t>
      </w:r>
    </w:p>
    <w:p w14:paraId="0BEC993A"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0EBEED43" w14:textId="657FA10E"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8 Master and Reference Data Management</w:t>
      </w:r>
    </w:p>
    <w:p w14:paraId="4DA0D6BD" w14:textId="77777777" w:rsidR="00311AF3" w:rsidRPr="00BD702C" w:rsidRDefault="00000000">
      <w:pPr>
        <w:rPr>
          <w:rFonts w:ascii="Calibri" w:hAnsi="Calibri" w:cs="Calibri"/>
          <w:sz w:val="24"/>
          <w:szCs w:val="24"/>
        </w:rPr>
      </w:pPr>
      <w:r w:rsidRPr="00BD702C">
        <w:rPr>
          <w:rFonts w:ascii="Calibri" w:hAnsi="Calibri" w:cs="Calibri"/>
          <w:sz w:val="24"/>
          <w:szCs w:val="24"/>
        </w:rPr>
        <w:t>The catalog should maintain one canonical record for each track, artist, album, and genre used by the demo. A listener’s explicit preference, exclusion, consent state, and saved queue are authoritative in the listener service. Imported playlist metadata is evidence of what the listener submitted; it is not an independent authority for catalog facts. The team should document the catalog matching key and how imported service identifiers map to canonical IDs in Section 5.</w:t>
      </w:r>
    </w:p>
    <w:p w14:paraId="2E5B01BA" w14:textId="77777777" w:rsidR="00311AF3" w:rsidRPr="00BD702C" w:rsidRDefault="00000000">
      <w:pPr>
        <w:rPr>
          <w:rFonts w:ascii="Calibri" w:hAnsi="Calibri" w:cs="Calibri"/>
          <w:sz w:val="24"/>
          <w:szCs w:val="24"/>
        </w:rPr>
      </w:pPr>
      <w:r w:rsidRPr="00BD702C">
        <w:rPr>
          <w:rFonts w:ascii="Calibri" w:hAnsi="Calibri" w:cs="Calibri"/>
          <w:sz w:val="24"/>
          <w:szCs w:val="24"/>
        </w:rPr>
        <w:t>When catalog sources disagree, retain source values and provenance, then apply a documented ranking rule. For example, a stable source identifier plus matching title and artist may support an automatic match; conflicting identities or ambiguous names go to a review queue rather than being merged silently. The catalog steward approves merge rules and exceptions. A listener’s correction to a taste summary changes that listener’s profile, not the shared catalog.</w:t>
      </w:r>
    </w:p>
    <w:p w14:paraId="745E1A14" w14:textId="77777777" w:rsidR="00311AF3" w:rsidRPr="00BD702C" w:rsidRDefault="00000000">
      <w:pPr>
        <w:rPr>
          <w:rFonts w:ascii="Calibri" w:hAnsi="Calibri" w:cs="Calibri"/>
          <w:sz w:val="24"/>
          <w:szCs w:val="24"/>
        </w:rPr>
      </w:pPr>
      <w:r w:rsidRPr="00BD702C">
        <w:rPr>
          <w:rFonts w:ascii="Calibri" w:hAnsi="Calibri" w:cs="Calibri"/>
          <w:sz w:val="24"/>
          <w:szCs w:val="24"/>
        </w:rPr>
        <w:t>Genre codes, exclusion types, import statuses, and recommendation feedback values should come from versioned reference lists. The same code and meaning must be used by import validation, APIs, analytics, and the AI data contract. Retired values remain interpretable in historical records.</w:t>
      </w:r>
    </w:p>
    <w:p w14:paraId="591B657A" w14:textId="6C5294F0"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9 Metadata Management and Data Catalog</w:t>
      </w:r>
    </w:p>
    <w:p w14:paraId="0B10EF09" w14:textId="77777777" w:rsidR="00311AF3" w:rsidRPr="00BD702C" w:rsidRDefault="00000000">
      <w:pPr>
        <w:rPr>
          <w:rFonts w:ascii="Calibri" w:hAnsi="Calibri" w:cs="Calibri"/>
          <w:sz w:val="24"/>
          <w:szCs w:val="24"/>
        </w:rPr>
      </w:pPr>
      <w:r w:rsidRPr="00BD702C">
        <w:rPr>
          <w:rFonts w:ascii="Calibri" w:hAnsi="Calibri" w:cs="Calibri"/>
          <w:sz w:val="24"/>
          <w:szCs w:val="24"/>
        </w:rPr>
        <w:t>A lightweight catalog should list each dataset or view, owner, purpose, field meaning, sensitivity, source, refresh frequency, and retention period. It should cover raw imported rows, canonical music catalog entities, consent and profile records, corrected taste summaries, queue decisions, and any chat-derived candidate preference. The Section 5 data dictionary can seed this catalog.</w:t>
      </w:r>
    </w:p>
    <w:p w14:paraId="23AEED76" w14:textId="77777777" w:rsidR="00311AF3" w:rsidRPr="00BD702C" w:rsidRDefault="00000000">
      <w:pPr>
        <w:rPr>
          <w:rFonts w:ascii="Calibri" w:hAnsi="Calibri" w:cs="Calibri"/>
          <w:sz w:val="24"/>
          <w:szCs w:val="24"/>
        </w:rPr>
      </w:pPr>
      <w:r w:rsidRPr="00BD702C">
        <w:rPr>
          <w:rFonts w:ascii="Calibri" w:hAnsi="Calibri" w:cs="Calibri"/>
          <w:sz w:val="24"/>
          <w:szCs w:val="24"/>
        </w:rPr>
        <w:t>Lineage should connect an imported playlist row to its original row number or provider identifier, validation result, canonical track match, summary input, and any recommendation reason that used it. Version identifiers should record the import batch, catalog snapshot, summary logic, and recommendation logic, so a disputed queue can be explained without exposing unrelated listener data.</w:t>
      </w:r>
    </w:p>
    <w:p w14:paraId="08D87C65" w14:textId="77777777" w:rsidR="00311AF3" w:rsidRPr="00BD702C" w:rsidRDefault="00000000">
      <w:pPr>
        <w:rPr>
          <w:rFonts w:ascii="Calibri" w:hAnsi="Calibri" w:cs="Calibri"/>
          <w:sz w:val="24"/>
          <w:szCs w:val="24"/>
        </w:rPr>
      </w:pPr>
      <w:r w:rsidRPr="00BD702C">
        <w:rPr>
          <w:rFonts w:ascii="Calibri" w:hAnsi="Calibri" w:cs="Calibri"/>
          <w:sz w:val="24"/>
          <w:szCs w:val="24"/>
        </w:rPr>
        <w:t>The AI-facing semantic contract should define “explicit preference,” “confirmed inferred preference,” “exclusion,” “playlist track,” and “candidate recommendation” as different concepts. The agent should receive only curated fields with their definitions and freshness timestamp. It must not interpret a rejected recommendation as a permanent dislike or save an inferred preference without a separate confirmation event.</w:t>
      </w:r>
    </w:p>
    <w:p w14:paraId="7428EED4" w14:textId="6A49C88D"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10 Data Quality Management</w:t>
      </w:r>
    </w:p>
    <w:tbl>
      <w:tblPr>
        <w:tblStyle w:val="LightShading-Accent1"/>
        <w:tblW w:w="0" w:type="auto"/>
        <w:jc w:val="center"/>
        <w:tblLook w:val="04A0" w:firstRow="1" w:lastRow="0" w:firstColumn="1" w:lastColumn="0" w:noHBand="0" w:noVBand="1"/>
      </w:tblPr>
      <w:tblGrid>
        <w:gridCol w:w="2664"/>
        <w:gridCol w:w="7056"/>
      </w:tblGrid>
      <w:tr w:rsidR="00311AF3" w:rsidRPr="0099114D" w14:paraId="26801094" w14:textId="77777777" w:rsidTr="00311AF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64" w:type="dxa"/>
            <w:vAlign w:val="center"/>
          </w:tcPr>
          <w:p w14:paraId="615F276F"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Dimension</w:t>
            </w:r>
          </w:p>
        </w:tc>
        <w:tc>
          <w:tcPr>
            <w:tcW w:w="7056" w:type="dxa"/>
            <w:vAlign w:val="center"/>
          </w:tcPr>
          <w:p w14:paraId="1A78C73C"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Proposed measure and action</w:t>
            </w:r>
          </w:p>
        </w:tc>
      </w:tr>
      <w:tr w:rsidR="00311AF3" w:rsidRPr="0099114D" w14:paraId="473EBFEB"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4" w:type="dxa"/>
            <w:vAlign w:val="center"/>
          </w:tcPr>
          <w:p w14:paraId="1A08D80F"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Completeness</w:t>
            </w:r>
          </w:p>
        </w:tc>
        <w:tc>
          <w:tcPr>
            <w:tcW w:w="7056" w:type="dxa"/>
            <w:vAlign w:val="center"/>
          </w:tcPr>
          <w:p w14:paraId="60556634"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100% of imported rows receive an accepted or flagged status; missing title or artist is shown for correction.</w:t>
            </w:r>
          </w:p>
        </w:tc>
      </w:tr>
      <w:tr w:rsidR="00311AF3" w:rsidRPr="0099114D" w14:paraId="0EA0F4F1"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664" w:type="dxa"/>
            <w:vAlign w:val="center"/>
          </w:tcPr>
          <w:p w14:paraId="4D556AD8"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Identity and consistency</w:t>
            </w:r>
          </w:p>
        </w:tc>
        <w:tc>
          <w:tcPr>
            <w:tcW w:w="7056" w:type="dxa"/>
            <w:vAlign w:val="center"/>
          </w:tcPr>
          <w:p w14:paraId="60F0BD74"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Track matching reports matched, ambiguous, unmatched, and duplicate counts. Ambiguous rows are withheld from recommendation grounding until reviewed.</w:t>
            </w:r>
          </w:p>
        </w:tc>
      </w:tr>
      <w:tr w:rsidR="00311AF3" w:rsidRPr="0099114D" w14:paraId="0F9587B2"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64" w:type="dxa"/>
            <w:vAlign w:val="center"/>
          </w:tcPr>
          <w:p w14:paraId="4FE1874F"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Timeliness</w:t>
            </w:r>
          </w:p>
        </w:tc>
        <w:tc>
          <w:tcPr>
            <w:tcW w:w="7056" w:type="dxa"/>
            <w:vAlign w:val="center"/>
          </w:tcPr>
          <w:p w14:paraId="1A10BFA9"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Playlist and profile changes carry timestamps. The queue uses the latest reviewed import and confirmed profile version; a stale version triggers regeneration.</w:t>
            </w:r>
          </w:p>
        </w:tc>
      </w:tr>
      <w:tr w:rsidR="00311AF3" w:rsidRPr="0099114D" w14:paraId="364035BC"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664" w:type="dxa"/>
            <w:vAlign w:val="center"/>
          </w:tcPr>
          <w:p w14:paraId="76836E35"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Accuracy and constraint compliance</w:t>
            </w:r>
          </w:p>
        </w:tc>
        <w:tc>
          <w:tcPr>
            <w:tcW w:w="7056" w:type="dxa"/>
            <w:vAlign w:val="center"/>
          </w:tcPr>
          <w:p w14:paraId="2B27F073"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Sample matched tracks are manually checked against source values; automated tests verify hard exclusions and consent rules on every queue generation.</w:t>
            </w:r>
          </w:p>
        </w:tc>
      </w:tr>
    </w:tbl>
    <w:p w14:paraId="585A2B7C" w14:textId="77777777" w:rsidR="00311AF3" w:rsidRPr="0099114D" w:rsidRDefault="00311AF3">
      <w:pPr>
        <w:rPr>
          <w:rFonts w:asciiTheme="majorHAnsi" w:hAnsiTheme="majorHAnsi" w:cstheme="majorHAnsi"/>
          <w:sz w:val="24"/>
          <w:szCs w:val="24"/>
        </w:rPr>
      </w:pPr>
    </w:p>
    <w:p w14:paraId="16432B1C" w14:textId="77777777" w:rsidR="00311AF3" w:rsidRPr="00BD702C" w:rsidRDefault="00000000">
      <w:pPr>
        <w:rPr>
          <w:rFonts w:ascii="Calibri" w:hAnsi="Calibri" w:cs="Calibri"/>
          <w:sz w:val="24"/>
          <w:szCs w:val="24"/>
        </w:rPr>
      </w:pPr>
      <w:r w:rsidRPr="00BD702C">
        <w:rPr>
          <w:rFonts w:ascii="Calibri" w:hAnsi="Calibri" w:cs="Calibri"/>
          <w:sz w:val="24"/>
          <w:szCs w:val="24"/>
        </w:rPr>
        <w:t>Quality checks run at import and again before summary or queue generation. A failed import row is visible to the listener; a broken catalog load is quarantined and alerts the data steward. Downstream summaries and recommendations should not use quarantined or ambiguous data. If a previously used track is corrected or removed, affected saved summaries and queues are marked stale and regenerated on request. The team should publish test counts and exception rates with the proof of concept rather than treating these proposed thresholds as achieved.</w:t>
      </w:r>
    </w:p>
    <w:p w14:paraId="29D99CB4" w14:textId="2B9FBF16"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11 Data Governance and Stewardship</w:t>
      </w:r>
    </w:p>
    <w:tbl>
      <w:tblPr>
        <w:tblStyle w:val="LightShading-Accent1"/>
        <w:tblW w:w="0" w:type="auto"/>
        <w:jc w:val="center"/>
        <w:tblLook w:val="04A0" w:firstRow="1" w:lastRow="0" w:firstColumn="1" w:lastColumn="0" w:noHBand="0" w:noVBand="1"/>
      </w:tblPr>
      <w:tblGrid>
        <w:gridCol w:w="2304"/>
        <w:gridCol w:w="2376"/>
        <w:gridCol w:w="5040"/>
      </w:tblGrid>
      <w:tr w:rsidR="00311AF3" w:rsidRPr="0099114D" w14:paraId="16B671AC" w14:textId="77777777" w:rsidTr="00311AF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1C5D5C77"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Domain</w:t>
            </w:r>
          </w:p>
        </w:tc>
        <w:tc>
          <w:tcPr>
            <w:tcW w:w="2376" w:type="dxa"/>
            <w:vAlign w:val="center"/>
          </w:tcPr>
          <w:p w14:paraId="44B1081D"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Proposed accountable role</w:t>
            </w:r>
          </w:p>
        </w:tc>
        <w:tc>
          <w:tcPr>
            <w:tcW w:w="5040" w:type="dxa"/>
            <w:vAlign w:val="center"/>
          </w:tcPr>
          <w:p w14:paraId="569113EE"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Decision authority</w:t>
            </w:r>
          </w:p>
        </w:tc>
      </w:tr>
      <w:tr w:rsidR="00311AF3" w:rsidRPr="0099114D" w14:paraId="0BFB25AC"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0338FA6"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Music catalog and source licensing</w:t>
            </w:r>
          </w:p>
        </w:tc>
        <w:tc>
          <w:tcPr>
            <w:tcW w:w="2376" w:type="dxa"/>
            <w:vAlign w:val="center"/>
          </w:tcPr>
          <w:p w14:paraId="051ACE0B"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Catalog steward</w:t>
            </w:r>
          </w:p>
        </w:tc>
        <w:tc>
          <w:tcPr>
            <w:tcW w:w="5040" w:type="dxa"/>
            <w:vAlign w:val="center"/>
          </w:tcPr>
          <w:p w14:paraId="705F1D7D"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Approve source intake, matching rules, attribution, and permitted reuse.</w:t>
            </w:r>
          </w:p>
        </w:tc>
      </w:tr>
      <w:tr w:rsidR="00311AF3" w:rsidRPr="0099114D" w14:paraId="704FAAE2"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CE0E245"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Listener profile and consent</w:t>
            </w:r>
          </w:p>
        </w:tc>
        <w:tc>
          <w:tcPr>
            <w:tcW w:w="2376" w:type="dxa"/>
            <w:vAlign w:val="center"/>
          </w:tcPr>
          <w:p w14:paraId="1A55400B"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Product owner</w:t>
            </w:r>
          </w:p>
        </w:tc>
        <w:tc>
          <w:tcPr>
            <w:tcW w:w="5040" w:type="dxa"/>
            <w:vAlign w:val="center"/>
          </w:tcPr>
          <w:p w14:paraId="5386AAB4"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Approve what is collected, retention, deletion behavior, and new personalization uses.</w:t>
            </w:r>
          </w:p>
        </w:tc>
      </w:tr>
      <w:tr w:rsidR="00311AF3" w:rsidRPr="0099114D" w14:paraId="0D116C66"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B5B84BB"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Pipelines, quality, and access</w:t>
            </w:r>
          </w:p>
        </w:tc>
        <w:tc>
          <w:tcPr>
            <w:tcW w:w="2376" w:type="dxa"/>
            <w:vAlign w:val="center"/>
          </w:tcPr>
          <w:p w14:paraId="40FFD1AD"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Data engineer</w:t>
            </w:r>
          </w:p>
        </w:tc>
        <w:tc>
          <w:tcPr>
            <w:tcW w:w="5040" w:type="dxa"/>
            <w:vAlign w:val="center"/>
          </w:tcPr>
          <w:p w14:paraId="311BA839"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Implement contracts, monitors, and controlled migrations; escalate policy exceptions.</w:t>
            </w:r>
          </w:p>
        </w:tc>
      </w:tr>
      <w:tr w:rsidR="00311AF3" w:rsidRPr="0099114D" w14:paraId="387B7221"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07848CA"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AI prompts and recommendations</w:t>
            </w:r>
          </w:p>
        </w:tc>
        <w:tc>
          <w:tcPr>
            <w:tcW w:w="2376" w:type="dxa"/>
            <w:vAlign w:val="center"/>
          </w:tcPr>
          <w:p w14:paraId="518D4F03"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AI feature owner</w:t>
            </w:r>
          </w:p>
        </w:tc>
        <w:tc>
          <w:tcPr>
            <w:tcW w:w="5040" w:type="dxa"/>
            <w:vAlign w:val="center"/>
          </w:tcPr>
          <w:p w14:paraId="351D1A01"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Approve model inputs, inference boundaries, evaluation criteria, and user-facing explanations.</w:t>
            </w:r>
          </w:p>
        </w:tc>
      </w:tr>
    </w:tbl>
    <w:p w14:paraId="72D626B0" w14:textId="77777777" w:rsidR="00311AF3" w:rsidRPr="0099114D" w:rsidRDefault="00311AF3">
      <w:pPr>
        <w:rPr>
          <w:rFonts w:asciiTheme="majorHAnsi" w:hAnsiTheme="majorHAnsi" w:cstheme="majorHAnsi"/>
          <w:sz w:val="24"/>
          <w:szCs w:val="24"/>
        </w:rPr>
      </w:pPr>
    </w:p>
    <w:p w14:paraId="1C9731D0" w14:textId="77777777" w:rsidR="00311AF3" w:rsidRPr="00BD702C" w:rsidRDefault="00000000">
      <w:pPr>
        <w:rPr>
          <w:rFonts w:ascii="Calibri" w:hAnsi="Calibri" w:cs="Calibri"/>
          <w:sz w:val="24"/>
          <w:szCs w:val="24"/>
        </w:rPr>
      </w:pPr>
      <w:r w:rsidRPr="00BD702C">
        <w:rPr>
          <w:rFonts w:ascii="Calibri" w:hAnsi="Calibri" w:cs="Calibri"/>
          <w:sz w:val="24"/>
          <w:szCs w:val="24"/>
        </w:rPr>
        <w:t>A new source, field, AI use, or schema change should be proposed with its purpose, license or permission, data classification, access pattern, retention impact, and tests. The product owner and relevant steward approve it before ingestion; the engineer versions the schema and contract and runs regression checks. Technical enforcement includes validation on ingestion, access roles, versioned migrations, required consent checks, audit events, and review of agent tool permissions. These roles are proposed for the project and need named team owners before final submission.</w:t>
      </w:r>
    </w:p>
    <w:p w14:paraId="6F5EC669" w14:textId="2A727E1E"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12 Data Security and Privacy</w:t>
      </w:r>
    </w:p>
    <w:p w14:paraId="21EE9FC9" w14:textId="77777777" w:rsidR="00311AF3" w:rsidRPr="00BD702C" w:rsidRDefault="00000000">
      <w:pPr>
        <w:rPr>
          <w:rFonts w:ascii="Calibri" w:hAnsi="Calibri" w:cs="Calibri"/>
          <w:sz w:val="24"/>
          <w:szCs w:val="24"/>
        </w:rPr>
      </w:pPr>
      <w:r w:rsidRPr="00BD702C">
        <w:rPr>
          <w:rFonts w:ascii="Calibri" w:hAnsi="Calibri" w:cs="Calibri"/>
          <w:sz w:val="24"/>
          <w:szCs w:val="24"/>
        </w:rPr>
        <w:t>Potentially sensitive data includes account identifiers, imported listening history, stated tastes, exclusions, chat messages, inferred preferences, and saved queues. The demo should collect only fields needed to recommend or explain tracks, separate account identity from music catalog data, encrypt traffic and stored listener data, and redact personal details from logs. Secrets belong in environment configuration, not the repository or the blueprint. Public catalog facts can have broader read access, subject to their source licenses.</w:t>
      </w:r>
    </w:p>
    <w:tbl>
      <w:tblPr>
        <w:tblStyle w:val="LightShading-Accent1"/>
        <w:tblW w:w="0" w:type="auto"/>
        <w:jc w:val="center"/>
        <w:tblLook w:val="04A0" w:firstRow="1" w:lastRow="0" w:firstColumn="1" w:lastColumn="0" w:noHBand="0" w:noVBand="1"/>
      </w:tblPr>
      <w:tblGrid>
        <w:gridCol w:w="2160"/>
        <w:gridCol w:w="4032"/>
        <w:gridCol w:w="3528"/>
      </w:tblGrid>
      <w:tr w:rsidR="00311AF3" w:rsidRPr="0099114D" w14:paraId="0A5931BD" w14:textId="77777777" w:rsidTr="00311AF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A749C63"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Actor</w:t>
            </w:r>
          </w:p>
        </w:tc>
        <w:tc>
          <w:tcPr>
            <w:tcW w:w="4032" w:type="dxa"/>
            <w:vAlign w:val="center"/>
          </w:tcPr>
          <w:p w14:paraId="46A06EE9"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Permitted access</w:t>
            </w:r>
          </w:p>
        </w:tc>
        <w:tc>
          <w:tcPr>
            <w:tcW w:w="3528" w:type="dxa"/>
            <w:vAlign w:val="center"/>
          </w:tcPr>
          <w:p w14:paraId="13CBBE88"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Restriction</w:t>
            </w:r>
          </w:p>
        </w:tc>
      </w:tr>
      <w:tr w:rsidR="00311AF3" w:rsidRPr="0099114D" w14:paraId="4FC4C6C0"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D5DA55"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Listener</w:t>
            </w:r>
          </w:p>
        </w:tc>
        <w:tc>
          <w:tcPr>
            <w:tcW w:w="4032" w:type="dxa"/>
            <w:vAlign w:val="center"/>
          </w:tcPr>
          <w:p w14:paraId="1925AAF9"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Own playlist, profile, taste summary, queues, consent, and deletion controls</w:t>
            </w:r>
          </w:p>
        </w:tc>
        <w:tc>
          <w:tcPr>
            <w:tcW w:w="3528" w:type="dxa"/>
            <w:vAlign w:val="center"/>
          </w:tcPr>
          <w:p w14:paraId="551CDFDB"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Cannot see another listener’s records.</w:t>
            </w:r>
          </w:p>
        </w:tc>
      </w:tr>
      <w:tr w:rsidR="00311AF3" w:rsidRPr="0099114D" w14:paraId="5C0324E5"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B0986B2"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Recommendation and chat service</w:t>
            </w:r>
          </w:p>
        </w:tc>
        <w:tc>
          <w:tcPr>
            <w:tcW w:w="4032" w:type="dxa"/>
            <w:vAlign w:val="center"/>
          </w:tcPr>
          <w:p w14:paraId="4781376D"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Curated catalog fields and the active listener’s reviewed playlist, confirmed preferences, goal, and exclusions</w:t>
            </w:r>
          </w:p>
        </w:tc>
        <w:tc>
          <w:tcPr>
            <w:tcW w:w="3528" w:type="dxa"/>
            <w:vAlign w:val="center"/>
          </w:tcPr>
          <w:p w14:paraId="4338257E"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Read only for recommendation context; writes candidate inferences only to a pending state.</w:t>
            </w:r>
          </w:p>
        </w:tc>
      </w:tr>
      <w:tr w:rsidR="00311AF3" w:rsidRPr="00BD702C" w14:paraId="754DFE9B"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FAB4206"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Data steward and engineer</w:t>
            </w:r>
          </w:p>
        </w:tc>
        <w:tc>
          <w:tcPr>
            <w:tcW w:w="4032" w:type="dxa"/>
            <w:vAlign w:val="center"/>
          </w:tcPr>
          <w:p w14:paraId="6810E267"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Quality metrics, catalog records, controlled operational diagnostics</w:t>
            </w:r>
          </w:p>
        </w:tc>
        <w:tc>
          <w:tcPr>
            <w:tcW w:w="3528" w:type="dxa"/>
            <w:vAlign w:val="center"/>
          </w:tcPr>
          <w:p w14:paraId="6ACA7DEE"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Personal data access is time limited and audited.</w:t>
            </w:r>
          </w:p>
        </w:tc>
      </w:tr>
      <w:tr w:rsidR="00311AF3" w:rsidRPr="00BD702C" w14:paraId="378E6619"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C2D76EB"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Analytics reader</w:t>
            </w:r>
          </w:p>
        </w:tc>
        <w:tc>
          <w:tcPr>
            <w:tcW w:w="4032" w:type="dxa"/>
            <w:vAlign w:val="center"/>
          </w:tcPr>
          <w:p w14:paraId="073803E5"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Aggregated or de-identified views</w:t>
            </w:r>
          </w:p>
        </w:tc>
        <w:tc>
          <w:tcPr>
            <w:tcW w:w="3528" w:type="dxa"/>
            <w:vAlign w:val="center"/>
          </w:tcPr>
          <w:p w14:paraId="0AFA1899"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No raw chat text or direct account identifiers by default.</w:t>
            </w:r>
          </w:p>
        </w:tc>
      </w:tr>
    </w:tbl>
    <w:p w14:paraId="6CEF8F9E" w14:textId="77777777" w:rsidR="00311AF3" w:rsidRPr="0099114D" w:rsidRDefault="00311AF3">
      <w:pPr>
        <w:rPr>
          <w:rFonts w:asciiTheme="majorHAnsi" w:hAnsiTheme="majorHAnsi" w:cstheme="majorHAnsi"/>
          <w:sz w:val="24"/>
          <w:szCs w:val="24"/>
        </w:rPr>
      </w:pPr>
    </w:p>
    <w:p w14:paraId="3D6585A1" w14:textId="77777777" w:rsidR="00311AF3" w:rsidRPr="00BD702C" w:rsidRDefault="00000000">
      <w:pPr>
        <w:rPr>
          <w:rFonts w:ascii="Calibri" w:hAnsi="Calibri" w:cs="Calibri"/>
          <w:sz w:val="24"/>
          <w:szCs w:val="24"/>
        </w:rPr>
      </w:pPr>
      <w:r w:rsidRPr="00BD702C">
        <w:rPr>
          <w:rFonts w:ascii="Calibri" w:hAnsi="Calibri" w:cs="Calibri"/>
          <w:sz w:val="24"/>
          <w:szCs w:val="24"/>
        </w:rPr>
        <w:t>The AI agent should receive a bounded, listener-scoped view rather than unrestricted database access. Any live tool should enforce authenticated listener identity, an allowlist of views and fields, row limits, and read-only access. Saving a new inferred preference is a separate confirmed action. A deletion request should remove listener records and any cached summary or embedding derived from them, with an auditable completion event. Before any deployment with real users, the team must identify applicable privacy law and dataset license obligations for the chosen location and sources; no particular legal regime is assumed here.</w:t>
      </w:r>
    </w:p>
    <w:p w14:paraId="7AC4343F" w14:textId="055D178C" w:rsidR="00311AF3" w:rsidRPr="009C5616" w:rsidRDefault="00BD702C">
      <w:pPr>
        <w:pStyle w:val="Heading1"/>
        <w:rPr>
          <w:rFonts w:cstheme="majorHAnsi"/>
          <w:color w:val="EE0000"/>
          <w:sz w:val="32"/>
          <w:szCs w:val="32"/>
        </w:rPr>
      </w:pPr>
      <w:r w:rsidRPr="00BD702C">
        <w:rPr>
          <w:rFonts w:cstheme="majorHAnsi"/>
          <w:color w:val="EE0000"/>
          <w:sz w:val="32"/>
          <w:szCs w:val="32"/>
        </w:rPr>
        <w:t xml:space="preserve">Section </w:t>
      </w:r>
      <w:r w:rsidR="00000000" w:rsidRPr="009C5616">
        <w:rPr>
          <w:rFonts w:cstheme="majorHAnsi"/>
          <w:color w:val="EE0000"/>
          <w:sz w:val="32"/>
          <w:szCs w:val="32"/>
        </w:rPr>
        <w:t>13 Analytics BI and AI Data Delivery</w:t>
      </w:r>
      <w:r w:rsidR="009C5616" w:rsidRPr="009C5616">
        <w:rPr>
          <w:rFonts w:cstheme="majorHAnsi"/>
          <w:color w:val="EE0000"/>
          <w:sz w:val="32"/>
          <w:szCs w:val="32"/>
        </w:rPr>
        <w:t xml:space="preserve"> </w:t>
      </w:r>
      <w:r w:rsidR="009C5616" w:rsidRPr="009C5616">
        <w:rPr>
          <w:rFonts w:cstheme="majorHAnsi"/>
          <w:color w:val="EE0000"/>
          <w:sz w:val="32"/>
          <w:szCs w:val="32"/>
        </w:rPr>
        <w:t>(Need complete)</w:t>
      </w:r>
    </w:p>
    <w:p w14:paraId="54154F05"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b/>
          <w:color w:val="5A646E"/>
          <w:sz w:val="24"/>
          <w:szCs w:val="24"/>
        </w:rPr>
        <w:t>TEAM SECTION TO COMPLETE  |  Use the operational design and proof of concept as the source for every claimed result.</w:t>
      </w:r>
    </w:p>
    <w:p w14:paraId="50854FA7" w14:textId="77777777" w:rsidR="00311AF3" w:rsidRPr="0099114D" w:rsidRDefault="00000000">
      <w:pPr>
        <w:pStyle w:val="Heading2"/>
        <w:rPr>
          <w:rFonts w:cstheme="majorHAnsi"/>
          <w:sz w:val="24"/>
          <w:szCs w:val="24"/>
        </w:rPr>
      </w:pPr>
      <w:r w:rsidRPr="0099114D">
        <w:rPr>
          <w:rFonts w:cstheme="majorHAnsi"/>
          <w:sz w:val="24"/>
          <w:szCs w:val="24"/>
        </w:rPr>
        <w:t>Analytical model and queries</w:t>
      </w:r>
    </w:p>
    <w:p w14:paraId="254D9588"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star schema with stated fact grain, loading path, 3–5 business queries, and sample proof-of-concept output.</w:t>
      </w:r>
    </w:p>
    <w:p w14:paraId="2C6E5068"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1F0F82FF" w14:textId="77777777" w:rsidR="00311AF3" w:rsidRPr="0099114D" w:rsidRDefault="00000000">
      <w:pPr>
        <w:pStyle w:val="Heading2"/>
        <w:rPr>
          <w:rFonts w:cstheme="majorHAnsi"/>
          <w:sz w:val="24"/>
          <w:szCs w:val="24"/>
        </w:rPr>
      </w:pPr>
      <w:r w:rsidRPr="0099114D">
        <w:rPr>
          <w:rFonts w:cstheme="majorHAnsi"/>
          <w:sz w:val="24"/>
          <w:szCs w:val="24"/>
        </w:rPr>
        <w:t>Dashboard</w:t>
      </w:r>
    </w:p>
    <w:p w14:paraId="3121229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a mockup or working prototype based on those query results and success criteria.</w:t>
      </w:r>
    </w:p>
    <w:p w14:paraId="5F39C0CB"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45A60AD4" w14:textId="77777777" w:rsidR="00311AF3" w:rsidRPr="0099114D" w:rsidRDefault="00000000">
      <w:pPr>
        <w:pStyle w:val="Heading2"/>
        <w:rPr>
          <w:rFonts w:cstheme="majorHAnsi"/>
          <w:sz w:val="24"/>
          <w:szCs w:val="24"/>
        </w:rPr>
      </w:pPr>
      <w:r w:rsidRPr="0099114D">
        <w:rPr>
          <w:rFonts w:cstheme="majorHAnsi"/>
          <w:sz w:val="24"/>
          <w:szCs w:val="24"/>
        </w:rPr>
        <w:t>AI delivery and contract</w:t>
      </w:r>
    </w:p>
    <w:p w14:paraId="0DFA541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Identify static context versus live retrieval, exposed views and fields, row limits, and the data used by each AI use case.</w:t>
      </w:r>
    </w:p>
    <w:p w14:paraId="5779A1FE"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[Insert team content and evidence here.]</w:t>
      </w:r>
    </w:p>
    <w:p w14:paraId="704875B9" w14:textId="5F5D16BF" w:rsidR="00311AF3" w:rsidRPr="009C5616" w:rsidRDefault="00BD702C">
      <w:pPr>
        <w:pStyle w:val="Heading1"/>
        <w:rPr>
          <w:rFonts w:cstheme="majorHAnsi"/>
          <w:sz w:val="32"/>
          <w:szCs w:val="32"/>
        </w:rPr>
      </w:pPr>
      <w:r>
        <w:rPr>
          <w:rFonts w:cstheme="majorHAnsi"/>
          <w:sz w:val="32"/>
          <w:szCs w:val="32"/>
        </w:rPr>
        <w:t xml:space="preserve">Section </w:t>
      </w:r>
      <w:r w:rsidR="00000000" w:rsidRPr="009C5616">
        <w:rPr>
          <w:rFonts w:cstheme="majorHAnsi"/>
          <w:sz w:val="32"/>
          <w:szCs w:val="32"/>
        </w:rPr>
        <w:t>14 Target Future State Architecture and Gap Analysis</w:t>
      </w:r>
    </w:p>
    <w:p w14:paraId="26D91BFE" w14:textId="77777777" w:rsidR="00311AF3" w:rsidRPr="00BD702C" w:rsidRDefault="00000000">
      <w:pPr>
        <w:rPr>
          <w:rFonts w:ascii="Calibri" w:hAnsi="Calibri" w:cs="Calibri"/>
          <w:sz w:val="24"/>
          <w:szCs w:val="24"/>
        </w:rPr>
      </w:pPr>
      <w:r w:rsidRPr="00BD702C">
        <w:rPr>
          <w:rFonts w:ascii="Calibri" w:hAnsi="Calibri" w:cs="Calibri"/>
          <w:sz w:val="24"/>
          <w:szCs w:val="24"/>
        </w:rPr>
        <w:t>The target is a consent-led flow in which a playlist enters a reviewable import stage, matches to a governed music catalog, produces a listener-correctable taste summary, and supports explained queues and chat refinement. Explicit and confirmed preferences remain distinct from AI suggestions. A listener can inspect and delete saved data, while quality and lineage records show which catalog and profile versions supported each answer.</w:t>
      </w:r>
    </w:p>
    <w:p w14:paraId="72139465" w14:textId="77777777" w:rsidR="00311AF3" w:rsidRPr="00BD702C" w:rsidRDefault="00000000">
      <w:pPr>
        <w:rPr>
          <w:rFonts w:ascii="Calibri" w:hAnsi="Calibri" w:cs="Calibri"/>
          <w:sz w:val="24"/>
          <w:szCs w:val="24"/>
        </w:rPr>
      </w:pPr>
      <w:r w:rsidRPr="00BD702C">
        <w:rPr>
          <w:rFonts w:ascii="Calibri" w:hAnsi="Calibri" w:cs="Calibri"/>
          <w:sz w:val="24"/>
          <w:szCs w:val="24"/>
        </w:rPr>
        <w:t>The current local repository provides extraction, transformation, relational loading, and benchmark materials for a music catalog. The product outline adds listener consent, playlist review, profiles, queue feedback, chat, and privacy controls. Their implementation is not established by the supplied documents. The gap is therefore the operational listener data model, import contract, recommendation and chat data contract, governance checks, measured service behavior, and an integrated user flow. The repository’s Docker Compose file also contains unresolved merge markers, so its current deployment path needs repair and verification.</w:t>
      </w:r>
    </w:p>
    <w:p w14:paraId="7430DE93" w14:textId="77777777" w:rsidR="00311AF3" w:rsidRPr="00BD702C" w:rsidRDefault="00000000">
      <w:pPr>
        <w:rPr>
          <w:rFonts w:ascii="Calibri" w:hAnsi="Calibri" w:cs="Calibri"/>
          <w:sz w:val="24"/>
          <w:szCs w:val="24"/>
        </w:rPr>
      </w:pPr>
      <w:r w:rsidRPr="00BD702C">
        <w:rPr>
          <w:rFonts w:ascii="Calibri" w:hAnsi="Calibri" w:cs="Calibri"/>
          <w:sz w:val="24"/>
          <w:szCs w:val="24"/>
        </w:rPr>
        <w:t>At ten times the demo volume, the design should keep stable canonical IDs, make imports idempotent, process catalog refreshes incrementally, separate listener operations from catalog refresh jobs, and measure queue latency and match quality under load. Any cache or vector index must carry source version and deletion rules. These are scaling conditions to test, not evidence that the present prototype already meets them.</w:t>
      </w:r>
    </w:p>
    <w:p w14:paraId="11D79F39" w14:textId="113E82C5" w:rsidR="00311AF3" w:rsidRPr="009C5616" w:rsidRDefault="00BD702C">
      <w:pPr>
        <w:pStyle w:val="Heading1"/>
        <w:pageBreakBefore/>
        <w:rPr>
          <w:rFonts w:cstheme="majorHAnsi"/>
          <w:sz w:val="32"/>
          <w:szCs w:val="32"/>
        </w:rPr>
      </w:pPr>
      <w:r>
        <w:rPr>
          <w:rFonts w:cstheme="majorHAnsi"/>
          <w:sz w:val="32"/>
          <w:szCs w:val="32"/>
        </w:rPr>
        <w:t xml:space="preserve">Section </w:t>
      </w:r>
      <w:r w:rsidR="00000000" w:rsidRPr="009C5616">
        <w:rPr>
          <w:rFonts w:cstheme="majorHAnsi"/>
          <w:sz w:val="32"/>
          <w:szCs w:val="32"/>
        </w:rPr>
        <w:t>15 Roadmap Risks and Recommendations</w:t>
      </w:r>
    </w:p>
    <w:tbl>
      <w:tblPr>
        <w:tblStyle w:val="LightShading-Accent1"/>
        <w:tblW w:w="0" w:type="auto"/>
        <w:jc w:val="center"/>
        <w:tblLook w:val="04A0" w:firstRow="1" w:lastRow="0" w:firstColumn="1" w:lastColumn="0" w:noHBand="0" w:noVBand="1"/>
      </w:tblPr>
      <w:tblGrid>
        <w:gridCol w:w="2592"/>
        <w:gridCol w:w="7128"/>
      </w:tblGrid>
      <w:tr w:rsidR="00311AF3" w:rsidRPr="0099114D" w14:paraId="7ECFFA95" w14:textId="77777777" w:rsidTr="00311AF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803FDE4"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Phase</w:t>
            </w:r>
          </w:p>
        </w:tc>
        <w:tc>
          <w:tcPr>
            <w:tcW w:w="7128" w:type="dxa"/>
            <w:vAlign w:val="center"/>
          </w:tcPr>
          <w:p w14:paraId="6C2FBF6F"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Outcome and exit evidence</w:t>
            </w:r>
          </w:p>
        </w:tc>
      </w:tr>
      <w:tr w:rsidR="00311AF3" w:rsidRPr="0099114D" w14:paraId="43975B65"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BCD30AD"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1 Reconcile the foundation</w:t>
            </w:r>
          </w:p>
        </w:tc>
        <w:tc>
          <w:tcPr>
            <w:tcW w:w="7128" w:type="dxa"/>
            <w:vAlign w:val="center"/>
          </w:tcPr>
          <w:p w14:paraId="59D10AC7"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Confirm source licenses, repair and run the existing catalog setup, record actual entity counts and benchmark results, and agree on AP IDs and canonical IDs.</w:t>
            </w:r>
          </w:p>
        </w:tc>
      </w:tr>
      <w:tr w:rsidR="00311AF3" w:rsidRPr="0099114D" w14:paraId="22F5C628"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09A0923"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2 Build the listener core</w:t>
            </w:r>
          </w:p>
        </w:tc>
        <w:tc>
          <w:tcPr>
            <w:tcW w:w="7128" w:type="dxa"/>
            <w:vAlign w:val="center"/>
          </w:tcPr>
          <w:p w14:paraId="505D3637"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Implement consent, reviewed import, profile and exclusions, deletion, constraints, and quality exception handling; test the first two success criteria.</w:t>
            </w:r>
          </w:p>
        </w:tc>
      </w:tr>
      <w:tr w:rsidR="00311AF3" w:rsidRPr="0099114D" w14:paraId="7E1824E7"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9BFAEC5"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3 Add recommendations and chat</w:t>
            </w:r>
          </w:p>
        </w:tc>
        <w:tc>
          <w:tcPr>
            <w:tcW w:w="7128" w:type="dxa"/>
            <w:vAlign w:val="center"/>
          </w:tcPr>
          <w:p w14:paraId="59A084EC"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Implement explainable queue selection and bounded AI context; require confirmation before saving inferred preferences; test latency, exclusions, and confirmation.</w:t>
            </w:r>
          </w:p>
        </w:tc>
      </w:tr>
      <w:tr w:rsidR="00311AF3" w:rsidRPr="0099114D" w14:paraId="5754EB5F"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F4CA395"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4 Complete architecture evidence</w:t>
            </w:r>
          </w:p>
        </w:tc>
        <w:tc>
          <w:tcPr>
            <w:tcW w:w="7128" w:type="dxa"/>
            <w:vAlign w:val="center"/>
          </w:tcPr>
          <w:p w14:paraId="3A2C7A19"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Finish diagrams, field mappings, analytics model and queries, dashboard, security review, and final pass or fail scorecard.</w:t>
            </w:r>
          </w:p>
        </w:tc>
      </w:tr>
    </w:tbl>
    <w:p w14:paraId="6FD670A1" w14:textId="77777777" w:rsidR="00311AF3" w:rsidRPr="0099114D" w:rsidRDefault="00311AF3">
      <w:pPr>
        <w:rPr>
          <w:rFonts w:asciiTheme="majorHAnsi" w:hAnsiTheme="majorHAnsi" w:cstheme="majorHAnsi"/>
          <w:sz w:val="24"/>
          <w:szCs w:val="24"/>
        </w:rPr>
      </w:pPr>
    </w:p>
    <w:tbl>
      <w:tblPr>
        <w:tblStyle w:val="LightShading-Accent1"/>
        <w:tblW w:w="0" w:type="auto"/>
        <w:jc w:val="center"/>
        <w:tblLook w:val="04A0" w:firstRow="1" w:lastRow="0" w:firstColumn="1" w:lastColumn="0" w:noHBand="0" w:noVBand="1"/>
      </w:tblPr>
      <w:tblGrid>
        <w:gridCol w:w="3744"/>
        <w:gridCol w:w="5976"/>
      </w:tblGrid>
      <w:tr w:rsidR="00311AF3" w:rsidRPr="0099114D" w14:paraId="3274F975" w14:textId="77777777" w:rsidTr="00311AF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10ABB785"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Risk</w:t>
            </w:r>
          </w:p>
        </w:tc>
        <w:tc>
          <w:tcPr>
            <w:tcW w:w="5976" w:type="dxa"/>
            <w:vAlign w:val="center"/>
          </w:tcPr>
          <w:p w14:paraId="26AC1381" w14:textId="77777777" w:rsidR="00311AF3" w:rsidRPr="0099114D" w:rsidRDefault="00000000">
            <w:pPr>
              <w:spacing w:before="40" w:after="4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9114D">
              <w:rPr>
                <w:rFonts w:asciiTheme="majorHAnsi" w:hAnsiTheme="majorHAnsi" w:cstheme="majorHAnsi"/>
                <w:sz w:val="24"/>
                <w:szCs w:val="24"/>
              </w:rPr>
              <w:t>Mitigation</w:t>
            </w:r>
          </w:p>
        </w:tc>
      </w:tr>
      <w:tr w:rsidR="00311AF3" w:rsidRPr="0099114D" w14:paraId="43652BAC"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4C92BCD1"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Catalog mismatches produce poor or misleading queues</w:t>
            </w:r>
          </w:p>
        </w:tc>
        <w:tc>
          <w:tcPr>
            <w:tcW w:w="5976" w:type="dxa"/>
            <w:vAlign w:val="center"/>
          </w:tcPr>
          <w:p w14:paraId="34628A6C"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Keep unmatched and ambiguous rows visible; require review and measure match quality before grounding recommendations.</w:t>
            </w:r>
          </w:p>
        </w:tc>
      </w:tr>
      <w:tr w:rsidR="00311AF3" w:rsidRPr="0099114D" w14:paraId="2FD96C98" w14:textId="77777777" w:rsidTr="00311AF3">
        <w:trPr>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1B49488B"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Private listener data leaks into AI context or logs</w:t>
            </w:r>
          </w:p>
        </w:tc>
        <w:tc>
          <w:tcPr>
            <w:tcW w:w="5976" w:type="dxa"/>
            <w:vAlign w:val="center"/>
          </w:tcPr>
          <w:p w14:paraId="6570B4EA" w14:textId="77777777" w:rsidR="00311AF3" w:rsidRPr="00BD702C" w:rsidRDefault="00000000">
            <w:pPr>
              <w:spacing w:before="40" w:after="4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Use listener-scoped views, minimal prompts, redaction, role checks, retention limits, and deletion tests.</w:t>
            </w:r>
          </w:p>
        </w:tc>
      </w:tr>
      <w:tr w:rsidR="00311AF3" w:rsidRPr="0099114D" w14:paraId="5138AE56" w14:textId="77777777" w:rsidTr="00311A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4327D929" w14:textId="77777777" w:rsidR="00311AF3" w:rsidRPr="0099114D" w:rsidRDefault="00000000">
            <w:pPr>
              <w:spacing w:before="40" w:after="40"/>
              <w:rPr>
                <w:rFonts w:asciiTheme="majorHAnsi" w:hAnsiTheme="majorHAnsi" w:cstheme="majorHAnsi"/>
                <w:sz w:val="24"/>
                <w:szCs w:val="24"/>
              </w:rPr>
            </w:pPr>
            <w:r w:rsidRPr="0099114D">
              <w:rPr>
                <w:rFonts w:asciiTheme="majorHAnsi" w:hAnsiTheme="majorHAnsi" w:cstheme="majorHAnsi"/>
                <w:sz w:val="24"/>
                <w:szCs w:val="24"/>
              </w:rPr>
              <w:t>Prototype cannot meet response or freshness targets</w:t>
            </w:r>
          </w:p>
        </w:tc>
        <w:tc>
          <w:tcPr>
            <w:tcW w:w="5976" w:type="dxa"/>
            <w:vAlign w:val="center"/>
          </w:tcPr>
          <w:p w14:paraId="6AC2E0D8" w14:textId="77777777" w:rsidR="00311AF3" w:rsidRPr="00BD702C" w:rsidRDefault="00000000">
            <w:pPr>
              <w:spacing w:before="40" w:after="40"/>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BD702C">
              <w:rPr>
                <w:rFonts w:ascii="Calibri" w:hAnsi="Calibri" w:cs="Calibri"/>
                <w:sz w:val="24"/>
                <w:szCs w:val="24"/>
              </w:rPr>
              <w:t>Benchmark the stated APs, measure end-to-end queue time, and simplify or cache only with versioned invalidation.</w:t>
            </w:r>
          </w:p>
        </w:tc>
      </w:tr>
    </w:tbl>
    <w:p w14:paraId="0684FA5A" w14:textId="77777777" w:rsidR="00311AF3" w:rsidRPr="0099114D" w:rsidRDefault="00311AF3">
      <w:pPr>
        <w:rPr>
          <w:rFonts w:asciiTheme="majorHAnsi" w:hAnsiTheme="majorHAnsi" w:cstheme="majorHAnsi"/>
          <w:sz w:val="24"/>
          <w:szCs w:val="24"/>
        </w:rPr>
      </w:pPr>
    </w:p>
    <w:p w14:paraId="368511C2" w14:textId="77777777" w:rsidR="00311AF3" w:rsidRPr="00BD702C" w:rsidRDefault="00000000">
      <w:pPr>
        <w:rPr>
          <w:rFonts w:ascii="Calibri" w:hAnsi="Calibri" w:cs="Calibri"/>
          <w:sz w:val="24"/>
          <w:szCs w:val="24"/>
        </w:rPr>
      </w:pPr>
      <w:r w:rsidRPr="00BD702C">
        <w:rPr>
          <w:rFonts w:ascii="Calibri" w:hAnsi="Calibri" w:cs="Calibri"/>
          <w:sz w:val="24"/>
          <w:szCs w:val="24"/>
        </w:rPr>
        <w:t>The team knowingly favors a limited, reviewable demo over a production music platform. It proposes a single governed catalog and controlled listener service to reduce operational complexity, while accepting that richer streaming integration and fully personalized long-term history remain future work. If the proof of concept does not support a target, the final blueprint should state the result and revise the roadmap rather than claim success.</w:t>
      </w:r>
    </w:p>
    <w:p w14:paraId="2A0708C2" w14:textId="6DC1B2BA" w:rsidR="00311AF3" w:rsidRPr="009C5616" w:rsidRDefault="00000000">
      <w:pPr>
        <w:pStyle w:val="Heading1"/>
        <w:rPr>
          <w:rFonts w:cstheme="majorHAnsi"/>
          <w:sz w:val="32"/>
          <w:szCs w:val="32"/>
        </w:rPr>
      </w:pPr>
      <w:r w:rsidRPr="009C5616">
        <w:rPr>
          <w:rFonts w:cstheme="majorHAnsi"/>
          <w:sz w:val="32"/>
          <w:szCs w:val="32"/>
        </w:rPr>
        <w:t>Completion Notes</w:t>
      </w:r>
      <w:r w:rsidR="0099114D" w:rsidRPr="009C5616">
        <w:rPr>
          <w:rFonts w:cstheme="majorHAnsi"/>
          <w:sz w:val="32"/>
          <w:szCs w:val="32"/>
        </w:rPr>
        <w:t xml:space="preserve"> (Delete before submission)</w:t>
      </w:r>
    </w:p>
    <w:p w14:paraId="6AE7C6AD" w14:textId="77777777" w:rsidR="00311AF3" w:rsidRPr="0099114D" w:rsidRDefault="00000000">
      <w:pPr>
        <w:rPr>
          <w:rFonts w:asciiTheme="majorHAnsi" w:hAnsiTheme="majorHAnsi" w:cstheme="majorHAnsi"/>
          <w:sz w:val="24"/>
          <w:szCs w:val="24"/>
        </w:rPr>
      </w:pPr>
      <w:r w:rsidRPr="0099114D">
        <w:rPr>
          <w:rFonts w:asciiTheme="majorHAnsi" w:hAnsiTheme="majorHAnsi" w:cstheme="majorHAnsi"/>
          <w:sz w:val="24"/>
          <w:szCs w:val="24"/>
        </w:rPr>
        <w:t>The drafted sections are 1, 2, 8–12, 14, and 15. The team sections 3–7 and 13 contain fillable prompts aligned to the required deliverables. Before submission, reconcile names and AP IDs across all sections, insert actual benchmark and query output, check every source-to-target field, and update the Section 1 status against measured results. Include DDL, queries, and pipeline code in an appendix or linked repository.</w:t>
      </w:r>
    </w:p>
    <w:sectPr w:rsidR="00311AF3" w:rsidRPr="0099114D" w:rsidSect="00034616">
      <w:footerReference w:type="default" r:id="rId8"/>
      <w:pgSz w:w="12240" w:h="15840"/>
      <w:pgMar w:top="979" w:right="1224" w:bottom="90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D5F2" w14:textId="77777777" w:rsidR="00584EC7" w:rsidRDefault="00584EC7">
      <w:pPr>
        <w:spacing w:after="0" w:line="240" w:lineRule="auto"/>
      </w:pPr>
      <w:r>
        <w:separator/>
      </w:r>
    </w:p>
  </w:endnote>
  <w:endnote w:type="continuationSeparator" w:id="0">
    <w:p w14:paraId="3FD97A6B" w14:textId="77777777" w:rsidR="00584EC7" w:rsidRDefault="00584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39AB" w14:textId="25EAB188" w:rsidR="00311AF3" w:rsidRDefault="00000000">
    <w:pPr>
      <w:pStyle w:val="Footer"/>
      <w:jc w:val="right"/>
    </w:pPr>
    <w:r>
      <w:t xml:space="preserve">Music Taste Assistant  |  Draft  |  </w:t>
    </w:r>
    <w:r>
      <w:fldChar w:fldCharType="begin"/>
    </w:r>
    <w:r>
      <w:instrText>PAGE</w:instrText>
    </w:r>
    <w:r>
      <w:fldChar w:fldCharType="separate"/>
    </w:r>
    <w:r w:rsidR="00A63D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E2A4" w14:textId="77777777" w:rsidR="00584EC7" w:rsidRDefault="00584EC7">
      <w:pPr>
        <w:spacing w:after="0" w:line="240" w:lineRule="auto"/>
      </w:pPr>
      <w:r>
        <w:separator/>
      </w:r>
    </w:p>
  </w:footnote>
  <w:footnote w:type="continuationSeparator" w:id="0">
    <w:p w14:paraId="1CA11446" w14:textId="77777777" w:rsidR="00584EC7" w:rsidRDefault="00584E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812038">
    <w:abstractNumId w:val="8"/>
  </w:num>
  <w:num w:numId="2" w16cid:durableId="849416964">
    <w:abstractNumId w:val="6"/>
  </w:num>
  <w:num w:numId="3" w16cid:durableId="870265843">
    <w:abstractNumId w:val="5"/>
  </w:num>
  <w:num w:numId="4" w16cid:durableId="2116360181">
    <w:abstractNumId w:val="4"/>
  </w:num>
  <w:num w:numId="5" w16cid:durableId="1458988829">
    <w:abstractNumId w:val="7"/>
  </w:num>
  <w:num w:numId="6" w16cid:durableId="305936542">
    <w:abstractNumId w:val="3"/>
  </w:num>
  <w:num w:numId="7" w16cid:durableId="172114140">
    <w:abstractNumId w:val="2"/>
  </w:num>
  <w:num w:numId="8" w16cid:durableId="91585009">
    <w:abstractNumId w:val="1"/>
  </w:num>
  <w:num w:numId="9" w16cid:durableId="12081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AF3"/>
    <w:rsid w:val="00326F90"/>
    <w:rsid w:val="00584EC7"/>
    <w:rsid w:val="0099114D"/>
    <w:rsid w:val="009C5616"/>
    <w:rsid w:val="00A63D44"/>
    <w:rsid w:val="00AA1D8D"/>
    <w:rsid w:val="00B47730"/>
    <w:rsid w:val="00BD702C"/>
    <w:rsid w:val="00CB0664"/>
    <w:rsid w:val="00F0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D5BC2C-F324-4543-BD83-33A58E733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2" w:lineRule="auto"/>
    </w:pPr>
    <w:rPr>
      <w:rFonts w:ascii="Aptos" w:hAnsi="Aptos"/>
      <w:color w:val="1E2A36"/>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53753"/>
      <w:sz w:val="27"/>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537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537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2775</Words>
  <Characters>16484</Characters>
  <Application>Microsoft Office Word</Application>
  <DocSecurity>0</DocSecurity>
  <Lines>329</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Giang Khuu</cp:lastModifiedBy>
  <cp:revision>5</cp:revision>
  <dcterms:created xsi:type="dcterms:W3CDTF">2013-12-23T23:15:00Z</dcterms:created>
  <dcterms:modified xsi:type="dcterms:W3CDTF">2026-10-13T17:54:00Z</dcterms:modified>
  <cp:category/>
</cp:coreProperties>
</file>