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1 — Xác định đúng vị trí IEEE 830 (điền cột còn trống, đã làm mẫu 2 dòng đầu):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1725"/>
        <w:gridCol w:w="4035"/>
        <w:tblGridChange w:id="0">
          <w:tblGrid>
            <w:gridCol w:w="3270"/>
            <w:gridCol w:w="1725"/>
            <w:gridCol w:w="40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SKU)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1.3 Definitions, Acronyms, and Abbreviations (Thuật ngữ và Định nghĩa trong Chương 1)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(điền)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Chương 2: 2.1 Product Perspective (hoặc 2.2 Product Functions) — Dùng để mô tả tổng quan góc nhìn sản phẩm và các chức năng chính/người dùng trước khi đặc tả chi tiết.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quét mã vạch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(điền)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Chương 3: 3.2 Functional Requirements — Đặt ngay dưới đặc tả chi tiết của yêu cầu chức năng tương ứng (REQ-02) để làm rõ luồng tương tác thông điệp giữa các đối tượng.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Bước 2 — Viết lại REQ-02 và REQ-03 đạt chuẩn Verifiable (đã làm mẫu REQ-01 ở trên):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4.615209615652"/>
        <w:gridCol w:w="2853.974039761884"/>
        <w:gridCol w:w="4606.922561646087"/>
        <w:tblGridChange w:id="0">
          <w:tblGrid>
            <w:gridCol w:w="1564.615209615652"/>
            <w:gridCol w:w="2853.974039761884"/>
            <w:gridCol w:w="4606.9225616460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Từ ngữ cảm tính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Viết lại (có chỉ số đo lường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"cực nhanh"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lại (có chỉ số đo lường / điều kiện cụ thể)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"nếu thấy cần thiết"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phải cung cấp chức năng xuất báo cáo tồn kho (dạng file PDF/Excel) dành riêng cho người dùng có vai trò Quản lý kho khi họ kích hoạt nút "Xuất báo cáo" trên giao diện Tra cứu tồn kho.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