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E249A" w14:textId="77777777" w:rsidR="00670090" w:rsidRDefault="00670090">
      <w:pPr>
        <w:shd w:val="clear" w:color="auto" w:fill="FFFFFF"/>
        <w:spacing w:before="0" w:after="0" w:line="240" w:lineRule="auto"/>
        <w:jc w:val="center"/>
        <w:rPr>
          <w:rFonts w:ascii="FangSong" w:eastAsia="FangSong" w:hAnsi="FangSong"/>
          <w:b/>
          <w:sz w:val="24"/>
          <w:szCs w:val="24"/>
        </w:rPr>
      </w:pPr>
      <w:r w:rsidRPr="00670090">
        <w:rPr>
          <w:rFonts w:ascii="FangSong" w:eastAsia="FangSong" w:hAnsi="FangSong" w:hint="eastAsia"/>
          <w:b/>
          <w:sz w:val="24"/>
          <w:szCs w:val="24"/>
        </w:rPr>
        <w:t>星路金融有限公司</w:t>
      </w:r>
    </w:p>
    <w:p w14:paraId="027E5EAF" w14:textId="2965D44C" w:rsidR="008464FF" w:rsidRDefault="00BD2008">
      <w:pPr>
        <w:shd w:val="clear" w:color="auto" w:fill="FFFFFF"/>
        <w:spacing w:before="0" w:after="0" w:line="240" w:lineRule="auto"/>
        <w:jc w:val="center"/>
        <w:rPr>
          <w:rFonts w:ascii="FangSong" w:eastAsia="FangSong" w:hAnsi="FangSong"/>
          <w:b/>
          <w:sz w:val="24"/>
          <w:szCs w:val="24"/>
          <w:u w:val="single"/>
        </w:rPr>
      </w:pPr>
      <w:r>
        <w:rPr>
          <w:rFonts w:ascii="FangSong" w:eastAsia="FangSong" w:hAnsi="FangSong" w:hint="eastAsia"/>
          <w:b/>
          <w:sz w:val="24"/>
          <w:szCs w:val="24"/>
          <w:u w:val="single"/>
        </w:rPr>
        <w:t xml:space="preserve">投資產品評估報告 </w:t>
      </w:r>
      <w:r>
        <w:rPr>
          <w:rFonts w:ascii="FangSong" w:eastAsia="FangSong" w:hAnsi="FangSong"/>
          <w:b/>
          <w:sz w:val="24"/>
          <w:szCs w:val="24"/>
          <w:u w:val="single"/>
        </w:rPr>
        <w:t xml:space="preserve">– </w:t>
      </w:r>
      <w:r>
        <w:rPr>
          <w:rFonts w:ascii="FangSong" w:eastAsia="FangSong" w:hAnsi="FangSong" w:hint="eastAsia"/>
          <w:b/>
          <w:sz w:val="24"/>
          <w:szCs w:val="24"/>
          <w:u w:val="single"/>
        </w:rPr>
        <w:t>基金</w:t>
      </w:r>
    </w:p>
    <w:p w14:paraId="45031D64" w14:textId="77777777" w:rsidR="008464FF" w:rsidRDefault="00BD2008">
      <w:pPr>
        <w:shd w:val="clear" w:color="auto" w:fill="FFFFFF"/>
        <w:spacing w:before="0" w:after="0" w:line="240" w:lineRule="auto"/>
        <w:jc w:val="center"/>
        <w:rPr>
          <w:rFonts w:ascii="FangSong" w:eastAsia="FangSong" w:hAnsi="FangSong"/>
          <w:b/>
          <w:i/>
          <w:sz w:val="24"/>
          <w:szCs w:val="24"/>
        </w:rPr>
      </w:pPr>
      <w:r>
        <w:rPr>
          <w:rFonts w:ascii="FangSong" w:eastAsia="FangSong" w:hAnsi="FangSong" w:hint="eastAsia"/>
          <w:b/>
          <w:i/>
          <w:sz w:val="24"/>
          <w:szCs w:val="24"/>
        </w:rPr>
        <w:t>(每只基金都必需備有一份產品評估報告)</w:t>
      </w:r>
    </w:p>
    <w:p w14:paraId="238B598D" w14:textId="77777777" w:rsidR="008464FF" w:rsidRDefault="008464FF">
      <w:pPr>
        <w:shd w:val="clear" w:color="auto" w:fill="FFFFFF"/>
        <w:spacing w:before="0" w:after="0" w:line="240" w:lineRule="auto"/>
        <w:jc w:val="center"/>
        <w:rPr>
          <w:rFonts w:ascii="FangSong" w:eastAsia="FangSong" w:hAnsi="FangSong" w:cs="Times New Roman"/>
          <w:b/>
          <w:color w:val="000000"/>
          <w:sz w:val="24"/>
          <w:szCs w:val="24"/>
          <w:u w:val="single"/>
        </w:rPr>
      </w:pPr>
    </w:p>
    <w:tbl>
      <w:tblPr>
        <w:tblStyle w:val="GridTable21"/>
        <w:tblW w:w="5037" w:type="pct"/>
        <w:tblLook w:val="04A0" w:firstRow="1" w:lastRow="0" w:firstColumn="1" w:lastColumn="0" w:noHBand="0" w:noVBand="1"/>
      </w:tblPr>
      <w:tblGrid>
        <w:gridCol w:w="3257"/>
        <w:gridCol w:w="7276"/>
      </w:tblGrid>
      <w:tr w:rsidR="008464FF" w14:paraId="25C62CAB" w14:textId="77777777" w:rsidTr="008464FF">
        <w:trPr>
          <w:cnfStyle w:val="100000000000" w:firstRow="1" w:lastRow="0" w:firstColumn="0" w:lastColumn="0" w:oddVBand="0" w:evenVBand="0" w:oddHBand="0"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tcBorders>
            <w:shd w:val="clear" w:color="auto" w:fill="D0CECE" w:themeFill="background2" w:themeFillShade="E6"/>
          </w:tcPr>
          <w:p w14:paraId="33F746FF" w14:textId="77777777" w:rsidR="008464FF" w:rsidRDefault="00BD2008">
            <w:pPr>
              <w:spacing w:after="0" w:line="330" w:lineRule="atLeast"/>
              <w:rPr>
                <w:rFonts w:ascii="FangSong" w:eastAsia="FangSong" w:hAnsi="FangSong" w:cs="PMingLiU"/>
                <w:b w:val="0"/>
                <w:bCs w:val="0"/>
                <w:iCs/>
                <w:color w:val="000000"/>
                <w:sz w:val="24"/>
                <w:szCs w:val="24"/>
                <w:u w:val="single"/>
              </w:rPr>
            </w:pPr>
            <w:r>
              <w:rPr>
                <w:rFonts w:ascii="FangSong" w:eastAsia="FangSong" w:hAnsi="FangSong" w:cs="Arial" w:hint="eastAsia"/>
                <w:sz w:val="24"/>
                <w:szCs w:val="24"/>
              </w:rPr>
              <w:t>基金產品名稱</w:t>
            </w:r>
          </w:p>
        </w:tc>
        <w:tc>
          <w:tcPr>
            <w:tcW w:w="3454" w:type="pct"/>
            <w:tcBorders>
              <w:top w:val="single" w:sz="4" w:space="0" w:color="auto"/>
              <w:left w:val="single" w:sz="4" w:space="0" w:color="auto"/>
              <w:bottom w:val="single" w:sz="4" w:space="0" w:color="auto"/>
              <w:right w:val="single" w:sz="4" w:space="0" w:color="auto"/>
            </w:tcBorders>
          </w:tcPr>
          <w:p w14:paraId="306B7722" w14:textId="77777777" w:rsidR="008464FF" w:rsidRDefault="00BD2008">
            <w:pPr>
              <w:cnfStyle w:val="100000000000" w:firstRow="1" w:lastRow="0" w:firstColumn="0" w:lastColumn="0" w:oddVBand="0" w:evenVBand="0" w:oddHBand="0" w:evenHBand="0" w:firstRowFirstColumn="0" w:firstRowLastColumn="0" w:lastRowFirstColumn="0" w:lastRowLastColumn="0"/>
            </w:pPr>
            <w:r>
              <w:rPr>
                <w:rFonts w:ascii="FangSong" w:hAnsi="FangSong"/>
                <w:sz w:val="24"/>
              </w:rPr>
              <w:t>大成投資信託基金</w:t>
            </w:r>
            <w:r>
              <w:rPr>
                <w:rFonts w:ascii="FangSong" w:hAnsi="FangSong"/>
                <w:sz w:val="24"/>
              </w:rPr>
              <w:t>-</w:t>
            </w:r>
            <w:r>
              <w:rPr>
                <w:rFonts w:ascii="FangSong" w:hAnsi="FangSong"/>
                <w:sz w:val="24"/>
              </w:rPr>
              <w:t>大成貨幣市場基金（</w:t>
            </w:r>
            <w:r>
              <w:rPr>
                <w:rFonts w:ascii="FangSong" w:hAnsi="FangSong"/>
                <w:sz w:val="24"/>
              </w:rPr>
              <w:t xml:space="preserve">P </w:t>
            </w:r>
            <w:r>
              <w:rPr>
                <w:rFonts w:ascii="FangSong" w:hAnsi="FangSong"/>
                <w:sz w:val="24"/>
              </w:rPr>
              <w:t>類</w:t>
            </w:r>
            <w:r>
              <w:rPr>
                <w:rFonts w:ascii="FangSong" w:hAnsi="FangSong"/>
                <w:sz w:val="24"/>
              </w:rPr>
              <w:t>-</w:t>
            </w:r>
            <w:r>
              <w:rPr>
                <w:rFonts w:ascii="FangSong" w:hAnsi="FangSong"/>
                <w:sz w:val="24"/>
              </w:rPr>
              <w:t>美元</w:t>
            </w:r>
            <w:r>
              <w:rPr>
                <w:rFonts w:ascii="FangSong" w:hAnsi="FangSong"/>
                <w:sz w:val="24"/>
              </w:rPr>
              <w:t>-</w:t>
            </w:r>
            <w:r>
              <w:rPr>
                <w:rFonts w:ascii="FangSong" w:hAnsi="FangSong"/>
                <w:sz w:val="24"/>
              </w:rPr>
              <w:t>分派）</w:t>
            </w:r>
          </w:p>
        </w:tc>
      </w:tr>
      <w:tr w:rsidR="008464FF" w14:paraId="5AA73423" w14:textId="77777777" w:rsidTr="008464FF">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EAC6361" w14:textId="77777777" w:rsidR="008464FF" w:rsidRDefault="00BD2008">
            <w:pPr>
              <w:spacing w:after="0" w:line="330" w:lineRule="atLeast"/>
              <w:rPr>
                <w:rFonts w:ascii="FangSong" w:eastAsia="FangSong" w:hAnsi="FangSong" w:cs="PMingLiU"/>
                <w:b w:val="0"/>
                <w:bCs w:val="0"/>
                <w:iCs/>
                <w:color w:val="000000"/>
                <w:sz w:val="24"/>
                <w:szCs w:val="24"/>
              </w:rPr>
            </w:pPr>
            <w:r>
              <w:rPr>
                <w:rFonts w:ascii="FangSong" w:eastAsia="FangSong" w:hAnsi="FangSong" w:cs="Calibri"/>
                <w:iCs/>
                <w:color w:val="000000"/>
                <w:sz w:val="24"/>
                <w:szCs w:val="24"/>
              </w:rPr>
              <w:t>ISIN</w:t>
            </w:r>
          </w:p>
        </w:tc>
        <w:tc>
          <w:tcPr>
            <w:tcW w:w="3454" w:type="pct"/>
            <w:tcBorders>
              <w:top w:val="single" w:sz="4" w:space="0" w:color="auto"/>
              <w:left w:val="single" w:sz="4" w:space="0" w:color="auto"/>
              <w:bottom w:val="single" w:sz="4" w:space="0" w:color="auto"/>
              <w:right w:val="single" w:sz="4" w:space="0" w:color="auto"/>
            </w:tcBorders>
            <w:shd w:val="clear" w:color="auto" w:fill="FFFFFF" w:themeFill="background1"/>
          </w:tcPr>
          <w:p w14:paraId="766D501C" w14:textId="77777777"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HK0000500634</w:t>
            </w:r>
            <w:r>
              <w:rPr>
                <w:rFonts w:ascii="FangSong" w:hAnsi="FangSong"/>
                <w:sz w:val="24"/>
              </w:rPr>
              <w:t>（</w:t>
            </w:r>
            <w:r>
              <w:rPr>
                <w:rFonts w:ascii="FangSong" w:hAnsi="FangSong"/>
                <w:sz w:val="24"/>
              </w:rPr>
              <w:t xml:space="preserve">P </w:t>
            </w:r>
            <w:r>
              <w:rPr>
                <w:rFonts w:ascii="FangSong" w:hAnsi="FangSong"/>
                <w:sz w:val="24"/>
              </w:rPr>
              <w:t>類</w:t>
            </w:r>
            <w:r>
              <w:rPr>
                <w:rFonts w:ascii="FangSong" w:hAnsi="FangSong"/>
                <w:sz w:val="24"/>
              </w:rPr>
              <w:t>-</w:t>
            </w:r>
            <w:r>
              <w:rPr>
                <w:rFonts w:ascii="FangSong" w:hAnsi="FangSong"/>
                <w:sz w:val="24"/>
              </w:rPr>
              <w:t>美元</w:t>
            </w:r>
            <w:r>
              <w:rPr>
                <w:rFonts w:ascii="FangSong" w:hAnsi="FangSong"/>
                <w:sz w:val="24"/>
              </w:rPr>
              <w:t>-</w:t>
            </w:r>
            <w:r>
              <w:rPr>
                <w:rFonts w:ascii="FangSong" w:hAnsi="FangSong"/>
                <w:sz w:val="24"/>
              </w:rPr>
              <w:t>分派）</w:t>
            </w:r>
          </w:p>
        </w:tc>
      </w:tr>
      <w:tr w:rsidR="008464FF" w14:paraId="780F6AD6" w14:textId="77777777" w:rsidTr="008464FF">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B880731" w14:textId="77777777" w:rsidR="008464FF" w:rsidRDefault="00BD2008">
            <w:pPr>
              <w:spacing w:after="0" w:line="330" w:lineRule="atLeast"/>
              <w:rPr>
                <w:rFonts w:ascii="FangSong" w:eastAsia="FangSong" w:hAnsi="FangSong" w:cs="PMingLiU"/>
                <w:b w:val="0"/>
                <w:iCs/>
                <w:color w:val="000000"/>
                <w:sz w:val="24"/>
                <w:szCs w:val="24"/>
              </w:rPr>
            </w:pPr>
            <w:r>
              <w:rPr>
                <w:rFonts w:ascii="FangSong" w:eastAsia="FangSong" w:hAnsi="FangSong" w:cs="PMingLiU" w:hint="eastAsia"/>
                <w:bCs w:val="0"/>
                <w:iCs/>
                <w:color w:val="000000"/>
                <w:sz w:val="24"/>
                <w:szCs w:val="24"/>
              </w:rPr>
              <w:t>上次評級日期和風險 (如有)</w:t>
            </w:r>
          </w:p>
        </w:tc>
        <w:tc>
          <w:tcPr>
            <w:tcW w:w="3454" w:type="pct"/>
            <w:tcBorders>
              <w:top w:val="single" w:sz="4" w:space="0" w:color="auto"/>
              <w:left w:val="single" w:sz="4" w:space="0" w:color="auto"/>
              <w:bottom w:val="single" w:sz="4" w:space="0" w:color="auto"/>
              <w:right w:val="single" w:sz="4" w:space="0" w:color="auto"/>
            </w:tcBorders>
            <w:shd w:val="clear" w:color="auto" w:fill="FFFFFF" w:themeFill="background1"/>
          </w:tcPr>
          <w:p w14:paraId="0C88D2E6" w14:textId="77777777"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無</w:t>
            </w:r>
          </w:p>
        </w:tc>
      </w:tr>
      <w:tr w:rsidR="008464FF" w14:paraId="56FBE8EC" w14:textId="77777777" w:rsidTr="008464FF">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282972C" w14:textId="77777777" w:rsidR="008464FF" w:rsidRDefault="00BD2008">
            <w:pPr>
              <w:spacing w:after="0" w:line="330" w:lineRule="atLeast"/>
              <w:rPr>
                <w:rFonts w:ascii="FangSong" w:eastAsia="FangSong" w:hAnsi="FangSong" w:cs="Calibri"/>
                <w:b w:val="0"/>
                <w:bCs w:val="0"/>
                <w:iCs/>
                <w:color w:val="000000"/>
                <w:sz w:val="24"/>
                <w:szCs w:val="24"/>
              </w:rPr>
            </w:pPr>
            <w:r>
              <w:rPr>
                <w:rFonts w:ascii="FangSong" w:eastAsia="FangSong" w:hAnsi="FangSong" w:cs="Calibri" w:hint="eastAsia"/>
                <w:iCs/>
                <w:color w:val="000000"/>
                <w:sz w:val="24"/>
                <w:szCs w:val="24"/>
              </w:rPr>
              <w:t xml:space="preserve">只可銷售予專業投資者 </w:t>
            </w:r>
            <w:r>
              <w:rPr>
                <w:rFonts w:ascii="FangSong" w:eastAsia="FangSong" w:hAnsi="FangSong" w:cs="Calibri"/>
                <w:iCs/>
                <w:color w:val="000000"/>
                <w:sz w:val="24"/>
                <w:szCs w:val="24"/>
              </w:rPr>
              <w:t>(PI)</w:t>
            </w:r>
          </w:p>
        </w:tc>
        <w:tc>
          <w:tcPr>
            <w:tcW w:w="3454" w:type="pct"/>
            <w:tcBorders>
              <w:top w:val="single" w:sz="4" w:space="0" w:color="auto"/>
              <w:left w:val="single" w:sz="4" w:space="0" w:color="auto"/>
              <w:bottom w:val="single" w:sz="4" w:space="0" w:color="auto"/>
              <w:right w:val="single" w:sz="4" w:space="0" w:color="auto"/>
            </w:tcBorders>
            <w:shd w:val="clear" w:color="auto" w:fill="FFFFFF" w:themeFill="background1"/>
          </w:tcPr>
          <w:p w14:paraId="66EE172C" w14:textId="77777777" w:rsidR="008464FF" w:rsidRDefault="00BD2008">
            <w:pPr>
              <w:pStyle w:val="aff1"/>
              <w:spacing w:after="0" w:line="330" w:lineRule="atLeast"/>
              <w:ind w:leftChars="0" w:left="134"/>
              <w:cnfStyle w:val="000000000000" w:firstRow="0" w:lastRow="0" w:firstColumn="0" w:lastColumn="0" w:oddVBand="0" w:evenVBand="0" w:oddHBand="0" w:evenHBand="0" w:firstRowFirstColumn="0" w:firstRowLastColumn="0" w:lastRowFirstColumn="0" w:lastRowLastColumn="0"/>
              <w:rPr>
                <w:rFonts w:ascii="FangSong" w:eastAsia="FangSong" w:hAnsi="FangSong" w:cs="Calibri"/>
                <w:iCs/>
                <w:color w:val="000000"/>
                <w:sz w:val="24"/>
                <w:szCs w:val="24"/>
              </w:rPr>
            </w:pPr>
            <w:r>
              <w:rPr>
                <w:rFonts w:ascii="FangSong" w:eastAsia="FangSong" w:hAnsi="FangSong"/>
                <w:sz w:val="24"/>
              </w:rPr>
              <w:t xml:space="preserve">□ </w:t>
            </w:r>
            <w:r>
              <w:rPr>
                <w:rFonts w:ascii="FangSong" w:eastAsia="FangSong" w:hAnsi="FangSong" w:cs="Calibri" w:hint="eastAsia"/>
                <w:bCs/>
                <w:iCs/>
                <w:color w:val="000000"/>
                <w:sz w:val="24"/>
                <w:szCs w:val="24"/>
              </w:rPr>
              <w:t>是</w:t>
            </w:r>
            <w:r>
              <w:rPr>
                <w:rFonts w:ascii="FangSong" w:eastAsia="FangSong" w:hAnsi="FangSong" w:cs="Calibri"/>
                <w:bCs/>
                <w:iCs/>
                <w:color w:val="000000"/>
                <w:sz w:val="24"/>
                <w:szCs w:val="24"/>
              </w:rPr>
              <w:t xml:space="preserve">  /  </w:t>
            </w:r>
            <w:r>
              <w:rPr>
                <w:rFonts w:ascii="FangSong" w:eastAsia="FangSong" w:hAnsi="FangSong" w:hint="eastAsia"/>
                <w:sz w:val="24"/>
                <w:lang w:eastAsia="zh-CN"/>
              </w:rPr>
              <w:t>☑</w:t>
            </w:r>
            <w:r>
              <w:rPr>
                <w:rFonts w:ascii="FangSong" w:eastAsia="FangSong" w:hAnsi="FangSong"/>
                <w:sz w:val="24"/>
              </w:rPr>
              <w:t xml:space="preserve"> </w:t>
            </w:r>
            <w:r>
              <w:rPr>
                <w:rFonts w:ascii="FangSong" w:eastAsia="FangSong" w:hAnsi="FangSong" w:cs="Calibri" w:hint="eastAsia"/>
                <w:bCs/>
                <w:iCs/>
                <w:color w:val="000000"/>
                <w:sz w:val="24"/>
                <w:szCs w:val="24"/>
              </w:rPr>
              <w:t>否</w:t>
            </w:r>
            <w:r>
              <w:rPr>
                <w:rFonts w:ascii="FangSong" w:eastAsia="FangSong" w:hAnsi="FangSong" w:cs="Calibri"/>
                <w:bCs/>
                <w:iCs/>
                <w:color w:val="000000"/>
                <w:sz w:val="24"/>
                <w:szCs w:val="24"/>
              </w:rPr>
              <w:t xml:space="preserve"> </w:t>
            </w:r>
          </w:p>
        </w:tc>
      </w:tr>
      <w:tr w:rsidR="008464FF" w14:paraId="0A408C32" w14:textId="77777777" w:rsidTr="008464FF">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92392D5" w14:textId="77777777" w:rsidR="008464FF" w:rsidRDefault="00BD2008">
            <w:pPr>
              <w:spacing w:after="0" w:line="330" w:lineRule="atLeast"/>
              <w:rPr>
                <w:rFonts w:ascii="FangSong" w:eastAsia="FangSong" w:hAnsi="FangSong" w:cs="Calibri"/>
                <w:b w:val="0"/>
                <w:bCs w:val="0"/>
                <w:color w:val="000000" w:themeColor="text1"/>
                <w:sz w:val="24"/>
                <w:szCs w:val="24"/>
              </w:rPr>
            </w:pPr>
            <w:r>
              <w:rPr>
                <w:rFonts w:ascii="FangSong" w:eastAsia="FangSong" w:hAnsi="FangSong" w:cs="Calibri" w:hint="eastAsia"/>
                <w:iCs/>
                <w:color w:val="000000"/>
                <w:sz w:val="24"/>
                <w:szCs w:val="24"/>
              </w:rPr>
              <w:t>是否衍生產品</w:t>
            </w:r>
          </w:p>
        </w:tc>
        <w:tc>
          <w:tcPr>
            <w:tcW w:w="3454" w:type="pct"/>
            <w:tcBorders>
              <w:top w:val="single" w:sz="4" w:space="0" w:color="auto"/>
              <w:left w:val="single" w:sz="4" w:space="0" w:color="auto"/>
              <w:bottom w:val="single" w:sz="4" w:space="0" w:color="auto"/>
              <w:right w:val="single" w:sz="4" w:space="0" w:color="auto"/>
            </w:tcBorders>
            <w:shd w:val="clear" w:color="auto" w:fill="FFFFFF" w:themeFill="background1"/>
          </w:tcPr>
          <w:p w14:paraId="04C4BAD7" w14:textId="77777777"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 xml:space="preserve"> □ </w:t>
            </w:r>
            <w:r>
              <w:rPr>
                <w:rFonts w:ascii="FangSong" w:hAnsi="FangSong"/>
                <w:sz w:val="24"/>
              </w:rPr>
              <w:t>是</w:t>
            </w:r>
            <w:r>
              <w:rPr>
                <w:rFonts w:ascii="FangSong" w:hAnsi="FangSong"/>
                <w:sz w:val="24"/>
              </w:rPr>
              <w:t xml:space="preserve">  /  ☑ </w:t>
            </w:r>
            <w:r>
              <w:rPr>
                <w:rFonts w:ascii="FangSong" w:hAnsi="FangSong"/>
                <w:sz w:val="24"/>
              </w:rPr>
              <w:t>否</w:t>
            </w:r>
            <w:r>
              <w:rPr>
                <w:rFonts w:ascii="FangSong" w:hAnsi="FangSong"/>
                <w:sz w:val="24"/>
              </w:rPr>
              <w:t xml:space="preserve"> </w:t>
            </w:r>
          </w:p>
        </w:tc>
      </w:tr>
      <w:tr w:rsidR="008464FF" w14:paraId="7325D54B" w14:textId="77777777" w:rsidTr="008464FF">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94F1594" w14:textId="77777777" w:rsidR="008464FF" w:rsidRDefault="00BD2008">
            <w:pPr>
              <w:spacing w:after="0" w:line="330" w:lineRule="atLeast"/>
              <w:rPr>
                <w:rFonts w:ascii="FangSong" w:eastAsia="FangSong" w:hAnsi="FangSong" w:cs="Calibri"/>
                <w:b w:val="0"/>
                <w:bCs w:val="0"/>
                <w:iCs/>
                <w:color w:val="000000"/>
                <w:sz w:val="24"/>
                <w:szCs w:val="24"/>
              </w:rPr>
            </w:pPr>
            <w:r>
              <w:rPr>
                <w:rFonts w:ascii="FangSong" w:eastAsia="FangSong" w:hAnsi="FangSong" w:cs="Calibri" w:hint="eastAsia"/>
                <w:iCs/>
                <w:color w:val="000000"/>
                <w:sz w:val="24"/>
                <w:szCs w:val="24"/>
              </w:rPr>
              <w:t xml:space="preserve">投資目標 </w:t>
            </w:r>
          </w:p>
          <w:p w14:paraId="19FBD08B" w14:textId="77777777" w:rsidR="008464FF" w:rsidRDefault="008464FF">
            <w:pPr>
              <w:spacing w:after="0" w:line="330" w:lineRule="atLeast"/>
              <w:rPr>
                <w:rFonts w:ascii="FangSong" w:eastAsia="FangSong" w:hAnsi="FangSong" w:cs="Calibri"/>
                <w:b w:val="0"/>
                <w:bCs w:val="0"/>
                <w:color w:val="000000" w:themeColor="text1"/>
                <w:sz w:val="24"/>
                <w:szCs w:val="24"/>
              </w:rPr>
            </w:pPr>
          </w:p>
        </w:tc>
        <w:tc>
          <w:tcPr>
            <w:tcW w:w="3454" w:type="pct"/>
            <w:tcBorders>
              <w:top w:val="single" w:sz="4" w:space="0" w:color="auto"/>
              <w:left w:val="single" w:sz="4" w:space="0" w:color="auto"/>
              <w:bottom w:val="single" w:sz="4" w:space="0" w:color="auto"/>
              <w:right w:val="single" w:sz="4" w:space="0" w:color="auto"/>
            </w:tcBorders>
            <w:shd w:val="clear" w:color="auto" w:fill="FFFFFF" w:themeFill="background1"/>
          </w:tcPr>
          <w:p w14:paraId="6C7C2F0C" w14:textId="77777777"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 xml:space="preserve">☑ </w:t>
            </w:r>
            <w:r>
              <w:rPr>
                <w:rFonts w:ascii="FangSong" w:hAnsi="FangSong"/>
                <w:sz w:val="24"/>
              </w:rPr>
              <w:t>保本為主</w:t>
            </w:r>
            <w:r>
              <w:rPr>
                <w:rFonts w:ascii="FangSong" w:hAnsi="FangSong"/>
                <w:sz w:val="24"/>
              </w:rPr>
              <w:t xml:space="preserve"> / □ </w:t>
            </w:r>
            <w:r>
              <w:rPr>
                <w:rFonts w:ascii="FangSong" w:hAnsi="FangSong"/>
                <w:sz w:val="24"/>
              </w:rPr>
              <w:t>收入主導</w:t>
            </w:r>
            <w:r>
              <w:rPr>
                <w:rFonts w:ascii="FangSong" w:hAnsi="FangSong"/>
                <w:sz w:val="24"/>
              </w:rPr>
              <w:t xml:space="preserve"> / □ </w:t>
            </w:r>
            <w:r>
              <w:rPr>
                <w:rFonts w:ascii="FangSong" w:hAnsi="FangSong"/>
                <w:sz w:val="24"/>
              </w:rPr>
              <w:t>收入及增長</w:t>
            </w:r>
            <w:r>
              <w:rPr>
                <w:rFonts w:ascii="FangSong" w:hAnsi="FangSong"/>
                <w:sz w:val="24"/>
              </w:rPr>
              <w:t xml:space="preserve"> / □ </w:t>
            </w:r>
            <w:r>
              <w:rPr>
                <w:rFonts w:ascii="FangSong" w:hAnsi="FangSong"/>
                <w:sz w:val="24"/>
              </w:rPr>
              <w:t>增長主導</w:t>
            </w:r>
            <w:r>
              <w:rPr>
                <w:rFonts w:ascii="FangSong" w:hAnsi="FangSong"/>
                <w:sz w:val="24"/>
              </w:rPr>
              <w:t xml:space="preserve"> / □ </w:t>
            </w:r>
            <w:r>
              <w:rPr>
                <w:rFonts w:ascii="FangSong" w:hAnsi="FangSong"/>
                <w:sz w:val="24"/>
              </w:rPr>
              <w:t>積極增長</w:t>
            </w:r>
          </w:p>
        </w:tc>
      </w:tr>
      <w:tr w:rsidR="008464FF" w14:paraId="48FBE149" w14:textId="77777777" w:rsidTr="008464FF">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D749ADB" w14:textId="77777777" w:rsidR="008464FF" w:rsidRDefault="00BD2008">
            <w:pPr>
              <w:spacing w:after="0" w:line="330" w:lineRule="atLeast"/>
              <w:rPr>
                <w:rFonts w:ascii="FangSong" w:eastAsia="FangSong" w:hAnsi="FangSong" w:cs="Calibri"/>
                <w:b w:val="0"/>
                <w:bCs w:val="0"/>
                <w:iCs/>
                <w:color w:val="000000"/>
                <w:sz w:val="24"/>
                <w:szCs w:val="24"/>
              </w:rPr>
            </w:pPr>
            <w:r>
              <w:rPr>
                <w:rFonts w:ascii="FangSong" w:eastAsia="FangSong" w:hAnsi="FangSong" w:cs="Calibri" w:hint="eastAsia"/>
                <w:color w:val="000000" w:themeColor="text1"/>
                <w:sz w:val="24"/>
                <w:szCs w:val="24"/>
              </w:rPr>
              <w:t>基金風險評估結果</w:t>
            </w:r>
          </w:p>
        </w:tc>
        <w:tc>
          <w:tcPr>
            <w:tcW w:w="3454" w:type="pct"/>
            <w:tcBorders>
              <w:top w:val="single" w:sz="4" w:space="0" w:color="auto"/>
              <w:left w:val="single" w:sz="4" w:space="0" w:color="auto"/>
              <w:bottom w:val="single" w:sz="4" w:space="0" w:color="auto"/>
              <w:right w:val="single" w:sz="4" w:space="0" w:color="auto"/>
            </w:tcBorders>
            <w:shd w:val="clear" w:color="auto" w:fill="FFFFFF" w:themeFill="background1"/>
          </w:tcPr>
          <w:p w14:paraId="4D6579BB" w14:textId="56E5D39E" w:rsidR="008464FF" w:rsidRDefault="00E845FB">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w:t>
            </w:r>
            <w:r w:rsidR="00BD2008">
              <w:rPr>
                <w:rFonts w:ascii="FangSong" w:hAnsi="FangSong"/>
                <w:sz w:val="24"/>
              </w:rPr>
              <w:t xml:space="preserve"> </w:t>
            </w:r>
            <w:r w:rsidR="00BD2008">
              <w:rPr>
                <w:rFonts w:ascii="FangSong" w:hAnsi="FangSong"/>
                <w:sz w:val="24"/>
              </w:rPr>
              <w:t>低風險</w:t>
            </w:r>
            <w:r w:rsidR="00BD2008">
              <w:rPr>
                <w:rFonts w:ascii="FangSong" w:hAnsi="FangSong"/>
                <w:sz w:val="24"/>
              </w:rPr>
              <w:t xml:space="preserve"> / □ </w:t>
            </w:r>
            <w:r w:rsidR="00BD2008">
              <w:rPr>
                <w:rFonts w:ascii="FangSong" w:hAnsi="FangSong"/>
                <w:sz w:val="24"/>
              </w:rPr>
              <w:t>中低風險</w:t>
            </w:r>
            <w:r w:rsidR="00BD2008">
              <w:rPr>
                <w:rFonts w:ascii="FangSong" w:hAnsi="FangSong"/>
                <w:sz w:val="24"/>
              </w:rPr>
              <w:t xml:space="preserve"> / □ </w:t>
            </w:r>
            <w:r w:rsidR="00BD2008">
              <w:rPr>
                <w:rFonts w:ascii="FangSong" w:hAnsi="FangSong"/>
                <w:sz w:val="24"/>
              </w:rPr>
              <w:t>中風險</w:t>
            </w:r>
            <w:r w:rsidR="00BD2008">
              <w:rPr>
                <w:rFonts w:ascii="FangSong" w:hAnsi="FangSong"/>
                <w:sz w:val="24"/>
              </w:rPr>
              <w:t xml:space="preserve"> / □ </w:t>
            </w:r>
            <w:r w:rsidR="00BD2008">
              <w:rPr>
                <w:rFonts w:ascii="FangSong" w:hAnsi="FangSong"/>
                <w:sz w:val="24"/>
              </w:rPr>
              <w:t>中高風險</w:t>
            </w:r>
            <w:r w:rsidR="00BD2008">
              <w:rPr>
                <w:rFonts w:ascii="FangSong" w:hAnsi="FangSong"/>
                <w:sz w:val="24"/>
              </w:rPr>
              <w:t xml:space="preserve"> / □ </w:t>
            </w:r>
            <w:r w:rsidR="00BD2008">
              <w:rPr>
                <w:rFonts w:ascii="FangSong" w:hAnsi="FangSong"/>
                <w:sz w:val="24"/>
              </w:rPr>
              <w:t>高風險</w:t>
            </w:r>
          </w:p>
        </w:tc>
      </w:tr>
      <w:tr w:rsidR="008464FF" w14:paraId="4F4D6555" w14:textId="77777777" w:rsidTr="008464FF">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1FE8C02" w14:textId="77777777" w:rsidR="008464FF" w:rsidRDefault="00BD2008">
            <w:pPr>
              <w:spacing w:after="0" w:line="330" w:lineRule="atLeast"/>
              <w:rPr>
                <w:rFonts w:ascii="FangSong" w:eastAsia="FangSong" w:hAnsi="FangSong" w:cs="Calibri"/>
                <w:b w:val="0"/>
                <w:bCs w:val="0"/>
                <w:color w:val="000000" w:themeColor="text1"/>
                <w:sz w:val="24"/>
                <w:szCs w:val="24"/>
              </w:rPr>
            </w:pPr>
            <w:r>
              <w:rPr>
                <w:rFonts w:ascii="FangSong" w:eastAsia="FangSong" w:hAnsi="FangSong" w:cs="PMingLiU" w:hint="eastAsia"/>
                <w:bCs w:val="0"/>
                <w:iCs/>
                <w:color w:val="000000"/>
                <w:sz w:val="24"/>
                <w:szCs w:val="24"/>
              </w:rPr>
              <w:t>報告評估日期</w:t>
            </w:r>
          </w:p>
        </w:tc>
        <w:tc>
          <w:tcPr>
            <w:tcW w:w="3454" w:type="pct"/>
            <w:tcBorders>
              <w:top w:val="single" w:sz="4" w:space="0" w:color="auto"/>
              <w:left w:val="single" w:sz="4" w:space="0" w:color="auto"/>
              <w:bottom w:val="single" w:sz="4" w:space="0" w:color="auto"/>
              <w:right w:val="single" w:sz="4" w:space="0" w:color="auto"/>
            </w:tcBorders>
            <w:shd w:val="clear" w:color="auto" w:fill="FFFFFF" w:themeFill="background1"/>
          </w:tcPr>
          <w:p w14:paraId="1D4DDE14" w14:textId="0AD0FB09" w:rsidR="008464FF" w:rsidRPr="00E845FB" w:rsidRDefault="00BD2008">
            <w:pPr>
              <w:cnfStyle w:val="000000000000" w:firstRow="0" w:lastRow="0" w:firstColumn="0" w:lastColumn="0" w:oddVBand="0" w:evenVBand="0" w:oddHBand="0" w:evenHBand="0" w:firstRowFirstColumn="0" w:firstRowLastColumn="0" w:lastRowFirstColumn="0" w:lastRowLastColumn="0"/>
              <w:rPr>
                <w:lang w:val="en-HK"/>
              </w:rPr>
            </w:pPr>
            <w:r>
              <w:rPr>
                <w:rFonts w:ascii="FangSong" w:hAnsi="FangSong"/>
                <w:sz w:val="24"/>
              </w:rPr>
              <w:t>2026</w:t>
            </w:r>
            <w:r>
              <w:rPr>
                <w:rFonts w:ascii="FangSong" w:hAnsi="FangSong"/>
                <w:sz w:val="24"/>
              </w:rPr>
              <w:t>年</w:t>
            </w:r>
            <w:r>
              <w:rPr>
                <w:rFonts w:ascii="FangSong" w:hAnsi="FangSong"/>
                <w:sz w:val="24"/>
              </w:rPr>
              <w:t>01</w:t>
            </w:r>
            <w:r>
              <w:rPr>
                <w:rFonts w:ascii="FangSong" w:hAnsi="FangSong"/>
                <w:sz w:val="24"/>
              </w:rPr>
              <w:t>月</w:t>
            </w:r>
            <w:r>
              <w:rPr>
                <w:rFonts w:ascii="FangSong" w:hAnsi="FangSong"/>
                <w:sz w:val="24"/>
              </w:rPr>
              <w:t>30</w:t>
            </w:r>
            <w:r>
              <w:rPr>
                <w:rFonts w:ascii="FangSong" w:hAnsi="FangSong"/>
                <w:sz w:val="24"/>
              </w:rPr>
              <w:t>日</w:t>
            </w:r>
          </w:p>
        </w:tc>
      </w:tr>
    </w:tbl>
    <w:p w14:paraId="673543F8" w14:textId="77777777" w:rsidR="008464FF" w:rsidRDefault="008464FF">
      <w:pPr>
        <w:shd w:val="clear" w:color="auto" w:fill="FFFFFF"/>
        <w:spacing w:before="0" w:after="0" w:line="240" w:lineRule="auto"/>
        <w:jc w:val="center"/>
        <w:rPr>
          <w:rFonts w:ascii="FangSong" w:eastAsia="FangSong" w:hAnsi="FangSong" w:cs="Times New Roman"/>
          <w:b/>
          <w:color w:val="000000"/>
          <w:sz w:val="24"/>
          <w:szCs w:val="24"/>
          <w:u w:val="single"/>
        </w:rPr>
      </w:pPr>
    </w:p>
    <w:p w14:paraId="017D75FC" w14:textId="77777777" w:rsidR="008464FF" w:rsidRDefault="00BD2008">
      <w:pPr>
        <w:pStyle w:val="aff1"/>
        <w:numPr>
          <w:ilvl w:val="0"/>
          <w:numId w:val="1"/>
        </w:numPr>
        <w:shd w:val="clear" w:color="auto" w:fill="FFFFFF"/>
        <w:spacing w:before="0" w:after="0" w:line="240" w:lineRule="auto"/>
        <w:ind w:leftChars="0" w:left="270" w:rightChars="-71" w:right="-142"/>
        <w:rPr>
          <w:rFonts w:ascii="FangSong" w:eastAsia="FangSong" w:hAnsi="FangSong" w:cs="PMingLiU"/>
          <w:b/>
          <w:bCs/>
          <w:iCs/>
          <w:color w:val="000000"/>
          <w:sz w:val="24"/>
          <w:szCs w:val="24"/>
          <w:u w:val="single"/>
        </w:rPr>
      </w:pPr>
      <w:r>
        <w:rPr>
          <w:rFonts w:ascii="FangSong" w:eastAsia="FangSong" w:hAnsi="FangSong" w:cs="Times New Roman" w:hint="eastAsia"/>
          <w:b/>
          <w:color w:val="000000"/>
          <w:sz w:val="24"/>
          <w:szCs w:val="24"/>
          <w:u w:val="single"/>
        </w:rPr>
        <w:t>基金背景資料</w:t>
      </w:r>
    </w:p>
    <w:tbl>
      <w:tblPr>
        <w:tblStyle w:val="GridTable31"/>
        <w:tblW w:w="50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561"/>
      </w:tblGrid>
      <w:tr w:rsidR="008464FF" w14:paraId="1A44DEEF" w14:textId="77777777" w:rsidTr="008464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1" w:type="pct"/>
            <w:tcBorders>
              <w:top w:val="single" w:sz="4" w:space="0" w:color="auto"/>
              <w:left w:val="single" w:sz="4" w:space="0" w:color="auto"/>
              <w:bottom w:val="nil"/>
            </w:tcBorders>
            <w:shd w:val="clear" w:color="auto" w:fill="D0CECE" w:themeFill="background2" w:themeFillShade="E6"/>
          </w:tcPr>
          <w:p w14:paraId="452405CF" w14:textId="77777777" w:rsidR="008464FF" w:rsidRDefault="00BD2008">
            <w:pPr>
              <w:spacing w:after="0" w:line="330" w:lineRule="atLeast"/>
              <w:jc w:val="center"/>
              <w:rPr>
                <w:rFonts w:ascii="FangSong" w:eastAsia="FangSong" w:hAnsi="FangSong" w:cs="PMingLiU"/>
                <w:b w:val="0"/>
                <w:bCs w:val="0"/>
                <w:iCs w:val="0"/>
                <w:color w:val="000000"/>
                <w:sz w:val="24"/>
                <w:szCs w:val="24"/>
                <w:u w:val="single"/>
              </w:rPr>
            </w:pPr>
            <w:r>
              <w:rPr>
                <w:rFonts w:ascii="FangSong" w:eastAsia="FangSong" w:hAnsi="FangSong" w:cs="PMingLiU" w:hint="eastAsia"/>
                <w:i w:val="0"/>
                <w:color w:val="000000"/>
                <w:sz w:val="24"/>
                <w:szCs w:val="24"/>
                <w:u w:val="single"/>
              </w:rPr>
              <w:t>項目</w:t>
            </w:r>
          </w:p>
        </w:tc>
        <w:tc>
          <w:tcPr>
            <w:tcW w:w="3589"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1FFB80F" w14:textId="77777777" w:rsidR="008464FF" w:rsidRDefault="00BD2008">
            <w:pPr>
              <w:spacing w:after="0" w:line="330" w:lineRule="atLeast"/>
              <w:jc w:val="center"/>
              <w:cnfStyle w:val="100000000000" w:firstRow="1" w:lastRow="0" w:firstColumn="0" w:lastColumn="0" w:oddVBand="0" w:evenVBand="0" w:oddHBand="0" w:evenHBand="0" w:firstRowFirstColumn="0" w:firstRowLastColumn="0" w:lastRowFirstColumn="0" w:lastRowLastColumn="0"/>
              <w:rPr>
                <w:rFonts w:ascii="FangSong" w:eastAsia="FangSong" w:hAnsi="FangSong" w:cs="PMingLiU"/>
                <w:b w:val="0"/>
                <w:bCs w:val="0"/>
                <w:color w:val="000000"/>
                <w:sz w:val="24"/>
                <w:szCs w:val="24"/>
                <w:u w:val="single"/>
              </w:rPr>
            </w:pPr>
            <w:r>
              <w:rPr>
                <w:rFonts w:ascii="FangSong" w:eastAsia="FangSong" w:hAnsi="FangSong" w:cs="PMingLiU" w:hint="eastAsia"/>
                <w:color w:val="000000"/>
                <w:sz w:val="24"/>
                <w:szCs w:val="24"/>
                <w:u w:val="single"/>
              </w:rPr>
              <w:t>內容</w:t>
            </w:r>
            <w:hyperlink r:id="rId8" w:tgtFrame="_blank" w:history="1"/>
          </w:p>
        </w:tc>
      </w:tr>
      <w:tr w:rsidR="008464FF" w14:paraId="65FD005E" w14:textId="77777777" w:rsidTr="008464FF">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5F29353D" w14:textId="77777777" w:rsidR="008464FF" w:rsidRDefault="00BD2008">
            <w:pPr>
              <w:spacing w:after="0" w:line="330" w:lineRule="atLeast"/>
              <w:rPr>
                <w:rFonts w:ascii="FangSong" w:eastAsia="FangSong" w:hAnsi="FangSong"/>
                <w:b/>
                <w:iCs w:val="0"/>
                <w:color w:val="000000"/>
                <w:sz w:val="24"/>
                <w:szCs w:val="24"/>
              </w:rPr>
            </w:pPr>
            <w:r>
              <w:rPr>
                <w:rFonts w:ascii="FangSong" w:eastAsia="FangSong" w:hAnsi="FangSong" w:hint="eastAsia"/>
                <w:b/>
                <w:i w:val="0"/>
                <w:color w:val="000000"/>
                <w:sz w:val="24"/>
                <w:szCs w:val="24"/>
              </w:rPr>
              <w:t>基金管理公司名稱</w:t>
            </w:r>
          </w:p>
        </w:tc>
        <w:tc>
          <w:tcPr>
            <w:tcW w:w="3589" w:type="pct"/>
            <w:tcBorders>
              <w:top w:val="single" w:sz="4" w:space="0" w:color="auto"/>
              <w:left w:val="single" w:sz="4" w:space="0" w:color="auto"/>
              <w:bottom w:val="single" w:sz="4" w:space="0" w:color="auto"/>
              <w:right w:val="single" w:sz="4" w:space="0" w:color="auto"/>
            </w:tcBorders>
          </w:tcPr>
          <w:p w14:paraId="4AEC4AC3" w14:textId="77777777"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大成國際資產管理有限公司</w:t>
            </w:r>
          </w:p>
        </w:tc>
      </w:tr>
      <w:tr w:rsidR="008464FF" w14:paraId="4930D2A1" w14:textId="77777777" w:rsidTr="008464FF">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3603F4B5" w14:textId="77777777" w:rsidR="008464FF" w:rsidRDefault="00BD2008">
            <w:pPr>
              <w:spacing w:after="0" w:line="330" w:lineRule="atLeast"/>
              <w:rPr>
                <w:rFonts w:ascii="FangSong" w:eastAsia="FangSong" w:hAnsi="FangSong"/>
                <w:b/>
                <w:iCs w:val="0"/>
                <w:color w:val="000000"/>
                <w:sz w:val="24"/>
                <w:szCs w:val="24"/>
              </w:rPr>
            </w:pPr>
            <w:r>
              <w:rPr>
                <w:rFonts w:ascii="FangSong" w:eastAsia="FangSong" w:hAnsi="FangSong" w:cs="PMingLiU" w:hint="eastAsia"/>
                <w:b/>
                <w:i w:val="0"/>
                <w:color w:val="000000"/>
                <w:sz w:val="24"/>
                <w:szCs w:val="24"/>
              </w:rPr>
              <w:t>基金管理公司背景資料  (包括經驗及聲譽)</w:t>
            </w:r>
          </w:p>
        </w:tc>
        <w:tc>
          <w:tcPr>
            <w:tcW w:w="3589" w:type="pct"/>
            <w:tcBorders>
              <w:top w:val="single" w:sz="4" w:space="0" w:color="auto"/>
              <w:left w:val="single" w:sz="4" w:space="0" w:color="auto"/>
              <w:bottom w:val="single" w:sz="4" w:space="0" w:color="auto"/>
              <w:right w:val="single" w:sz="4" w:space="0" w:color="auto"/>
            </w:tcBorders>
          </w:tcPr>
          <w:p w14:paraId="50CFA66F" w14:textId="1171E1FE"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大成國際資產管理有限公司（</w:t>
            </w:r>
            <w:r>
              <w:rPr>
                <w:rFonts w:ascii="FangSong" w:hAnsi="FangSong"/>
                <w:sz w:val="24"/>
              </w:rPr>
              <w:t>Dacheng International Asset Management Limited</w:t>
            </w:r>
            <w:r>
              <w:rPr>
                <w:rFonts w:ascii="FangSong" w:hAnsi="FangSong"/>
                <w:sz w:val="24"/>
              </w:rPr>
              <w:t>）是大成基金旗下於香港設立的子公司，專注於為國際投資者提供資產管理服務。公司致力於發展多元化的基金產品，涵蓋貨幣市場基金、債券及混合資產策略，服務對象包括機構及零售投資者。根據香港證監會持牌實體公佈資料，該公司成立於</w:t>
            </w:r>
            <w:r>
              <w:rPr>
                <w:rFonts w:ascii="FangSong" w:hAnsi="FangSong"/>
                <w:sz w:val="24"/>
              </w:rPr>
              <w:t>200</w:t>
            </w:r>
            <w:r w:rsidR="00E845FB">
              <w:rPr>
                <w:rFonts w:ascii="PMingLiU" w:eastAsia="PMingLiU" w:hAnsi="PMingLiU" w:hint="eastAsia"/>
                <w:sz w:val="24"/>
              </w:rPr>
              <w:t>9</w:t>
            </w:r>
            <w:r>
              <w:rPr>
                <w:rFonts w:ascii="FangSong" w:hAnsi="FangSong"/>
                <w:sz w:val="24"/>
              </w:rPr>
              <w:t>年，持有香港證監會頒發的</w:t>
            </w:r>
            <w:r w:rsidR="00E845FB" w:rsidRPr="00E845FB">
              <w:rPr>
                <w:rFonts w:ascii="FangSong" w:hAnsi="FangSong" w:hint="eastAsia"/>
                <w:sz w:val="24"/>
              </w:rPr>
              <w:t>第</w:t>
            </w:r>
            <w:r w:rsidR="00E845FB" w:rsidRPr="00E845FB">
              <w:rPr>
                <w:rFonts w:ascii="FangSong" w:hAnsi="FangSong" w:hint="eastAsia"/>
                <w:sz w:val="24"/>
              </w:rPr>
              <w:t>1</w:t>
            </w:r>
            <w:r w:rsidR="00E845FB" w:rsidRPr="00E845FB">
              <w:rPr>
                <w:rFonts w:ascii="FangSong" w:hAnsi="FangSong" w:hint="eastAsia"/>
                <w:sz w:val="24"/>
              </w:rPr>
              <w:t>類</w:t>
            </w:r>
            <w:r w:rsidR="00E845FB" w:rsidRPr="00E845FB">
              <w:rPr>
                <w:rFonts w:ascii="FangSong" w:hAnsi="FangSong" w:hint="eastAsia"/>
                <w:sz w:val="24"/>
              </w:rPr>
              <w:t>(</w:t>
            </w:r>
            <w:r w:rsidR="00E845FB" w:rsidRPr="00E845FB">
              <w:rPr>
                <w:rFonts w:ascii="FangSong" w:hAnsi="FangSong" w:hint="eastAsia"/>
                <w:sz w:val="24"/>
              </w:rPr>
              <w:t>證券交易</w:t>
            </w:r>
            <w:r w:rsidR="00E845FB" w:rsidRPr="00E845FB">
              <w:rPr>
                <w:rFonts w:ascii="FangSong" w:hAnsi="FangSong" w:hint="eastAsia"/>
                <w:sz w:val="24"/>
              </w:rPr>
              <w:t>)</w:t>
            </w:r>
            <w:r w:rsidR="00E845FB">
              <w:rPr>
                <w:rFonts w:hint="eastAsia"/>
              </w:rPr>
              <w:t xml:space="preserve"> </w:t>
            </w:r>
            <w:r w:rsidR="00E845FB" w:rsidRPr="00E845FB">
              <w:rPr>
                <w:rFonts w:ascii="PMingLiU" w:eastAsia="PMingLiU" w:hAnsi="PMingLiU" w:hint="eastAsia"/>
                <w:sz w:val="24"/>
              </w:rPr>
              <w:t>，</w:t>
            </w:r>
            <w:r>
              <w:rPr>
                <w:rFonts w:ascii="FangSong" w:hAnsi="FangSong"/>
                <w:sz w:val="24"/>
              </w:rPr>
              <w:t>第</w:t>
            </w:r>
            <w:r>
              <w:rPr>
                <w:rFonts w:ascii="FangSong" w:hAnsi="FangSong"/>
                <w:sz w:val="24"/>
              </w:rPr>
              <w:t>4</w:t>
            </w:r>
            <w:r>
              <w:rPr>
                <w:rFonts w:ascii="FangSong" w:hAnsi="FangSong"/>
                <w:sz w:val="24"/>
              </w:rPr>
              <w:t>類（就證券提供意見）及第</w:t>
            </w:r>
            <w:r>
              <w:rPr>
                <w:rFonts w:ascii="FangSong" w:hAnsi="FangSong"/>
                <w:sz w:val="24"/>
              </w:rPr>
              <w:t>9</w:t>
            </w:r>
            <w:r>
              <w:rPr>
                <w:rFonts w:ascii="FangSong" w:hAnsi="FangSong"/>
                <w:sz w:val="24"/>
              </w:rPr>
              <w:t>類（資產管理）牌照，中央編號為</w:t>
            </w:r>
            <w:r w:rsidR="00E845FB" w:rsidRPr="00E845FB">
              <w:rPr>
                <w:rFonts w:ascii="FangSong" w:hAnsi="FangSong"/>
                <w:sz w:val="24"/>
              </w:rPr>
              <w:t>ATE045</w:t>
            </w:r>
            <w:r>
              <w:rPr>
                <w:rFonts w:ascii="FangSong" w:hAnsi="FangSong"/>
                <w:sz w:val="24"/>
              </w:rPr>
              <w:t>。公司在亞洲市場具備長期運營經驗，以穩健的風險控制和專業的投資管理能力著</w:t>
            </w:r>
            <w:r>
              <w:rPr>
                <w:rFonts w:ascii="FangSong" w:hAnsi="FangSong"/>
                <w:sz w:val="24"/>
              </w:rPr>
              <w:lastRenderedPageBreak/>
              <w:t>稱，在香港及海外投資者中建立了一定聲譽。其母公司大成基金在中國內地擁有廣泛業務基礎，進一步支持其跨境資產管理實力。</w:t>
            </w:r>
          </w:p>
        </w:tc>
      </w:tr>
      <w:tr w:rsidR="008464FF" w14:paraId="6F5F657B" w14:textId="77777777" w:rsidTr="008464FF">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710D5050" w14:textId="77777777" w:rsidR="008464FF" w:rsidRDefault="00BD2008">
            <w:pPr>
              <w:spacing w:after="0" w:line="330" w:lineRule="atLeast"/>
              <w:rPr>
                <w:rFonts w:ascii="FangSong" w:eastAsia="FangSong" w:hAnsi="FangSong"/>
                <w:b/>
                <w:iCs w:val="0"/>
                <w:color w:val="000000"/>
                <w:sz w:val="24"/>
                <w:szCs w:val="24"/>
              </w:rPr>
            </w:pPr>
            <w:r>
              <w:rPr>
                <w:rFonts w:ascii="FangSong" w:eastAsia="FangSong" w:hAnsi="FangSong" w:cs="PMingLiU" w:hint="eastAsia"/>
                <w:b/>
                <w:i w:val="0"/>
                <w:color w:val="000000"/>
                <w:sz w:val="24"/>
                <w:szCs w:val="24"/>
              </w:rPr>
              <w:lastRenderedPageBreak/>
              <w:t>發行人名稱</w:t>
            </w:r>
          </w:p>
        </w:tc>
        <w:tc>
          <w:tcPr>
            <w:tcW w:w="3589" w:type="pct"/>
            <w:tcBorders>
              <w:top w:val="single" w:sz="4" w:space="0" w:color="auto"/>
              <w:left w:val="single" w:sz="4" w:space="0" w:color="auto"/>
              <w:bottom w:val="single" w:sz="4" w:space="0" w:color="auto"/>
              <w:right w:val="single" w:sz="4" w:space="0" w:color="auto"/>
            </w:tcBorders>
          </w:tcPr>
          <w:p w14:paraId="26CF077F" w14:textId="77777777"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大成國際資產管理有限公司</w:t>
            </w:r>
          </w:p>
        </w:tc>
      </w:tr>
      <w:tr w:rsidR="008464FF" w14:paraId="507217F2" w14:textId="77777777" w:rsidTr="008464FF">
        <w:trPr>
          <w:trHeight w:val="483"/>
        </w:trPr>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39C5116D" w14:textId="77777777" w:rsidR="008464FF" w:rsidRDefault="00BD2008">
            <w:pPr>
              <w:spacing w:after="0" w:line="330" w:lineRule="atLeast"/>
              <w:rPr>
                <w:rFonts w:ascii="FangSong" w:eastAsia="FangSong" w:hAnsi="FangSong" w:cs="PMingLiU"/>
                <w:b/>
                <w:iCs w:val="0"/>
                <w:color w:val="000000"/>
                <w:sz w:val="24"/>
                <w:szCs w:val="24"/>
              </w:rPr>
            </w:pPr>
            <w:r>
              <w:rPr>
                <w:rFonts w:ascii="FangSong" w:eastAsia="FangSong" w:hAnsi="FangSong" w:cs="PMingLiU" w:hint="eastAsia"/>
                <w:b/>
                <w:i w:val="0"/>
                <w:color w:val="000000"/>
                <w:sz w:val="24"/>
                <w:szCs w:val="24"/>
              </w:rPr>
              <w:t>發行人背景資料        (包括經驗及聲譽)</w:t>
            </w:r>
          </w:p>
        </w:tc>
        <w:tc>
          <w:tcPr>
            <w:tcW w:w="3589" w:type="pct"/>
            <w:tcBorders>
              <w:top w:val="single" w:sz="4" w:space="0" w:color="auto"/>
              <w:left w:val="single" w:sz="4" w:space="0" w:color="auto"/>
              <w:bottom w:val="single" w:sz="4" w:space="0" w:color="auto"/>
              <w:right w:val="single" w:sz="4" w:space="0" w:color="auto"/>
            </w:tcBorders>
          </w:tcPr>
          <w:p w14:paraId="583A523F" w14:textId="29C1EAF0" w:rsidR="008464FF" w:rsidRDefault="002C602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大成國際資產管理有限公司（</w:t>
            </w:r>
            <w:r>
              <w:rPr>
                <w:rFonts w:ascii="FangSong" w:hAnsi="FangSong"/>
                <w:sz w:val="24"/>
              </w:rPr>
              <w:t>Dacheng International Asset Management Limited</w:t>
            </w:r>
            <w:r>
              <w:rPr>
                <w:rFonts w:ascii="FangSong" w:hAnsi="FangSong"/>
                <w:sz w:val="24"/>
              </w:rPr>
              <w:t>）是大成基金旗下於香港設立的子公司，專注於為國際投資者提供資產管理服務。公司致力於發展多元化的基金產品，涵蓋貨幣市場基金、債券及混合資產策略，服務對象包括機構及零售投資者。根據香港證監會持牌實體公佈資料，該公司成立於</w:t>
            </w:r>
            <w:r>
              <w:rPr>
                <w:rFonts w:ascii="FangSong" w:hAnsi="FangSong"/>
                <w:sz w:val="24"/>
              </w:rPr>
              <w:t>200</w:t>
            </w:r>
            <w:r>
              <w:rPr>
                <w:rFonts w:ascii="PMingLiU" w:eastAsia="PMingLiU" w:hAnsi="PMingLiU" w:hint="eastAsia"/>
                <w:sz w:val="24"/>
              </w:rPr>
              <w:t>9</w:t>
            </w:r>
            <w:r>
              <w:rPr>
                <w:rFonts w:ascii="FangSong" w:hAnsi="FangSong"/>
                <w:sz w:val="24"/>
              </w:rPr>
              <w:t>年，持有香港證監會頒發的</w:t>
            </w:r>
            <w:r w:rsidRPr="00E845FB">
              <w:rPr>
                <w:rFonts w:ascii="FangSong" w:hAnsi="FangSong" w:hint="eastAsia"/>
                <w:sz w:val="24"/>
              </w:rPr>
              <w:t>第</w:t>
            </w:r>
            <w:r w:rsidRPr="00E845FB">
              <w:rPr>
                <w:rFonts w:ascii="FangSong" w:hAnsi="FangSong" w:hint="eastAsia"/>
                <w:sz w:val="24"/>
              </w:rPr>
              <w:t>1</w:t>
            </w:r>
            <w:r w:rsidRPr="00E845FB">
              <w:rPr>
                <w:rFonts w:ascii="FangSong" w:hAnsi="FangSong" w:hint="eastAsia"/>
                <w:sz w:val="24"/>
              </w:rPr>
              <w:t>類</w:t>
            </w:r>
            <w:r w:rsidRPr="00E845FB">
              <w:rPr>
                <w:rFonts w:ascii="FangSong" w:hAnsi="FangSong" w:hint="eastAsia"/>
                <w:sz w:val="24"/>
              </w:rPr>
              <w:t>(</w:t>
            </w:r>
            <w:r w:rsidRPr="00E845FB">
              <w:rPr>
                <w:rFonts w:ascii="FangSong" w:hAnsi="FangSong" w:hint="eastAsia"/>
                <w:sz w:val="24"/>
              </w:rPr>
              <w:t>證券交易</w:t>
            </w:r>
            <w:r w:rsidRPr="00E845FB">
              <w:rPr>
                <w:rFonts w:ascii="FangSong" w:hAnsi="FangSong" w:hint="eastAsia"/>
                <w:sz w:val="24"/>
              </w:rPr>
              <w:t>)</w:t>
            </w:r>
            <w:r>
              <w:rPr>
                <w:rFonts w:hint="eastAsia"/>
              </w:rPr>
              <w:t xml:space="preserve"> </w:t>
            </w:r>
            <w:r w:rsidRPr="00E845FB">
              <w:rPr>
                <w:rFonts w:ascii="PMingLiU" w:eastAsia="PMingLiU" w:hAnsi="PMingLiU" w:hint="eastAsia"/>
                <w:sz w:val="24"/>
              </w:rPr>
              <w:t>，</w:t>
            </w:r>
            <w:r>
              <w:rPr>
                <w:rFonts w:ascii="FangSong" w:hAnsi="FangSong"/>
                <w:sz w:val="24"/>
              </w:rPr>
              <w:t>第</w:t>
            </w:r>
            <w:r>
              <w:rPr>
                <w:rFonts w:ascii="FangSong" w:hAnsi="FangSong"/>
                <w:sz w:val="24"/>
              </w:rPr>
              <w:t>4</w:t>
            </w:r>
            <w:r>
              <w:rPr>
                <w:rFonts w:ascii="FangSong" w:hAnsi="FangSong"/>
                <w:sz w:val="24"/>
              </w:rPr>
              <w:t>類（就證券提供意見）及第</w:t>
            </w:r>
            <w:r>
              <w:rPr>
                <w:rFonts w:ascii="FangSong" w:hAnsi="FangSong"/>
                <w:sz w:val="24"/>
              </w:rPr>
              <w:t>9</w:t>
            </w:r>
            <w:r>
              <w:rPr>
                <w:rFonts w:ascii="FangSong" w:hAnsi="FangSong"/>
                <w:sz w:val="24"/>
              </w:rPr>
              <w:t>類（資產管理）牌照，中央編號為</w:t>
            </w:r>
            <w:r w:rsidRPr="00E845FB">
              <w:rPr>
                <w:rFonts w:ascii="FangSong" w:hAnsi="FangSong"/>
                <w:sz w:val="24"/>
              </w:rPr>
              <w:t>ATE045</w:t>
            </w:r>
            <w:r>
              <w:rPr>
                <w:rFonts w:ascii="FangSong" w:hAnsi="FangSong"/>
                <w:sz w:val="24"/>
              </w:rPr>
              <w:t>。公司在亞洲市場具備長期運營經驗，以穩健的風險控制和專業的投資管理能力著稱，在香港及海外投資者中建立了一定聲譽。其母公司大成基金在中國內地擁有廣泛業務基礎，進一步支持其跨境資產管理實力。</w:t>
            </w:r>
          </w:p>
        </w:tc>
      </w:tr>
      <w:tr w:rsidR="002C6028" w14:paraId="63B86BF3" w14:textId="77777777" w:rsidTr="008464FF">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440D8FAE" w14:textId="77777777" w:rsidR="002C6028" w:rsidRDefault="002C6028" w:rsidP="002C6028">
            <w:pPr>
              <w:spacing w:after="0" w:line="330" w:lineRule="atLeast"/>
              <w:rPr>
                <w:rFonts w:ascii="FangSong" w:eastAsia="FangSong" w:hAnsi="FangSong"/>
                <w:b/>
                <w:iCs w:val="0"/>
                <w:color w:val="000000"/>
                <w:sz w:val="24"/>
                <w:szCs w:val="24"/>
              </w:rPr>
            </w:pPr>
            <w:r>
              <w:rPr>
                <w:rFonts w:ascii="FangSong" w:eastAsia="FangSong" w:hAnsi="FangSong" w:cs="PMingLiU" w:hint="eastAsia"/>
                <w:b/>
                <w:i w:val="0"/>
                <w:color w:val="000000"/>
                <w:sz w:val="24"/>
                <w:szCs w:val="24"/>
              </w:rPr>
              <w:t>保管人 / 受託人</w:t>
            </w:r>
          </w:p>
        </w:tc>
        <w:tc>
          <w:tcPr>
            <w:tcW w:w="3589" w:type="pct"/>
            <w:tcBorders>
              <w:top w:val="single" w:sz="4" w:space="0" w:color="auto"/>
              <w:left w:val="single" w:sz="4" w:space="0" w:color="auto"/>
              <w:bottom w:val="single" w:sz="4" w:space="0" w:color="auto"/>
              <w:right w:val="single" w:sz="4" w:space="0" w:color="auto"/>
            </w:tcBorders>
          </w:tcPr>
          <w:p w14:paraId="574DEE36" w14:textId="3E0415E7" w:rsidR="002C6028" w:rsidRDefault="002C6028" w:rsidP="002C602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中銀國際英國保誠信託有限公司</w:t>
            </w:r>
          </w:p>
        </w:tc>
      </w:tr>
      <w:tr w:rsidR="002C6028" w14:paraId="60EC750D" w14:textId="77777777" w:rsidTr="008464FF">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5123D6B" w14:textId="77777777" w:rsidR="002C6028" w:rsidRDefault="002C6028" w:rsidP="002C6028">
            <w:pPr>
              <w:spacing w:after="0" w:line="330" w:lineRule="atLeast"/>
              <w:rPr>
                <w:rFonts w:ascii="FangSong" w:eastAsia="FangSong" w:hAnsi="FangSong" w:cs="PMingLiU"/>
                <w:b/>
                <w:iCs w:val="0"/>
                <w:color w:val="000000"/>
                <w:sz w:val="24"/>
                <w:szCs w:val="24"/>
              </w:rPr>
            </w:pPr>
            <w:r>
              <w:rPr>
                <w:rFonts w:ascii="FangSong" w:eastAsia="FangSong" w:hAnsi="FangSong" w:cs="PMingLiU" w:hint="eastAsia"/>
                <w:b/>
                <w:i w:val="0"/>
                <w:color w:val="000000"/>
                <w:sz w:val="24"/>
                <w:szCs w:val="24"/>
              </w:rPr>
              <w:t>保管人 / 受託人背景資料(包括經驗及聲譽)</w:t>
            </w:r>
          </w:p>
        </w:tc>
        <w:tc>
          <w:tcPr>
            <w:tcW w:w="3589" w:type="pct"/>
            <w:tcBorders>
              <w:top w:val="single" w:sz="4" w:space="0" w:color="auto"/>
              <w:left w:val="single" w:sz="4" w:space="0" w:color="auto"/>
              <w:bottom w:val="single" w:sz="4" w:space="0" w:color="auto"/>
              <w:right w:val="single" w:sz="4" w:space="0" w:color="auto"/>
            </w:tcBorders>
          </w:tcPr>
          <w:p w14:paraId="68EF8351" w14:textId="77777777" w:rsidR="002C6028" w:rsidRPr="003C75F1" w:rsidRDefault="002C6028" w:rsidP="002C6028">
            <w:pPr>
              <w:cnfStyle w:val="000000000000" w:firstRow="0" w:lastRow="0" w:firstColumn="0" w:lastColumn="0" w:oddVBand="0" w:evenVBand="0" w:oddHBand="0" w:evenHBand="0" w:firstRowFirstColumn="0" w:firstRowLastColumn="0" w:lastRowFirstColumn="0" w:lastRowLastColumn="0"/>
              <w:rPr>
                <w:rFonts w:ascii="FangSong" w:hAnsi="FangSong"/>
                <w:sz w:val="24"/>
              </w:rPr>
            </w:pPr>
            <w:r w:rsidRPr="003C75F1">
              <w:rPr>
                <w:rFonts w:ascii="FangSong" w:hAnsi="FangSong" w:hint="eastAsia"/>
                <w:sz w:val="24"/>
              </w:rPr>
              <w:t>中銀國際英國保誠信讬有限公司（「中銀保誠」）是市場上主要強積金服務提供者之一，專注提供強積金及退休保障計畫的信讬及行政服務，同時積極拓展單位基金信讬及資產託管業務。</w:t>
            </w:r>
          </w:p>
          <w:p w14:paraId="1F946E53" w14:textId="42F4168A" w:rsidR="002C6028" w:rsidRPr="003C75F1" w:rsidRDefault="002C6028" w:rsidP="002C6028">
            <w:pPr>
              <w:cnfStyle w:val="000000000000" w:firstRow="0" w:lastRow="0" w:firstColumn="0" w:lastColumn="0" w:oddVBand="0" w:evenVBand="0" w:oddHBand="0" w:evenHBand="0" w:firstRowFirstColumn="0" w:firstRowLastColumn="0" w:lastRowFirstColumn="0" w:lastRowLastColumn="0"/>
              <w:rPr>
                <w:rFonts w:ascii="FangSong" w:hAnsi="FangSong"/>
                <w:sz w:val="24"/>
              </w:rPr>
            </w:pPr>
            <w:r w:rsidRPr="003C75F1">
              <w:rPr>
                <w:rFonts w:ascii="FangSong" w:hAnsi="FangSong" w:hint="eastAsia"/>
                <w:sz w:val="24"/>
              </w:rPr>
              <w:t>中銀保誠是中銀集團信讬人有限公司與保誠集團股份有限公司（「保誠」）成立的合營企業。中銀集團信讬人有限公司由中國銀行</w:t>
            </w:r>
            <w:r w:rsidRPr="003C75F1">
              <w:rPr>
                <w:rFonts w:ascii="FangSong" w:hAnsi="FangSong" w:hint="eastAsia"/>
                <w:sz w:val="24"/>
              </w:rPr>
              <w:t>(</w:t>
            </w:r>
            <w:r w:rsidRPr="003C75F1">
              <w:rPr>
                <w:rFonts w:ascii="FangSong" w:hAnsi="FangSong" w:hint="eastAsia"/>
                <w:sz w:val="24"/>
              </w:rPr>
              <w:t>香港</w:t>
            </w:r>
            <w:r w:rsidRPr="003C75F1">
              <w:rPr>
                <w:rFonts w:ascii="FangSong" w:hAnsi="FangSong" w:hint="eastAsia"/>
                <w:sz w:val="24"/>
              </w:rPr>
              <w:t>)</w:t>
            </w:r>
            <w:r w:rsidRPr="003C75F1">
              <w:rPr>
                <w:rFonts w:ascii="FangSong" w:hAnsi="FangSong" w:hint="eastAsia"/>
                <w:sz w:val="24"/>
              </w:rPr>
              <w:t>有限公司（「中銀香港」）和中銀國際控股有限公司（「中銀國際」）擁有，而中銀香港和中銀國際則是中國銀行股份有限公司（「中國銀行」）的附屬公司。</w:t>
            </w:r>
          </w:p>
          <w:p w14:paraId="17CAFA2E" w14:textId="1C5919EE" w:rsidR="002C6028" w:rsidRDefault="002C6028" w:rsidP="002C6028">
            <w:pPr>
              <w:cnfStyle w:val="000000000000" w:firstRow="0" w:lastRow="0" w:firstColumn="0" w:lastColumn="0" w:oddVBand="0" w:evenVBand="0" w:oddHBand="0" w:evenHBand="0" w:firstRowFirstColumn="0" w:firstRowLastColumn="0" w:lastRowFirstColumn="0" w:lastRowLastColumn="0"/>
            </w:pPr>
            <w:r w:rsidRPr="003C75F1">
              <w:rPr>
                <w:rFonts w:ascii="FangSong" w:hAnsi="FangSong" w:hint="eastAsia"/>
                <w:sz w:val="24"/>
              </w:rPr>
              <w:t>保誠集團股份有限公司在亞洲及非洲</w:t>
            </w:r>
            <w:r w:rsidRPr="003C75F1">
              <w:rPr>
                <w:rFonts w:ascii="FangSong" w:hAnsi="FangSong" w:hint="eastAsia"/>
                <w:sz w:val="24"/>
              </w:rPr>
              <w:t>24</w:t>
            </w:r>
            <w:r w:rsidRPr="003C75F1">
              <w:rPr>
                <w:rFonts w:ascii="FangSong" w:hAnsi="FangSong" w:hint="eastAsia"/>
                <w:sz w:val="24"/>
              </w:rPr>
              <w:t>個市場為</w:t>
            </w:r>
            <w:r w:rsidRPr="003C75F1">
              <w:rPr>
                <w:rFonts w:ascii="FangSong" w:hAnsi="FangSong" w:hint="eastAsia"/>
                <w:sz w:val="24"/>
              </w:rPr>
              <w:t>1,800</w:t>
            </w:r>
            <w:r w:rsidRPr="003C75F1">
              <w:rPr>
                <w:rFonts w:ascii="FangSong" w:hAnsi="FangSong" w:hint="eastAsia"/>
                <w:sz w:val="24"/>
              </w:rPr>
              <w:t>萬客戶提供人壽及健康保險以及資產管理產品。公司總部設在倫敦及香港，聚焦四個策略區域：大中華區、東盟、印度及非洲。公司擁有出色的代理團隊，平均每月活躍代理約</w:t>
            </w:r>
            <w:r w:rsidRPr="003C75F1">
              <w:rPr>
                <w:rFonts w:ascii="FangSong" w:hAnsi="FangSong" w:hint="eastAsia"/>
                <w:sz w:val="24"/>
              </w:rPr>
              <w:t xml:space="preserve"> 68,000</w:t>
            </w:r>
            <w:r w:rsidRPr="003C75F1">
              <w:rPr>
                <w:rFonts w:ascii="FangSong" w:hAnsi="FangSong" w:hint="eastAsia"/>
                <w:sz w:val="24"/>
              </w:rPr>
              <w:t>名，並與逾</w:t>
            </w:r>
            <w:r w:rsidRPr="003C75F1">
              <w:rPr>
                <w:rFonts w:ascii="FangSong" w:hAnsi="FangSong" w:hint="eastAsia"/>
                <w:sz w:val="24"/>
              </w:rPr>
              <w:t>200</w:t>
            </w:r>
            <w:r w:rsidRPr="003C75F1">
              <w:rPr>
                <w:rFonts w:ascii="FangSong" w:hAnsi="FangSong" w:hint="eastAsia"/>
                <w:sz w:val="24"/>
              </w:rPr>
              <w:t>家銀行建立合作夥伴關係。</w:t>
            </w:r>
          </w:p>
        </w:tc>
      </w:tr>
    </w:tbl>
    <w:p w14:paraId="6A53525B" w14:textId="77777777" w:rsidR="008464FF" w:rsidRDefault="008464FF">
      <w:pPr>
        <w:pStyle w:val="aff1"/>
        <w:shd w:val="clear" w:color="auto" w:fill="FFFFFF"/>
        <w:spacing w:before="0" w:after="0" w:line="240" w:lineRule="auto"/>
        <w:ind w:leftChars="0" w:left="270" w:rightChars="-71" w:right="-142"/>
        <w:rPr>
          <w:rFonts w:ascii="FangSong" w:eastAsia="FangSong" w:hAnsi="FangSong" w:cs="Times New Roman"/>
          <w:b/>
          <w:color w:val="000000"/>
          <w:sz w:val="24"/>
          <w:szCs w:val="24"/>
          <w:u w:val="single"/>
        </w:rPr>
      </w:pPr>
    </w:p>
    <w:p w14:paraId="198B56B6" w14:textId="77777777" w:rsidR="008464FF" w:rsidRDefault="00BD2008">
      <w:pPr>
        <w:pStyle w:val="aff1"/>
        <w:numPr>
          <w:ilvl w:val="0"/>
          <w:numId w:val="1"/>
        </w:numPr>
        <w:shd w:val="clear" w:color="auto" w:fill="FFFFFF"/>
        <w:spacing w:before="0" w:after="0" w:line="240" w:lineRule="auto"/>
        <w:ind w:leftChars="0" w:left="270" w:rightChars="-71" w:right="-142"/>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t>基金產品描述</w:t>
      </w:r>
    </w:p>
    <w:tbl>
      <w:tblPr>
        <w:tblStyle w:val="GridTable21"/>
        <w:tblW w:w="5037" w:type="pct"/>
        <w:tblLayout w:type="fixed"/>
        <w:tblLook w:val="04A0" w:firstRow="1" w:lastRow="0" w:firstColumn="1" w:lastColumn="0" w:noHBand="0" w:noVBand="1"/>
      </w:tblPr>
      <w:tblGrid>
        <w:gridCol w:w="2696"/>
        <w:gridCol w:w="7837"/>
      </w:tblGrid>
      <w:tr w:rsidR="008464FF" w14:paraId="14C168E1" w14:textId="77777777" w:rsidTr="008464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tcBorders>
            <w:shd w:val="clear" w:color="auto" w:fill="D0CECE" w:themeFill="background2" w:themeFillShade="E6"/>
          </w:tcPr>
          <w:p w14:paraId="118A3BF1" w14:textId="77777777" w:rsidR="008464FF" w:rsidRDefault="00BD2008">
            <w:pPr>
              <w:spacing w:after="0" w:line="330" w:lineRule="atLeast"/>
              <w:jc w:val="center"/>
              <w:rPr>
                <w:rFonts w:ascii="FangSong" w:eastAsia="FangSong" w:hAnsi="FangSong" w:cs="PMingLiU"/>
                <w:b w:val="0"/>
                <w:bCs w:val="0"/>
                <w:iCs/>
                <w:color w:val="000000"/>
                <w:sz w:val="24"/>
                <w:szCs w:val="24"/>
                <w:u w:val="single"/>
              </w:rPr>
            </w:pPr>
            <w:r>
              <w:rPr>
                <w:rFonts w:ascii="FangSong" w:eastAsia="FangSong" w:hAnsi="FangSong" w:cs="PMingLiU" w:hint="eastAsia"/>
                <w:iCs/>
                <w:color w:val="000000"/>
                <w:sz w:val="24"/>
                <w:szCs w:val="24"/>
                <w:u w:val="single"/>
              </w:rPr>
              <w:lastRenderedPageBreak/>
              <w:t>項目</w:t>
            </w:r>
          </w:p>
        </w:tc>
        <w:tc>
          <w:tcPr>
            <w:tcW w:w="372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F2A4C63" w14:textId="77777777" w:rsidR="008464FF" w:rsidRDefault="00BD2008">
            <w:pPr>
              <w:spacing w:after="0" w:line="330" w:lineRule="atLeast"/>
              <w:jc w:val="center"/>
              <w:cnfStyle w:val="100000000000" w:firstRow="1" w:lastRow="0" w:firstColumn="0" w:lastColumn="0" w:oddVBand="0" w:evenVBand="0" w:oddHBand="0" w:evenHBand="0" w:firstRowFirstColumn="0" w:firstRowLastColumn="0" w:lastRowFirstColumn="0" w:lastRowLastColumn="0"/>
              <w:rPr>
                <w:rFonts w:ascii="FangSong" w:eastAsia="FangSong" w:hAnsi="FangSong" w:cs="PMingLiU"/>
                <w:b w:val="0"/>
                <w:bCs w:val="0"/>
                <w:iCs/>
                <w:color w:val="000000"/>
                <w:sz w:val="24"/>
                <w:szCs w:val="24"/>
                <w:u w:val="single"/>
              </w:rPr>
            </w:pPr>
            <w:r>
              <w:rPr>
                <w:rFonts w:ascii="FangSong" w:eastAsia="FangSong" w:hAnsi="FangSong" w:cs="PMingLiU" w:hint="eastAsia"/>
                <w:iCs/>
                <w:color w:val="000000"/>
                <w:sz w:val="24"/>
                <w:szCs w:val="24"/>
                <w:u w:val="single"/>
              </w:rPr>
              <w:t>內容</w:t>
            </w:r>
            <w:hyperlink r:id="rId9" w:tgtFrame="_blank" w:history="1"/>
          </w:p>
        </w:tc>
      </w:tr>
      <w:tr w:rsidR="008464FF" w14:paraId="51E69F30"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AE13D67" w14:textId="77777777" w:rsidR="008464FF" w:rsidRDefault="00BD2008">
            <w:pPr>
              <w:spacing w:after="0" w:line="330" w:lineRule="atLeast"/>
              <w:rPr>
                <w:rFonts w:ascii="FangSong" w:eastAsia="FangSong" w:hAnsi="FangSong"/>
                <w:b w:val="0"/>
                <w:bCs w:val="0"/>
                <w:color w:val="000000"/>
                <w:sz w:val="24"/>
                <w:szCs w:val="24"/>
              </w:rPr>
            </w:pPr>
            <w:r>
              <w:rPr>
                <w:rFonts w:ascii="FangSong" w:eastAsia="FangSong" w:hAnsi="FangSong" w:cs="Arial" w:hint="eastAsia"/>
                <w:sz w:val="24"/>
                <w:szCs w:val="24"/>
              </w:rPr>
              <w:t>基金簡要說明</w:t>
            </w:r>
          </w:p>
        </w:tc>
        <w:tc>
          <w:tcPr>
            <w:tcW w:w="3720" w:type="pct"/>
            <w:tcBorders>
              <w:top w:val="single" w:sz="4" w:space="0" w:color="auto"/>
              <w:left w:val="single" w:sz="4" w:space="0" w:color="auto"/>
              <w:bottom w:val="single" w:sz="4" w:space="0" w:color="auto"/>
              <w:right w:val="single" w:sz="4" w:space="0" w:color="auto"/>
            </w:tcBorders>
          </w:tcPr>
          <w:p w14:paraId="0DFD8511" w14:textId="77777777"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大成貨幣市場基金（「子基金」）為根據香港法律成立的傘子單位信託基金大成投資信託基金旗下的子基金。買入子基金的單位並不等同將資金存放於銀行或接受存款公司。子基金並無本金保證，經理人並無責任按賣出價值贖回單位。子基金並無固定資產淨值。子基金不受香港金融管理局監管。本基金的投資組合的價值可能會因以下任何主要風險因素而下跌，因此閣下在本基金的投資或會蒙受虧損。不保證可獲付還本金</w:t>
            </w:r>
          </w:p>
        </w:tc>
      </w:tr>
      <w:tr w:rsidR="008464FF" w14:paraId="1E2A4E33"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775CF41" w14:textId="77777777" w:rsidR="008464FF" w:rsidRDefault="00BD2008">
            <w:pPr>
              <w:spacing w:after="0" w:line="330" w:lineRule="atLeast"/>
              <w:rPr>
                <w:rFonts w:ascii="FangSong" w:eastAsia="FangSong" w:hAnsi="FangSong"/>
                <w:b w:val="0"/>
                <w:bCs w:val="0"/>
                <w:color w:val="000000"/>
                <w:sz w:val="24"/>
                <w:szCs w:val="24"/>
              </w:rPr>
            </w:pPr>
            <w:r>
              <w:rPr>
                <w:rFonts w:ascii="FangSong" w:eastAsia="FangSong" w:hAnsi="FangSong" w:cs="Arial" w:hint="eastAsia"/>
                <w:sz w:val="24"/>
                <w:szCs w:val="24"/>
              </w:rPr>
              <w:t>基金投資目標</w:t>
            </w:r>
            <w:r>
              <w:rPr>
                <w:rFonts w:ascii="FangSong" w:eastAsia="FangSong" w:hAnsi="FangSong" w:cs="Arial"/>
                <w:sz w:val="24"/>
                <w:szCs w:val="24"/>
              </w:rPr>
              <w:t>及策略</w:t>
            </w:r>
          </w:p>
        </w:tc>
        <w:tc>
          <w:tcPr>
            <w:tcW w:w="3720" w:type="pct"/>
            <w:tcBorders>
              <w:top w:val="single" w:sz="4" w:space="0" w:color="auto"/>
              <w:left w:val="single" w:sz="4" w:space="0" w:color="auto"/>
              <w:bottom w:val="single" w:sz="4" w:space="0" w:color="auto"/>
              <w:right w:val="single" w:sz="4" w:space="0" w:color="auto"/>
            </w:tcBorders>
          </w:tcPr>
          <w:p w14:paraId="737E7F5F" w14:textId="77777777" w:rsidR="008464FF" w:rsidRDefault="00A26FC1">
            <w:pPr>
              <w:cnfStyle w:val="000000000000" w:firstRow="0" w:lastRow="0" w:firstColumn="0" w:lastColumn="0" w:oddVBand="0" w:evenVBand="0" w:oddHBand="0" w:evenHBand="0" w:firstRowFirstColumn="0" w:firstRowLastColumn="0" w:lastRowFirstColumn="0" w:lastRowLastColumn="0"/>
              <w:rPr>
                <w:rFonts w:eastAsia="PMingLiU"/>
              </w:rPr>
            </w:pPr>
            <w:r w:rsidRPr="00A26FC1">
              <w:rPr>
                <w:noProof/>
              </w:rPr>
              <w:drawing>
                <wp:inline distT="0" distB="0" distL="0" distR="0" wp14:anchorId="04E381FB" wp14:editId="26FE2592">
                  <wp:extent cx="4839335" cy="2626360"/>
                  <wp:effectExtent l="0" t="0" r="0" b="2540"/>
                  <wp:docPr id="162927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77676" name=""/>
                          <pic:cNvPicPr/>
                        </pic:nvPicPr>
                        <pic:blipFill>
                          <a:blip r:embed="rId10"/>
                          <a:stretch>
                            <a:fillRect/>
                          </a:stretch>
                        </pic:blipFill>
                        <pic:spPr>
                          <a:xfrm>
                            <a:off x="0" y="0"/>
                            <a:ext cx="4839335" cy="2626360"/>
                          </a:xfrm>
                          <a:prstGeom prst="rect">
                            <a:avLst/>
                          </a:prstGeom>
                        </pic:spPr>
                      </pic:pic>
                    </a:graphicData>
                  </a:graphic>
                </wp:inline>
              </w:drawing>
            </w:r>
          </w:p>
          <w:p w14:paraId="1D9CA9C9" w14:textId="6ED68399" w:rsidR="00A26FC1" w:rsidRPr="00A26FC1" w:rsidRDefault="00A26FC1">
            <w:pPr>
              <w:cnfStyle w:val="000000000000" w:firstRow="0" w:lastRow="0" w:firstColumn="0" w:lastColumn="0" w:oddVBand="0" w:evenVBand="0" w:oddHBand="0" w:evenHBand="0" w:firstRowFirstColumn="0" w:firstRowLastColumn="0" w:lastRowFirstColumn="0" w:lastRowLastColumn="0"/>
              <w:rPr>
                <w:rFonts w:eastAsia="PMingLiU"/>
              </w:rPr>
            </w:pPr>
            <w:r w:rsidRPr="00A26FC1">
              <w:rPr>
                <w:rFonts w:eastAsia="PMingLiU"/>
                <w:noProof/>
              </w:rPr>
              <w:lastRenderedPageBreak/>
              <w:drawing>
                <wp:inline distT="0" distB="0" distL="0" distR="0" wp14:anchorId="36838336" wp14:editId="6E4D878E">
                  <wp:extent cx="4839335" cy="4247515"/>
                  <wp:effectExtent l="0" t="0" r="0" b="635"/>
                  <wp:docPr id="9743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34659" name=""/>
                          <pic:cNvPicPr/>
                        </pic:nvPicPr>
                        <pic:blipFill>
                          <a:blip r:embed="rId11"/>
                          <a:stretch>
                            <a:fillRect/>
                          </a:stretch>
                        </pic:blipFill>
                        <pic:spPr>
                          <a:xfrm>
                            <a:off x="0" y="0"/>
                            <a:ext cx="4839335" cy="4247515"/>
                          </a:xfrm>
                          <a:prstGeom prst="rect">
                            <a:avLst/>
                          </a:prstGeom>
                        </pic:spPr>
                      </pic:pic>
                    </a:graphicData>
                  </a:graphic>
                </wp:inline>
              </w:drawing>
            </w:r>
          </w:p>
        </w:tc>
      </w:tr>
      <w:tr w:rsidR="008464FF" w14:paraId="015B7686"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806CD9F" w14:textId="77777777" w:rsidR="008464FF" w:rsidRDefault="00BD2008">
            <w:pPr>
              <w:spacing w:after="0" w:line="330" w:lineRule="atLeast"/>
              <w:rPr>
                <w:rFonts w:ascii="FangSong" w:eastAsia="FangSong" w:hAnsi="FangSong" w:cs="Arial"/>
                <w:b w:val="0"/>
                <w:bCs w:val="0"/>
                <w:sz w:val="24"/>
                <w:szCs w:val="24"/>
              </w:rPr>
            </w:pPr>
            <w:r>
              <w:rPr>
                <w:rFonts w:ascii="FangSong" w:eastAsia="FangSong" w:hAnsi="FangSong" w:cs="Arial" w:hint="eastAsia"/>
                <w:sz w:val="24"/>
                <w:szCs w:val="24"/>
              </w:rPr>
              <w:lastRenderedPageBreak/>
              <w:t>相關投資項目的性質</w:t>
            </w:r>
          </w:p>
        </w:tc>
        <w:tc>
          <w:tcPr>
            <w:tcW w:w="3720" w:type="pct"/>
            <w:tcBorders>
              <w:top w:val="single" w:sz="4" w:space="0" w:color="auto"/>
              <w:left w:val="single" w:sz="4" w:space="0" w:color="auto"/>
              <w:bottom w:val="single" w:sz="4" w:space="0" w:color="auto"/>
              <w:right w:val="single" w:sz="4" w:space="0" w:color="auto"/>
            </w:tcBorders>
          </w:tcPr>
          <w:p w14:paraId="180B3776" w14:textId="6AF6F86A"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貨幣型基金</w:t>
            </w:r>
          </w:p>
        </w:tc>
      </w:tr>
      <w:tr w:rsidR="008464FF" w14:paraId="21941DF4"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CDE9F30" w14:textId="77777777" w:rsidR="008464FF" w:rsidRDefault="00BD2008">
            <w:pPr>
              <w:spacing w:after="0" w:line="330" w:lineRule="atLeast"/>
              <w:rPr>
                <w:rFonts w:ascii="FangSong" w:eastAsia="FangSong" w:hAnsi="FangSong" w:cs="Arial"/>
                <w:b w:val="0"/>
                <w:bCs w:val="0"/>
                <w:sz w:val="24"/>
                <w:szCs w:val="24"/>
              </w:rPr>
            </w:pPr>
            <w:r>
              <w:rPr>
                <w:rFonts w:ascii="FangSong" w:eastAsia="FangSong" w:hAnsi="FangSong" w:cs="Arial" w:hint="eastAsia"/>
                <w:sz w:val="24"/>
                <w:szCs w:val="24"/>
              </w:rPr>
              <w:t>基金資產類別及地區比例</w:t>
            </w:r>
          </w:p>
        </w:tc>
        <w:tc>
          <w:tcPr>
            <w:tcW w:w="3720" w:type="pct"/>
            <w:tcBorders>
              <w:top w:val="single" w:sz="4" w:space="0" w:color="auto"/>
              <w:left w:val="single" w:sz="4" w:space="0" w:color="auto"/>
              <w:bottom w:val="single" w:sz="4" w:space="0" w:color="auto"/>
              <w:right w:val="single" w:sz="4" w:space="0" w:color="auto"/>
            </w:tcBorders>
          </w:tcPr>
          <w:p w14:paraId="738DCA3B" w14:textId="7431EDC7" w:rsidR="008464FF" w:rsidRDefault="00A26FC1">
            <w:pPr>
              <w:cnfStyle w:val="000000000000" w:firstRow="0" w:lastRow="0" w:firstColumn="0" w:lastColumn="0" w:oddVBand="0" w:evenVBand="0" w:oddHBand="0" w:evenHBand="0" w:firstRowFirstColumn="0" w:firstRowLastColumn="0" w:lastRowFirstColumn="0" w:lastRowLastColumn="0"/>
            </w:pPr>
            <w:r w:rsidRPr="00A26FC1">
              <w:rPr>
                <w:noProof/>
              </w:rPr>
              <w:drawing>
                <wp:inline distT="0" distB="0" distL="0" distR="0" wp14:anchorId="3A7BE2A8" wp14:editId="3DB30825">
                  <wp:extent cx="4839335" cy="2512060"/>
                  <wp:effectExtent l="0" t="0" r="0" b="2540"/>
                  <wp:docPr id="170906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67028" name=""/>
                          <pic:cNvPicPr/>
                        </pic:nvPicPr>
                        <pic:blipFill>
                          <a:blip r:embed="rId12"/>
                          <a:stretch>
                            <a:fillRect/>
                          </a:stretch>
                        </pic:blipFill>
                        <pic:spPr>
                          <a:xfrm>
                            <a:off x="0" y="0"/>
                            <a:ext cx="4839335" cy="2512060"/>
                          </a:xfrm>
                          <a:prstGeom prst="rect">
                            <a:avLst/>
                          </a:prstGeom>
                        </pic:spPr>
                      </pic:pic>
                    </a:graphicData>
                  </a:graphic>
                </wp:inline>
              </w:drawing>
            </w:r>
          </w:p>
        </w:tc>
      </w:tr>
      <w:tr w:rsidR="008464FF" w14:paraId="2BE73F08"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A4DD3B6" w14:textId="77777777" w:rsidR="008464FF" w:rsidRDefault="00BD2008">
            <w:pPr>
              <w:spacing w:after="0" w:line="330" w:lineRule="atLeast"/>
              <w:rPr>
                <w:rFonts w:ascii="FangSong" w:eastAsia="FangSong" w:hAnsi="FangSong" w:cs="PMingLiU"/>
                <w:b w:val="0"/>
                <w:iCs/>
                <w:color w:val="000000"/>
                <w:sz w:val="24"/>
                <w:szCs w:val="24"/>
              </w:rPr>
            </w:pPr>
            <w:r>
              <w:rPr>
                <w:rFonts w:ascii="FangSong" w:eastAsia="FangSong" w:hAnsi="FangSong" w:cs="PMingLiU"/>
                <w:bCs w:val="0"/>
                <w:iCs/>
                <w:color w:val="000000"/>
                <w:sz w:val="24"/>
                <w:szCs w:val="24"/>
              </w:rPr>
              <w:t>產品貨幣及規模</w:t>
            </w:r>
          </w:p>
          <w:p w14:paraId="26BFBE31" w14:textId="77777777" w:rsidR="008464FF" w:rsidRDefault="00BD2008">
            <w:pPr>
              <w:spacing w:after="0" w:line="330" w:lineRule="atLeast"/>
              <w:rPr>
                <w:rFonts w:ascii="FangSong" w:eastAsia="FangSong" w:hAnsi="FangSong"/>
                <w:b w:val="0"/>
                <w:bCs w:val="0"/>
                <w:color w:val="000000"/>
                <w:sz w:val="24"/>
                <w:szCs w:val="24"/>
              </w:rPr>
            </w:pPr>
            <w:r>
              <w:rPr>
                <w:rFonts w:ascii="FangSong" w:eastAsia="FangSong" w:hAnsi="FangSong" w:cs="PMingLiU"/>
                <w:bCs w:val="0"/>
                <w:iCs/>
                <w:color w:val="000000"/>
                <w:sz w:val="24"/>
                <w:szCs w:val="24"/>
              </w:rPr>
              <w:t>(非首次公開招股)</w:t>
            </w:r>
          </w:p>
        </w:tc>
        <w:tc>
          <w:tcPr>
            <w:tcW w:w="3720" w:type="pct"/>
            <w:tcBorders>
              <w:top w:val="single" w:sz="4" w:space="0" w:color="auto"/>
              <w:left w:val="single" w:sz="4" w:space="0" w:color="auto"/>
              <w:bottom w:val="single" w:sz="4" w:space="0" w:color="auto"/>
              <w:right w:val="single" w:sz="4" w:space="0" w:color="auto"/>
            </w:tcBorders>
          </w:tcPr>
          <w:p w14:paraId="24F025CF" w14:textId="184C475D" w:rsidR="008464FF" w:rsidRDefault="00BD2008">
            <w:pPr>
              <w:cnfStyle w:val="000000000000" w:firstRow="0" w:lastRow="0" w:firstColumn="0" w:lastColumn="0" w:oddVBand="0" w:evenVBand="0" w:oddHBand="0" w:evenHBand="0" w:firstRowFirstColumn="0" w:firstRowLastColumn="0" w:lastRowFirstColumn="0" w:lastRowLastColumn="0"/>
              <w:rPr>
                <w:lang w:eastAsia="zh-CN"/>
              </w:rPr>
            </w:pPr>
            <w:r>
              <w:rPr>
                <w:rFonts w:ascii="FangSong" w:hAnsi="FangSong"/>
                <w:sz w:val="24"/>
                <w:lang w:eastAsia="zh-CN"/>
              </w:rPr>
              <w:t xml:space="preserve">725 </w:t>
            </w:r>
            <w:r>
              <w:rPr>
                <w:rFonts w:ascii="FangSong" w:hAnsi="FangSong"/>
                <w:sz w:val="24"/>
                <w:lang w:eastAsia="zh-CN"/>
              </w:rPr>
              <w:t>百萬美元</w:t>
            </w:r>
          </w:p>
        </w:tc>
      </w:tr>
      <w:tr w:rsidR="008464FF" w14:paraId="6BCC7DC4"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169DEA9" w14:textId="77777777" w:rsidR="008464FF" w:rsidRDefault="00BD2008">
            <w:pPr>
              <w:spacing w:after="0" w:line="330" w:lineRule="atLeast"/>
              <w:rPr>
                <w:rFonts w:ascii="FangSong" w:eastAsia="FangSong" w:hAnsi="FangSong"/>
                <w:b w:val="0"/>
                <w:bCs w:val="0"/>
                <w:color w:val="000000"/>
                <w:sz w:val="24"/>
                <w:szCs w:val="24"/>
              </w:rPr>
            </w:pPr>
            <w:r>
              <w:rPr>
                <w:rFonts w:ascii="FangSong" w:eastAsia="FangSong" w:hAnsi="FangSong" w:cs="Arial"/>
                <w:sz w:val="24"/>
                <w:szCs w:val="24"/>
              </w:rPr>
              <w:t>ISIN 號碼</w:t>
            </w:r>
          </w:p>
        </w:tc>
        <w:tc>
          <w:tcPr>
            <w:tcW w:w="3720" w:type="pct"/>
            <w:tcBorders>
              <w:top w:val="single" w:sz="4" w:space="0" w:color="auto"/>
              <w:left w:val="single" w:sz="4" w:space="0" w:color="auto"/>
              <w:bottom w:val="single" w:sz="4" w:space="0" w:color="auto"/>
              <w:right w:val="single" w:sz="4" w:space="0" w:color="auto"/>
            </w:tcBorders>
          </w:tcPr>
          <w:p w14:paraId="358FE18C" w14:textId="5CD2EB21"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HK0000500634</w:t>
            </w:r>
            <w:r>
              <w:rPr>
                <w:rFonts w:ascii="FangSong" w:hAnsi="FangSong"/>
                <w:sz w:val="24"/>
              </w:rPr>
              <w:t>（</w:t>
            </w:r>
            <w:r>
              <w:rPr>
                <w:rFonts w:ascii="FangSong" w:hAnsi="FangSong"/>
                <w:sz w:val="24"/>
              </w:rPr>
              <w:t>P</w:t>
            </w:r>
            <w:r>
              <w:rPr>
                <w:rFonts w:ascii="FangSong" w:hAnsi="FangSong"/>
                <w:sz w:val="24"/>
              </w:rPr>
              <w:t>類</w:t>
            </w:r>
            <w:r>
              <w:rPr>
                <w:rFonts w:ascii="FangSong" w:hAnsi="FangSong"/>
                <w:sz w:val="24"/>
              </w:rPr>
              <w:t>-</w:t>
            </w:r>
            <w:r>
              <w:rPr>
                <w:rFonts w:ascii="FangSong" w:hAnsi="FangSong"/>
                <w:sz w:val="24"/>
              </w:rPr>
              <w:t>美元</w:t>
            </w:r>
            <w:r>
              <w:rPr>
                <w:rFonts w:ascii="FangSong" w:hAnsi="FangSong"/>
                <w:sz w:val="24"/>
              </w:rPr>
              <w:t>-</w:t>
            </w:r>
            <w:r>
              <w:rPr>
                <w:rFonts w:ascii="FangSong" w:hAnsi="FangSong"/>
                <w:sz w:val="24"/>
              </w:rPr>
              <w:t>分派）</w:t>
            </w:r>
          </w:p>
        </w:tc>
      </w:tr>
      <w:tr w:rsidR="008464FF" w14:paraId="503D9629"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F01B41A" w14:textId="77777777" w:rsidR="008464FF" w:rsidRDefault="00BD2008">
            <w:pPr>
              <w:spacing w:after="0" w:line="330" w:lineRule="atLeast"/>
              <w:rPr>
                <w:rFonts w:ascii="FangSong" w:eastAsia="FangSong" w:hAnsi="FangSong"/>
                <w:b w:val="0"/>
                <w:bCs w:val="0"/>
                <w:color w:val="000000"/>
                <w:sz w:val="24"/>
                <w:szCs w:val="24"/>
              </w:rPr>
            </w:pPr>
            <w:r>
              <w:rPr>
                <w:rFonts w:ascii="FangSong" w:eastAsia="FangSong" w:hAnsi="FangSong" w:cs="Arial" w:hint="eastAsia"/>
                <w:sz w:val="24"/>
                <w:szCs w:val="24"/>
              </w:rPr>
              <w:lastRenderedPageBreak/>
              <w:t>派息政策</w:t>
            </w:r>
          </w:p>
        </w:tc>
        <w:tc>
          <w:tcPr>
            <w:tcW w:w="3720" w:type="pct"/>
            <w:tcBorders>
              <w:top w:val="single" w:sz="4" w:space="0" w:color="auto"/>
              <w:left w:val="single" w:sz="4" w:space="0" w:color="auto"/>
              <w:bottom w:val="single" w:sz="4" w:space="0" w:color="auto"/>
              <w:right w:val="single" w:sz="4" w:space="0" w:color="auto"/>
            </w:tcBorders>
          </w:tcPr>
          <w:p w14:paraId="1F671281" w14:textId="77777777"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分派</w:t>
            </w:r>
          </w:p>
        </w:tc>
      </w:tr>
      <w:tr w:rsidR="008464FF" w14:paraId="5B9E09A4" w14:textId="77777777" w:rsidTr="008464FF">
        <w:trPr>
          <w:trHeight w:val="483"/>
        </w:trPr>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5B67EAE" w14:textId="77777777" w:rsidR="008464FF" w:rsidRDefault="00BD2008">
            <w:pPr>
              <w:spacing w:after="0" w:line="330" w:lineRule="atLeast"/>
              <w:rPr>
                <w:rFonts w:ascii="FangSong" w:eastAsia="FangSong" w:hAnsi="FangSong" w:cs="PMingLiU"/>
                <w:b w:val="0"/>
                <w:bCs w:val="0"/>
                <w:color w:val="000000"/>
                <w:sz w:val="24"/>
                <w:szCs w:val="24"/>
              </w:rPr>
            </w:pPr>
            <w:r>
              <w:rPr>
                <w:rFonts w:ascii="FangSong" w:eastAsia="FangSong" w:hAnsi="FangSong" w:cs="Arial" w:hint="eastAsia"/>
                <w:sz w:val="24"/>
                <w:szCs w:val="24"/>
              </w:rPr>
              <w:t>財政年度終結日</w:t>
            </w:r>
          </w:p>
        </w:tc>
        <w:tc>
          <w:tcPr>
            <w:tcW w:w="3720" w:type="pct"/>
            <w:tcBorders>
              <w:top w:val="single" w:sz="4" w:space="0" w:color="auto"/>
              <w:left w:val="single" w:sz="4" w:space="0" w:color="auto"/>
              <w:bottom w:val="single" w:sz="4" w:space="0" w:color="auto"/>
              <w:right w:val="single" w:sz="4" w:space="0" w:color="auto"/>
            </w:tcBorders>
          </w:tcPr>
          <w:p w14:paraId="2526C69C" w14:textId="77777777"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 xml:space="preserve">12 </w:t>
            </w:r>
            <w:r>
              <w:rPr>
                <w:rFonts w:ascii="FangSong" w:hAnsi="FangSong"/>
                <w:sz w:val="24"/>
              </w:rPr>
              <w:t>月</w:t>
            </w:r>
            <w:r>
              <w:rPr>
                <w:rFonts w:ascii="FangSong" w:hAnsi="FangSong"/>
                <w:sz w:val="24"/>
              </w:rPr>
              <w:t xml:space="preserve"> 31 </w:t>
            </w:r>
            <w:r>
              <w:rPr>
                <w:rFonts w:ascii="FangSong" w:hAnsi="FangSong"/>
                <w:sz w:val="24"/>
              </w:rPr>
              <w:t>日</w:t>
            </w:r>
          </w:p>
        </w:tc>
      </w:tr>
      <w:tr w:rsidR="008464FF" w14:paraId="69124A9E"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8E4B08B" w14:textId="77777777" w:rsidR="008464FF" w:rsidRDefault="00BD2008">
            <w:pPr>
              <w:spacing w:after="0" w:line="330" w:lineRule="atLeast"/>
              <w:rPr>
                <w:rFonts w:ascii="FangSong" w:eastAsia="FangSong" w:hAnsi="FangSong"/>
                <w:b w:val="0"/>
                <w:bCs w:val="0"/>
                <w:color w:val="000000"/>
                <w:sz w:val="24"/>
                <w:szCs w:val="24"/>
              </w:rPr>
            </w:pPr>
            <w:r>
              <w:rPr>
                <w:rFonts w:ascii="FangSong" w:eastAsia="FangSong" w:hAnsi="FangSong" w:cs="Arial" w:hint="eastAsia"/>
                <w:sz w:val="24"/>
                <w:szCs w:val="24"/>
              </w:rPr>
              <w:t>成立日期</w:t>
            </w:r>
          </w:p>
        </w:tc>
        <w:tc>
          <w:tcPr>
            <w:tcW w:w="3720" w:type="pct"/>
            <w:tcBorders>
              <w:top w:val="single" w:sz="4" w:space="0" w:color="auto"/>
              <w:left w:val="single" w:sz="4" w:space="0" w:color="auto"/>
              <w:bottom w:val="single" w:sz="4" w:space="0" w:color="auto"/>
              <w:right w:val="single" w:sz="4" w:space="0" w:color="auto"/>
            </w:tcBorders>
          </w:tcPr>
          <w:p w14:paraId="5855A7C6" w14:textId="2DCB022A" w:rsidR="008464FF" w:rsidRDefault="002E73D8">
            <w:pPr>
              <w:cnfStyle w:val="000000000000" w:firstRow="0" w:lastRow="0" w:firstColumn="0" w:lastColumn="0" w:oddVBand="0" w:evenVBand="0" w:oddHBand="0" w:evenHBand="0" w:firstRowFirstColumn="0" w:firstRowLastColumn="0" w:lastRowFirstColumn="0" w:lastRowLastColumn="0"/>
            </w:pPr>
            <w:r w:rsidRPr="002E73D8">
              <w:rPr>
                <w:rFonts w:ascii="FangSong" w:hAnsi="FangSong" w:hint="eastAsia"/>
                <w:sz w:val="24"/>
              </w:rPr>
              <w:t>2019</w:t>
            </w:r>
            <w:r w:rsidRPr="002E73D8">
              <w:rPr>
                <w:rFonts w:ascii="FangSong" w:hAnsi="FangSong" w:hint="eastAsia"/>
                <w:sz w:val="24"/>
              </w:rPr>
              <w:t>年</w:t>
            </w:r>
            <w:r w:rsidRPr="002E73D8">
              <w:rPr>
                <w:rFonts w:ascii="FangSong" w:hAnsi="FangSong" w:hint="eastAsia"/>
                <w:sz w:val="24"/>
              </w:rPr>
              <w:t>5</w:t>
            </w:r>
            <w:r w:rsidRPr="002E73D8">
              <w:rPr>
                <w:rFonts w:ascii="FangSong" w:hAnsi="FangSong" w:hint="eastAsia"/>
                <w:sz w:val="24"/>
              </w:rPr>
              <w:t>月</w:t>
            </w:r>
            <w:r w:rsidRPr="002E73D8">
              <w:rPr>
                <w:rFonts w:ascii="FangSong" w:hAnsi="FangSong" w:hint="eastAsia"/>
                <w:sz w:val="24"/>
              </w:rPr>
              <w:t>10</w:t>
            </w:r>
            <w:r w:rsidRPr="002E73D8">
              <w:rPr>
                <w:rFonts w:ascii="FangSong" w:hAnsi="FangSong" w:hint="eastAsia"/>
                <w:sz w:val="24"/>
              </w:rPr>
              <w:t>日</w:t>
            </w:r>
          </w:p>
        </w:tc>
      </w:tr>
      <w:tr w:rsidR="008464FF" w14:paraId="79D92D8D"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DC57A9E" w14:textId="77777777" w:rsidR="008464FF" w:rsidRDefault="00BD2008">
            <w:pPr>
              <w:spacing w:after="0" w:line="330" w:lineRule="atLeast"/>
              <w:rPr>
                <w:rFonts w:ascii="FangSong" w:eastAsia="FangSong" w:hAnsi="FangSong" w:cs="Arial"/>
                <w:b w:val="0"/>
                <w:bCs w:val="0"/>
                <w:sz w:val="24"/>
                <w:szCs w:val="24"/>
              </w:rPr>
            </w:pPr>
            <w:r>
              <w:rPr>
                <w:rFonts w:ascii="FangSong" w:eastAsia="FangSong" w:hAnsi="FangSong" w:cs="Arial"/>
                <w:sz w:val="24"/>
                <w:szCs w:val="24"/>
              </w:rPr>
              <w:t>受限制的投資者</w:t>
            </w:r>
          </w:p>
        </w:tc>
        <w:tc>
          <w:tcPr>
            <w:tcW w:w="3720" w:type="pct"/>
            <w:tcBorders>
              <w:top w:val="single" w:sz="4" w:space="0" w:color="auto"/>
              <w:left w:val="single" w:sz="4" w:space="0" w:color="auto"/>
              <w:bottom w:val="single" w:sz="4" w:space="0" w:color="auto"/>
              <w:right w:val="single" w:sz="4" w:space="0" w:color="auto"/>
            </w:tcBorders>
            <w:shd w:val="clear" w:color="auto" w:fill="FFFFFF" w:themeFill="background1"/>
          </w:tcPr>
          <w:p w14:paraId="1BFDFCD5" w14:textId="77262A8B" w:rsidR="008464FF" w:rsidRDefault="00BD2008">
            <w:pPr>
              <w:spacing w:after="0" w:line="330" w:lineRule="atLeast"/>
              <w:cnfStyle w:val="000000000000" w:firstRow="0" w:lastRow="0" w:firstColumn="0" w:lastColumn="0" w:oddVBand="0" w:evenVBand="0" w:oddHBand="0" w:evenHBand="0" w:firstRowFirstColumn="0" w:firstRowLastColumn="0" w:lastRowFirstColumn="0" w:lastRowLastColumn="0"/>
              <w:rPr>
                <w:rFonts w:ascii="FangSong" w:eastAsia="FangSong" w:hAnsi="FangSong" w:cs="Arial"/>
                <w:b/>
                <w:sz w:val="24"/>
                <w:szCs w:val="24"/>
                <w:lang w:eastAsia="zh-CN"/>
              </w:rPr>
            </w:pPr>
            <w:r w:rsidRPr="00BD2008">
              <w:rPr>
                <w:rFonts w:ascii="FangSong" w:eastAsia="PMingLiU" w:hAnsi="FangSong" w:cs="Arial" w:hint="eastAsia"/>
                <w:b/>
                <w:sz w:val="24"/>
                <w:szCs w:val="24"/>
              </w:rPr>
              <w:t>詳見</w:t>
            </w:r>
            <w:r w:rsidRPr="00BD2008">
              <w:rPr>
                <w:rFonts w:ascii="FangSong" w:eastAsia="PMingLiU" w:hAnsi="FangSong" w:cs="Arial"/>
                <w:b/>
                <w:sz w:val="24"/>
                <w:szCs w:val="24"/>
              </w:rPr>
              <w:t>PPM</w:t>
            </w:r>
          </w:p>
        </w:tc>
      </w:tr>
      <w:tr w:rsidR="008464FF" w14:paraId="6E2830EA"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BB56094" w14:textId="77777777" w:rsidR="008464FF" w:rsidRDefault="00BD2008">
            <w:pPr>
              <w:spacing w:after="0" w:line="330" w:lineRule="atLeast"/>
              <w:rPr>
                <w:rFonts w:ascii="FangSong" w:eastAsia="FangSong" w:hAnsi="FangSong" w:cs="Arial"/>
                <w:b w:val="0"/>
                <w:bCs w:val="0"/>
                <w:sz w:val="24"/>
                <w:szCs w:val="24"/>
              </w:rPr>
            </w:pPr>
            <w:r>
              <w:rPr>
                <w:rFonts w:ascii="FangSong" w:eastAsia="FangSong" w:hAnsi="FangSong" w:cs="Arial"/>
                <w:sz w:val="24"/>
                <w:szCs w:val="24"/>
              </w:rPr>
              <w:t>受限制的</w:t>
            </w:r>
            <w:r>
              <w:rPr>
                <w:rFonts w:ascii="FangSong" w:eastAsia="FangSong" w:hAnsi="FangSong" w:cs="Arial" w:hint="eastAsia"/>
                <w:sz w:val="24"/>
                <w:szCs w:val="24"/>
              </w:rPr>
              <w:t>地區/國家</w:t>
            </w:r>
          </w:p>
        </w:tc>
        <w:tc>
          <w:tcPr>
            <w:tcW w:w="3720" w:type="pct"/>
            <w:tcBorders>
              <w:top w:val="single" w:sz="4" w:space="0" w:color="auto"/>
              <w:left w:val="single" w:sz="4" w:space="0" w:color="auto"/>
              <w:bottom w:val="single" w:sz="4" w:space="0" w:color="auto"/>
              <w:right w:val="single" w:sz="4" w:space="0" w:color="auto"/>
            </w:tcBorders>
            <w:shd w:val="clear" w:color="auto" w:fill="FFFFFF" w:themeFill="background1"/>
          </w:tcPr>
          <w:p w14:paraId="1846C60A" w14:textId="5D8142FF" w:rsidR="008464FF" w:rsidRDefault="00BD2008">
            <w:pPr>
              <w:spacing w:after="0" w:line="330" w:lineRule="atLeast"/>
              <w:cnfStyle w:val="000000000000" w:firstRow="0" w:lastRow="0" w:firstColumn="0" w:lastColumn="0" w:oddVBand="0" w:evenVBand="0" w:oddHBand="0" w:evenHBand="0" w:firstRowFirstColumn="0" w:firstRowLastColumn="0" w:lastRowFirstColumn="0" w:lastRowLastColumn="0"/>
              <w:rPr>
                <w:rFonts w:ascii="FangSong" w:eastAsia="FangSong" w:hAnsi="FangSong" w:cs="Arial"/>
                <w:sz w:val="24"/>
                <w:szCs w:val="24"/>
              </w:rPr>
            </w:pPr>
            <w:r w:rsidRPr="00BD2008">
              <w:rPr>
                <w:rFonts w:ascii="FangSong" w:eastAsia="PMingLiU" w:hAnsi="FangSong" w:cs="Arial" w:hint="eastAsia"/>
                <w:b/>
                <w:sz w:val="24"/>
                <w:szCs w:val="24"/>
              </w:rPr>
              <w:t>詳見</w:t>
            </w:r>
            <w:r w:rsidRPr="00BD2008">
              <w:rPr>
                <w:rFonts w:ascii="FangSong" w:eastAsia="PMingLiU" w:hAnsi="FangSong" w:cs="Arial"/>
                <w:b/>
                <w:sz w:val="24"/>
                <w:szCs w:val="24"/>
              </w:rPr>
              <w:t>PPM</w:t>
            </w:r>
          </w:p>
        </w:tc>
      </w:tr>
      <w:tr w:rsidR="008464FF" w14:paraId="28D0BBCE"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6E9858F" w14:textId="77777777" w:rsidR="008464FF" w:rsidRDefault="00BD2008">
            <w:pPr>
              <w:spacing w:after="0" w:line="330" w:lineRule="atLeast"/>
              <w:rPr>
                <w:rFonts w:ascii="FangSong" w:eastAsia="FangSong" w:hAnsi="FangSong" w:cs="Arial"/>
                <w:b w:val="0"/>
                <w:bCs w:val="0"/>
                <w:sz w:val="24"/>
                <w:szCs w:val="24"/>
              </w:rPr>
            </w:pPr>
            <w:r>
              <w:rPr>
                <w:rFonts w:ascii="FangSong" w:eastAsia="FangSong" w:hAnsi="FangSong" w:cs="Arial"/>
                <w:sz w:val="24"/>
                <w:szCs w:val="24"/>
              </w:rPr>
              <w:t>證監會認可</w:t>
            </w:r>
            <w:r>
              <w:rPr>
                <w:rFonts w:ascii="FangSong" w:eastAsia="FangSong" w:hAnsi="FangSong" w:cs="Arial" w:hint="eastAsia"/>
                <w:sz w:val="24"/>
                <w:szCs w:val="24"/>
              </w:rPr>
              <w:t>基金</w:t>
            </w:r>
          </w:p>
        </w:tc>
        <w:tc>
          <w:tcPr>
            <w:tcW w:w="3720" w:type="pct"/>
            <w:tcBorders>
              <w:top w:val="single" w:sz="4" w:space="0" w:color="auto"/>
              <w:left w:val="single" w:sz="4" w:space="0" w:color="auto"/>
              <w:bottom w:val="single" w:sz="4" w:space="0" w:color="auto"/>
              <w:right w:val="single" w:sz="4" w:space="0" w:color="auto"/>
            </w:tcBorders>
            <w:shd w:val="clear" w:color="auto" w:fill="FFFFFF" w:themeFill="background1"/>
          </w:tcPr>
          <w:p w14:paraId="17B57EDE" w14:textId="77777777" w:rsidR="008464FF" w:rsidRDefault="00BD2008">
            <w:pPr>
              <w:spacing w:after="0" w:line="330" w:lineRule="atLeast"/>
              <w:cnfStyle w:val="000000000000" w:firstRow="0" w:lastRow="0" w:firstColumn="0" w:lastColumn="0" w:oddVBand="0" w:evenVBand="0" w:oddHBand="0" w:evenHBand="0" w:firstRowFirstColumn="0" w:firstRowLastColumn="0" w:lastRowFirstColumn="0" w:lastRowLastColumn="0"/>
              <w:rPr>
                <w:rFonts w:ascii="FangSong" w:eastAsia="FangSong" w:hAnsi="FangSong" w:cs="Arial"/>
                <w:b/>
                <w:sz w:val="24"/>
                <w:szCs w:val="24"/>
              </w:rPr>
            </w:pPr>
            <w:r>
              <w:rPr>
                <w:rFonts w:ascii="FangSong" w:eastAsia="FangSong" w:hAnsi="FangSong" w:cs="Arial" w:hint="eastAsia"/>
                <w:noProof/>
                <w:sz w:val="24"/>
                <w:szCs w:val="24"/>
              </w:rPr>
              <mc:AlternateContent>
                <mc:Choice Requires="wps">
                  <w:drawing>
                    <wp:anchor distT="0" distB="0" distL="114300" distR="114300" simplePos="0" relativeHeight="251659264" behindDoc="0" locked="0" layoutInCell="1" allowOverlap="1" wp14:anchorId="0EC32BD7" wp14:editId="70759CDC">
                      <wp:simplePos x="0" y="0"/>
                      <wp:positionH relativeFrom="column">
                        <wp:posOffset>3348990</wp:posOffset>
                      </wp:positionH>
                      <wp:positionV relativeFrom="paragraph">
                        <wp:posOffset>9497695</wp:posOffset>
                      </wp:positionV>
                      <wp:extent cx="114300" cy="114300"/>
                      <wp:effectExtent l="8255" t="6350" r="10795" b="127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2" o:spid="_x0000_s1026" o:spt="1" style="position:absolute;left:0pt;margin-left:263.7pt;margin-top:747.85pt;height:9pt;width:9pt;z-index:251659264;mso-width-relative:page;mso-height-relative:page;" fillcolor="#FFFFFF" filled="t" stroked="t" coordsize="21600,21600" o:gfxdata="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Eq/zSdoAAAANAQAADwAAAAAAAAABACAAAAAiAAAAZHJzL2Rvd25yZXYueG1sUEsBAhQAFAAAAAgA&#10;h07iQEBL/PojAgAAcQQAAA4AAAAAAAAAAQAgAAAAKQEAAGRycy9lMm9Eb2MueG1sUEsFBgAAAAAG&#10;AAYAWQEAAL4FAAAAAA==&#10;">
                      <v:fill on="t" focussize="0,0"/>
                      <v:stroke color="#000000" miterlimit="8" joinstyle="miter"/>
                      <v:imagedata o:title=""/>
                      <o:lock v:ext="edit" aspectratio="f"/>
                    </v:rect>
                  </w:pict>
                </mc:Fallback>
              </mc:AlternateContent>
            </w:r>
            <w:r>
              <w:rPr>
                <w:rFonts w:ascii="FangSong" w:eastAsia="FangSong" w:hAnsi="FangSong" w:cs="Arial" w:hint="eastAsia"/>
                <w:sz w:val="24"/>
                <w:szCs w:val="24"/>
              </w:rPr>
              <w:t xml:space="preserve">   </w:t>
            </w:r>
            <w:r>
              <w:rPr>
                <w:rFonts w:ascii="FangSong" w:eastAsia="FangSong" w:hAnsi="FangSong" w:hint="eastAsia"/>
                <w:sz w:val="24"/>
                <w:lang w:eastAsia="zh-CN"/>
              </w:rPr>
              <w:t>☑</w:t>
            </w:r>
            <w:r>
              <w:rPr>
                <w:rFonts w:ascii="FangSong" w:eastAsia="FangSong" w:hAnsi="FangSong"/>
                <w:sz w:val="24"/>
              </w:rPr>
              <w:t xml:space="preserve"> </w:t>
            </w:r>
            <w:r>
              <w:rPr>
                <w:rFonts w:ascii="FangSong" w:eastAsia="FangSong" w:hAnsi="FangSong" w:cs="Arial" w:hint="eastAsia"/>
                <w:sz w:val="24"/>
                <w:szCs w:val="24"/>
              </w:rPr>
              <w:t xml:space="preserve">認可    </w:t>
            </w:r>
            <w:r>
              <w:rPr>
                <w:rFonts w:ascii="FangSong" w:eastAsia="FangSong" w:hAnsi="FangSong"/>
                <w:sz w:val="24"/>
              </w:rPr>
              <w:t xml:space="preserve">□ </w:t>
            </w:r>
            <w:r>
              <w:rPr>
                <w:rFonts w:ascii="FangSong" w:eastAsia="FangSong" w:hAnsi="FangSong" w:cs="Arial" w:hint="eastAsia"/>
                <w:sz w:val="24"/>
                <w:szCs w:val="24"/>
              </w:rPr>
              <w:t>非認可</w:t>
            </w:r>
          </w:p>
        </w:tc>
      </w:tr>
      <w:tr w:rsidR="008464FF" w14:paraId="04EC3BF1"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AC1874E" w14:textId="77777777" w:rsidR="008464FF" w:rsidRDefault="00BD2008">
            <w:pPr>
              <w:spacing w:after="0" w:line="330" w:lineRule="atLeast"/>
              <w:rPr>
                <w:rFonts w:ascii="FangSong" w:eastAsia="FangSong" w:hAnsi="FangSong" w:cs="Arial"/>
                <w:b w:val="0"/>
                <w:bCs w:val="0"/>
                <w:sz w:val="24"/>
                <w:szCs w:val="24"/>
              </w:rPr>
            </w:pPr>
            <w:r>
              <w:rPr>
                <w:rFonts w:ascii="FangSong" w:eastAsia="FangSong" w:hAnsi="FangSong" w:cs="Arial" w:hint="eastAsia"/>
                <w:sz w:val="24"/>
                <w:szCs w:val="24"/>
              </w:rPr>
              <w:t>交易頻率</w:t>
            </w:r>
          </w:p>
        </w:tc>
        <w:tc>
          <w:tcPr>
            <w:tcW w:w="3720" w:type="pct"/>
            <w:tcBorders>
              <w:top w:val="single" w:sz="4" w:space="0" w:color="auto"/>
              <w:left w:val="single" w:sz="4" w:space="0" w:color="auto"/>
              <w:bottom w:val="single" w:sz="4" w:space="0" w:color="auto"/>
              <w:right w:val="single" w:sz="4" w:space="0" w:color="auto"/>
            </w:tcBorders>
            <w:shd w:val="clear" w:color="auto" w:fill="FFFFFF" w:themeFill="background1"/>
          </w:tcPr>
          <w:p w14:paraId="1D70A164" w14:textId="77777777"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每日</w:t>
            </w:r>
          </w:p>
        </w:tc>
      </w:tr>
      <w:tr w:rsidR="008464FF" w14:paraId="21CC54A9"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5C45262" w14:textId="77777777" w:rsidR="008464FF" w:rsidRDefault="00BD2008">
            <w:pPr>
              <w:spacing w:after="0" w:line="330" w:lineRule="atLeast"/>
              <w:rPr>
                <w:rFonts w:ascii="FangSong" w:eastAsia="FangSong" w:hAnsi="FangSong" w:cs="Arial"/>
                <w:b w:val="0"/>
                <w:bCs w:val="0"/>
                <w:sz w:val="24"/>
                <w:szCs w:val="24"/>
              </w:rPr>
            </w:pPr>
            <w:r>
              <w:rPr>
                <w:rFonts w:ascii="FangSong" w:eastAsia="FangSong" w:hAnsi="FangSong" w:cs="Arial" w:hint="eastAsia"/>
                <w:sz w:val="24"/>
                <w:szCs w:val="24"/>
              </w:rPr>
              <w:t>總資產值</w:t>
            </w:r>
          </w:p>
        </w:tc>
        <w:tc>
          <w:tcPr>
            <w:tcW w:w="3720" w:type="pct"/>
            <w:tcBorders>
              <w:top w:val="single" w:sz="4" w:space="0" w:color="auto"/>
              <w:left w:val="single" w:sz="4" w:space="0" w:color="auto"/>
              <w:bottom w:val="single" w:sz="4" w:space="0" w:color="auto"/>
              <w:right w:val="single" w:sz="4" w:space="0" w:color="auto"/>
            </w:tcBorders>
            <w:shd w:val="clear" w:color="auto" w:fill="FFFFFF" w:themeFill="background1"/>
          </w:tcPr>
          <w:p w14:paraId="07995E89" w14:textId="780F1507"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 xml:space="preserve">725 </w:t>
            </w:r>
            <w:r>
              <w:rPr>
                <w:rFonts w:ascii="FangSong" w:hAnsi="FangSong"/>
                <w:sz w:val="24"/>
              </w:rPr>
              <w:t>百萬美元</w:t>
            </w:r>
          </w:p>
        </w:tc>
      </w:tr>
      <w:tr w:rsidR="008464FF" w14:paraId="1BFCB7C5" w14:textId="77777777" w:rsidTr="008464FF">
        <w:trPr>
          <w:trHeight w:val="467"/>
        </w:trPr>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6D89549" w14:textId="77777777" w:rsidR="008464FF" w:rsidRDefault="00BD2008">
            <w:pPr>
              <w:spacing w:after="0" w:line="330" w:lineRule="atLeast"/>
              <w:rPr>
                <w:rFonts w:ascii="FangSong" w:eastAsia="FangSong" w:hAnsi="FangSong" w:cs="Calibri"/>
                <w:b w:val="0"/>
                <w:bCs w:val="0"/>
                <w:sz w:val="24"/>
                <w:szCs w:val="24"/>
                <w:lang w:eastAsia="zh-CN"/>
              </w:rPr>
            </w:pPr>
            <w:r>
              <w:rPr>
                <w:rFonts w:ascii="FangSong" w:eastAsia="FangSong" w:hAnsi="FangSong" w:cs="Calibri"/>
                <w:sz w:val="24"/>
                <w:szCs w:val="24"/>
                <w:lang w:eastAsia="zh-CN"/>
              </w:rPr>
              <w:t>基金近5年累计最大回撤</w:t>
            </w:r>
          </w:p>
        </w:tc>
        <w:tc>
          <w:tcPr>
            <w:tcW w:w="3720" w:type="pct"/>
            <w:tcBorders>
              <w:top w:val="single" w:sz="4" w:space="0" w:color="auto"/>
              <w:left w:val="single" w:sz="4" w:space="0" w:color="auto"/>
              <w:right w:val="single" w:sz="4" w:space="0" w:color="auto"/>
            </w:tcBorders>
            <w:shd w:val="clear" w:color="auto" w:fill="FFFFFF" w:themeFill="background1"/>
          </w:tcPr>
          <w:p w14:paraId="2DE3ECB5" w14:textId="44BF05C1" w:rsidR="008464FF" w:rsidRDefault="008D6498">
            <w:pPr>
              <w:cnfStyle w:val="000000000000" w:firstRow="0" w:lastRow="0" w:firstColumn="0" w:lastColumn="0" w:oddVBand="0" w:evenVBand="0" w:oddHBand="0" w:evenHBand="0" w:firstRowFirstColumn="0" w:firstRowLastColumn="0" w:lastRowFirstColumn="0" w:lastRowLastColumn="0"/>
            </w:pPr>
            <w:r w:rsidRPr="00E9688B">
              <w:rPr>
                <w:rFonts w:ascii="FangSong" w:eastAsia="PMingLiU" w:hAnsi="FangSong" w:hint="eastAsia"/>
                <w:sz w:val="24"/>
              </w:rPr>
              <w:t>無</w:t>
            </w:r>
          </w:p>
        </w:tc>
      </w:tr>
      <w:tr w:rsidR="008464FF" w14:paraId="7BE89D72"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922B624" w14:textId="77777777" w:rsidR="008464FF" w:rsidRDefault="00BD2008">
            <w:pPr>
              <w:spacing w:after="0" w:line="330" w:lineRule="atLeast"/>
              <w:rPr>
                <w:rFonts w:ascii="FangSong" w:eastAsia="FangSong" w:hAnsi="FangSong" w:cs="Arial"/>
                <w:b w:val="0"/>
                <w:bCs w:val="0"/>
                <w:sz w:val="24"/>
                <w:szCs w:val="24"/>
              </w:rPr>
            </w:pPr>
            <w:r>
              <w:rPr>
                <w:rFonts w:ascii="FangSong" w:eastAsia="FangSong" w:hAnsi="FangSong" w:cs="Arial" w:hint="eastAsia"/>
                <w:sz w:val="24"/>
                <w:szCs w:val="24"/>
              </w:rPr>
              <w:t>最低投資額</w:t>
            </w:r>
          </w:p>
        </w:tc>
        <w:tc>
          <w:tcPr>
            <w:tcW w:w="3720" w:type="pct"/>
            <w:tcBorders>
              <w:top w:val="single" w:sz="4" w:space="0" w:color="auto"/>
              <w:left w:val="single" w:sz="4" w:space="0" w:color="auto"/>
              <w:bottom w:val="single" w:sz="4" w:space="0" w:color="auto"/>
              <w:right w:val="single" w:sz="4" w:space="0" w:color="auto"/>
            </w:tcBorders>
            <w:shd w:val="clear" w:color="auto" w:fill="FFFFFF" w:themeFill="background1"/>
          </w:tcPr>
          <w:p w14:paraId="53B2580C" w14:textId="5C1BB785" w:rsidR="008464FF" w:rsidRDefault="008D6498">
            <w:pPr>
              <w:cnfStyle w:val="000000000000" w:firstRow="0" w:lastRow="0" w:firstColumn="0" w:lastColumn="0" w:oddVBand="0" w:evenVBand="0" w:oddHBand="0" w:evenHBand="0" w:firstRowFirstColumn="0" w:firstRowLastColumn="0" w:lastRowFirstColumn="0" w:lastRowLastColumn="0"/>
            </w:pPr>
            <w:r w:rsidRPr="008D6498">
              <w:rPr>
                <w:rFonts w:ascii="FangSong" w:hAnsi="FangSong" w:hint="eastAsia"/>
                <w:sz w:val="24"/>
              </w:rPr>
              <w:t>1</w:t>
            </w:r>
            <w:r w:rsidRPr="008D6498">
              <w:rPr>
                <w:rFonts w:ascii="FangSong" w:hAnsi="FangSong" w:hint="eastAsia"/>
                <w:sz w:val="24"/>
              </w:rPr>
              <w:t>美元</w:t>
            </w:r>
          </w:p>
        </w:tc>
      </w:tr>
      <w:tr w:rsidR="008464FF" w14:paraId="245E0892" w14:textId="77777777" w:rsidTr="008464FF">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5ED1D7F" w14:textId="77777777" w:rsidR="008464FF" w:rsidRDefault="00BD2008">
            <w:pPr>
              <w:spacing w:after="0" w:line="330" w:lineRule="atLeast"/>
              <w:rPr>
                <w:rFonts w:ascii="FangSong" w:eastAsia="FangSong" w:hAnsi="FangSong" w:cs="Arial"/>
                <w:b w:val="0"/>
                <w:bCs w:val="0"/>
                <w:sz w:val="24"/>
                <w:szCs w:val="24"/>
                <w:lang w:eastAsia="zh-CN"/>
              </w:rPr>
            </w:pPr>
            <w:r>
              <w:rPr>
                <w:rFonts w:ascii="FangSong" w:eastAsia="FangSong" w:hAnsi="FangSong" w:cs="Arial" w:hint="eastAsia"/>
                <w:sz w:val="24"/>
                <w:szCs w:val="24"/>
              </w:rPr>
              <w:t>基金</w:t>
            </w:r>
            <w:r>
              <w:rPr>
                <w:rFonts w:ascii="FangSong" w:eastAsia="FangSong" w:hAnsi="FangSong" w:cs="Arial" w:hint="eastAsia"/>
                <w:sz w:val="24"/>
                <w:szCs w:val="24"/>
                <w:lang w:eastAsia="zh-CN"/>
              </w:rPr>
              <w:t>鎖定</w:t>
            </w:r>
            <w:r>
              <w:rPr>
                <w:rFonts w:ascii="FangSong" w:eastAsia="FangSong" w:hAnsi="FangSong" w:cs="Arial" w:hint="eastAsia"/>
                <w:sz w:val="24"/>
                <w:szCs w:val="24"/>
              </w:rPr>
              <w:t>期</w:t>
            </w:r>
          </w:p>
        </w:tc>
        <w:tc>
          <w:tcPr>
            <w:tcW w:w="3720" w:type="pct"/>
            <w:tcBorders>
              <w:top w:val="single" w:sz="4" w:space="0" w:color="auto"/>
              <w:left w:val="single" w:sz="4" w:space="0" w:color="auto"/>
              <w:bottom w:val="single" w:sz="4" w:space="0" w:color="auto"/>
              <w:right w:val="single" w:sz="4" w:space="0" w:color="auto"/>
            </w:tcBorders>
            <w:shd w:val="clear" w:color="auto" w:fill="FFFFFF" w:themeFill="background1"/>
          </w:tcPr>
          <w:p w14:paraId="14914703" w14:textId="77777777" w:rsidR="008464FF" w:rsidRDefault="00BD2008">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無</w:t>
            </w:r>
          </w:p>
        </w:tc>
      </w:tr>
    </w:tbl>
    <w:p w14:paraId="467B91A5" w14:textId="77777777" w:rsidR="008464FF" w:rsidRDefault="008464FF">
      <w:pPr>
        <w:pStyle w:val="aff1"/>
        <w:shd w:val="clear" w:color="auto" w:fill="FFFFFF"/>
        <w:spacing w:before="0" w:after="0" w:line="240" w:lineRule="auto"/>
        <w:ind w:leftChars="0" w:left="0" w:rightChars="-71" w:right="-142"/>
        <w:rPr>
          <w:rFonts w:ascii="FangSong" w:eastAsia="FangSong" w:hAnsi="FangSong" w:cs="Times New Roman"/>
          <w:b/>
          <w:color w:val="000000"/>
          <w:sz w:val="24"/>
          <w:szCs w:val="24"/>
          <w:shd w:val="pct10" w:color="auto" w:fill="FFFFFF"/>
        </w:rPr>
      </w:pPr>
    </w:p>
    <w:p w14:paraId="0D8F4129" w14:textId="77777777" w:rsidR="008464FF" w:rsidRDefault="00BD2008">
      <w:pPr>
        <w:pStyle w:val="aff1"/>
        <w:numPr>
          <w:ilvl w:val="0"/>
          <w:numId w:val="1"/>
        </w:numPr>
        <w:shd w:val="clear" w:color="auto" w:fill="FFFFFF"/>
        <w:spacing w:before="0" w:after="0" w:line="240" w:lineRule="auto"/>
        <w:ind w:leftChars="0" w:left="270" w:rightChars="-71" w:right="-142"/>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t>收費結構</w:t>
      </w:r>
    </w:p>
    <w:tbl>
      <w:tblPr>
        <w:tblStyle w:val="af6"/>
        <w:tblW w:w="10728" w:type="dxa"/>
        <w:tblLook w:val="04A0" w:firstRow="1" w:lastRow="0" w:firstColumn="1" w:lastColumn="0" w:noHBand="0" w:noVBand="1"/>
      </w:tblPr>
      <w:tblGrid>
        <w:gridCol w:w="1237"/>
        <w:gridCol w:w="1236"/>
        <w:gridCol w:w="1325"/>
        <w:gridCol w:w="1350"/>
        <w:gridCol w:w="1440"/>
        <w:gridCol w:w="1440"/>
        <w:gridCol w:w="1350"/>
        <w:gridCol w:w="1350"/>
      </w:tblGrid>
      <w:tr w:rsidR="008464FF" w14:paraId="756AB4B5" w14:textId="77777777">
        <w:tc>
          <w:tcPr>
            <w:tcW w:w="1237" w:type="dxa"/>
            <w:shd w:val="clear" w:color="auto" w:fill="A6A6A6" w:themeFill="background1" w:themeFillShade="A6"/>
          </w:tcPr>
          <w:p w14:paraId="4BC369AE" w14:textId="77777777" w:rsidR="008464FF" w:rsidRDefault="00BD2008">
            <w:pPr>
              <w:spacing w:after="0" w:line="330" w:lineRule="atLeast"/>
              <w:jc w:val="center"/>
              <w:rPr>
                <w:rFonts w:ascii="FangSong" w:eastAsia="FangSong" w:hAnsi="FangSong" w:cs="Arial"/>
                <w:b/>
                <w:sz w:val="24"/>
                <w:szCs w:val="24"/>
              </w:rPr>
            </w:pPr>
            <w:r>
              <w:rPr>
                <w:rFonts w:ascii="FangSong" w:eastAsia="FangSong" w:hAnsi="FangSong" w:cs="Arial"/>
                <w:b/>
                <w:sz w:val="24"/>
                <w:szCs w:val="24"/>
              </w:rPr>
              <w:t>認購費</w:t>
            </w:r>
          </w:p>
        </w:tc>
        <w:tc>
          <w:tcPr>
            <w:tcW w:w="1236" w:type="dxa"/>
            <w:shd w:val="clear" w:color="auto" w:fill="A6A6A6" w:themeFill="background1" w:themeFillShade="A6"/>
          </w:tcPr>
          <w:p w14:paraId="22BA235C" w14:textId="77777777" w:rsidR="008464FF" w:rsidRDefault="00BD2008">
            <w:pPr>
              <w:spacing w:after="0" w:line="330" w:lineRule="atLeast"/>
              <w:jc w:val="center"/>
              <w:rPr>
                <w:rFonts w:ascii="FangSong" w:eastAsia="FangSong" w:hAnsi="FangSong" w:cs="Arial"/>
                <w:b/>
                <w:sz w:val="24"/>
                <w:szCs w:val="24"/>
              </w:rPr>
            </w:pPr>
            <w:r>
              <w:rPr>
                <w:rFonts w:ascii="FangSong" w:eastAsia="FangSong" w:hAnsi="FangSong" w:cs="Arial"/>
                <w:b/>
                <w:sz w:val="24"/>
                <w:szCs w:val="24"/>
              </w:rPr>
              <w:t>贖回費</w:t>
            </w:r>
          </w:p>
        </w:tc>
        <w:tc>
          <w:tcPr>
            <w:tcW w:w="1325" w:type="dxa"/>
            <w:shd w:val="clear" w:color="auto" w:fill="A6A6A6" w:themeFill="background1" w:themeFillShade="A6"/>
          </w:tcPr>
          <w:p w14:paraId="59EB5085" w14:textId="77777777" w:rsidR="008464FF" w:rsidRDefault="00BD2008">
            <w:pPr>
              <w:spacing w:after="0" w:line="330" w:lineRule="atLeast"/>
              <w:jc w:val="center"/>
              <w:rPr>
                <w:rFonts w:ascii="FangSong" w:eastAsia="FangSong" w:hAnsi="FangSong" w:cs="Arial"/>
                <w:b/>
                <w:sz w:val="24"/>
                <w:szCs w:val="24"/>
              </w:rPr>
            </w:pPr>
            <w:r>
              <w:rPr>
                <w:rFonts w:ascii="FangSong" w:eastAsia="FangSong" w:hAnsi="FangSong" w:cs="Arial" w:hint="eastAsia"/>
                <w:b/>
                <w:sz w:val="24"/>
                <w:szCs w:val="24"/>
              </w:rPr>
              <w:t>託管人費</w:t>
            </w:r>
          </w:p>
        </w:tc>
        <w:tc>
          <w:tcPr>
            <w:tcW w:w="1350" w:type="dxa"/>
            <w:shd w:val="clear" w:color="auto" w:fill="A6A6A6" w:themeFill="background1" w:themeFillShade="A6"/>
          </w:tcPr>
          <w:p w14:paraId="337CDED3" w14:textId="77777777" w:rsidR="008464FF" w:rsidRDefault="00BD2008">
            <w:pPr>
              <w:spacing w:after="0" w:line="330" w:lineRule="atLeast"/>
              <w:jc w:val="center"/>
              <w:rPr>
                <w:rFonts w:ascii="FangSong" w:eastAsia="FangSong" w:hAnsi="FangSong" w:cs="Arial"/>
                <w:b/>
                <w:sz w:val="24"/>
                <w:szCs w:val="24"/>
              </w:rPr>
            </w:pPr>
            <w:r>
              <w:rPr>
                <w:rFonts w:ascii="FangSong" w:eastAsia="FangSong" w:hAnsi="FangSong" w:cs="Arial"/>
                <w:b/>
                <w:sz w:val="24"/>
                <w:szCs w:val="24"/>
              </w:rPr>
              <w:t>管理費</w:t>
            </w:r>
          </w:p>
        </w:tc>
        <w:tc>
          <w:tcPr>
            <w:tcW w:w="1440" w:type="dxa"/>
            <w:shd w:val="clear" w:color="auto" w:fill="A6A6A6" w:themeFill="background1" w:themeFillShade="A6"/>
          </w:tcPr>
          <w:p w14:paraId="587D1CB1" w14:textId="77777777" w:rsidR="008464FF" w:rsidRDefault="00BD2008">
            <w:pPr>
              <w:spacing w:after="0" w:line="330" w:lineRule="atLeast"/>
              <w:jc w:val="center"/>
              <w:rPr>
                <w:rFonts w:ascii="FangSong" w:eastAsia="FangSong" w:hAnsi="FangSong" w:cs="Arial"/>
                <w:b/>
                <w:sz w:val="24"/>
                <w:szCs w:val="24"/>
              </w:rPr>
            </w:pPr>
            <w:r>
              <w:rPr>
                <w:rFonts w:ascii="FangSong" w:eastAsia="FangSong" w:hAnsi="FangSong" w:cs="Arial" w:hint="eastAsia"/>
                <w:b/>
                <w:sz w:val="24"/>
                <w:szCs w:val="24"/>
              </w:rPr>
              <w:t>業績表現</w:t>
            </w:r>
            <w:r>
              <w:rPr>
                <w:rFonts w:ascii="FangSong" w:eastAsia="FangSong" w:hAnsi="FangSong" w:cs="Arial"/>
                <w:b/>
                <w:sz w:val="24"/>
                <w:szCs w:val="24"/>
              </w:rPr>
              <w:t>費</w:t>
            </w:r>
          </w:p>
        </w:tc>
        <w:tc>
          <w:tcPr>
            <w:tcW w:w="1440" w:type="dxa"/>
            <w:shd w:val="clear" w:color="auto" w:fill="A6A6A6" w:themeFill="background1" w:themeFillShade="A6"/>
          </w:tcPr>
          <w:p w14:paraId="52C29C8C" w14:textId="77777777" w:rsidR="008464FF" w:rsidRDefault="00BD2008">
            <w:pPr>
              <w:spacing w:after="0" w:line="330" w:lineRule="atLeast"/>
              <w:jc w:val="center"/>
              <w:rPr>
                <w:rFonts w:ascii="FangSong" w:eastAsia="FangSong" w:hAnsi="FangSong" w:cs="Arial"/>
                <w:b/>
                <w:sz w:val="24"/>
                <w:szCs w:val="24"/>
              </w:rPr>
            </w:pPr>
            <w:r>
              <w:rPr>
                <w:rFonts w:ascii="FangSong" w:eastAsia="FangSong" w:hAnsi="FangSong" w:cs="Arial" w:hint="eastAsia"/>
                <w:b/>
                <w:sz w:val="24"/>
                <w:szCs w:val="24"/>
              </w:rPr>
              <w:t>轉換費</w:t>
            </w:r>
          </w:p>
        </w:tc>
        <w:tc>
          <w:tcPr>
            <w:tcW w:w="1350" w:type="dxa"/>
            <w:shd w:val="clear" w:color="auto" w:fill="A6A6A6" w:themeFill="background1" w:themeFillShade="A6"/>
          </w:tcPr>
          <w:p w14:paraId="0EFC966E" w14:textId="77777777" w:rsidR="008464FF" w:rsidRDefault="00BD2008">
            <w:pPr>
              <w:spacing w:after="0" w:line="330" w:lineRule="atLeast"/>
              <w:jc w:val="center"/>
              <w:rPr>
                <w:rFonts w:ascii="FangSong" w:eastAsia="FangSong" w:hAnsi="FangSong" w:cs="Arial"/>
                <w:b/>
                <w:sz w:val="24"/>
                <w:szCs w:val="24"/>
              </w:rPr>
            </w:pPr>
            <w:r>
              <w:rPr>
                <w:rFonts w:ascii="FangSong" w:eastAsia="FangSong" w:hAnsi="FangSong" w:cs="Arial" w:hint="eastAsia"/>
                <w:b/>
                <w:sz w:val="24"/>
                <w:szCs w:val="24"/>
              </w:rPr>
              <w:t>分銷費</w:t>
            </w:r>
          </w:p>
        </w:tc>
        <w:tc>
          <w:tcPr>
            <w:tcW w:w="1350" w:type="dxa"/>
            <w:shd w:val="clear" w:color="auto" w:fill="A6A6A6" w:themeFill="background1" w:themeFillShade="A6"/>
          </w:tcPr>
          <w:p w14:paraId="0B23BF33" w14:textId="77777777" w:rsidR="008464FF" w:rsidRDefault="00BD2008">
            <w:pPr>
              <w:spacing w:after="0" w:line="330" w:lineRule="atLeast"/>
              <w:jc w:val="center"/>
              <w:rPr>
                <w:rFonts w:ascii="FangSong" w:eastAsia="FangSong" w:hAnsi="FangSong" w:cs="Arial"/>
                <w:b/>
                <w:sz w:val="24"/>
                <w:szCs w:val="24"/>
              </w:rPr>
            </w:pPr>
            <w:r>
              <w:rPr>
                <w:rFonts w:ascii="FangSong" w:eastAsia="FangSong" w:hAnsi="FangSong" w:cs="Arial"/>
                <w:b/>
                <w:sz w:val="24"/>
                <w:szCs w:val="24"/>
              </w:rPr>
              <w:t>行政費</w:t>
            </w:r>
          </w:p>
        </w:tc>
      </w:tr>
      <w:tr w:rsidR="008464FF" w14:paraId="37153DD1" w14:textId="77777777">
        <w:tc>
          <w:tcPr>
            <w:tcW w:w="1237" w:type="dxa"/>
          </w:tcPr>
          <w:p w14:paraId="19A371E7" w14:textId="798B04D3" w:rsidR="008464FF" w:rsidRDefault="008D6498">
            <w:r w:rsidRPr="008D6498">
              <w:rPr>
                <w:rFonts w:hint="eastAsia"/>
              </w:rPr>
              <w:t>無</w:t>
            </w:r>
          </w:p>
        </w:tc>
        <w:tc>
          <w:tcPr>
            <w:tcW w:w="1236" w:type="dxa"/>
          </w:tcPr>
          <w:p w14:paraId="2E555EFF" w14:textId="3A62D271" w:rsidR="008464FF" w:rsidRDefault="008D6498">
            <w:r w:rsidRPr="008D6498">
              <w:rPr>
                <w:rFonts w:hint="eastAsia"/>
              </w:rPr>
              <w:t>無</w:t>
            </w:r>
          </w:p>
        </w:tc>
        <w:tc>
          <w:tcPr>
            <w:tcW w:w="1325" w:type="dxa"/>
          </w:tcPr>
          <w:p w14:paraId="1C2A1955" w14:textId="77777777" w:rsidR="008464FF" w:rsidRDefault="00BD2008">
            <w:r>
              <w:t>託管費</w:t>
            </w:r>
            <w:r>
              <w:t xml:space="preserve"> </w:t>
            </w:r>
            <w:r>
              <w:t>最高</w:t>
            </w:r>
            <w:r>
              <w:t xml:space="preserve"> 0.018%</w:t>
            </w:r>
          </w:p>
        </w:tc>
        <w:tc>
          <w:tcPr>
            <w:tcW w:w="1350" w:type="dxa"/>
          </w:tcPr>
          <w:p w14:paraId="161A8A4E" w14:textId="5095062E" w:rsidR="008464FF" w:rsidRDefault="00BD2008">
            <w:r>
              <w:t xml:space="preserve">P </w:t>
            </w:r>
            <w:r>
              <w:t>類單位</w:t>
            </w:r>
            <w:r>
              <w:t>0.6%</w:t>
            </w:r>
          </w:p>
        </w:tc>
        <w:tc>
          <w:tcPr>
            <w:tcW w:w="1440" w:type="dxa"/>
          </w:tcPr>
          <w:p w14:paraId="13387D33" w14:textId="77777777" w:rsidR="008464FF" w:rsidRDefault="00BD2008">
            <w:r>
              <w:t>不適用</w:t>
            </w:r>
          </w:p>
        </w:tc>
        <w:tc>
          <w:tcPr>
            <w:tcW w:w="1440" w:type="dxa"/>
          </w:tcPr>
          <w:p w14:paraId="7927BD1B" w14:textId="001B04AE" w:rsidR="008464FF" w:rsidRDefault="00BD2008">
            <w:r>
              <w:t>無</w:t>
            </w:r>
          </w:p>
        </w:tc>
        <w:tc>
          <w:tcPr>
            <w:tcW w:w="1350" w:type="dxa"/>
          </w:tcPr>
          <w:p w14:paraId="048E9BC4" w14:textId="77777777" w:rsidR="008464FF" w:rsidRDefault="00BD2008">
            <w:r>
              <w:t>無</w:t>
            </w:r>
          </w:p>
        </w:tc>
        <w:tc>
          <w:tcPr>
            <w:tcW w:w="1350" w:type="dxa"/>
          </w:tcPr>
          <w:p w14:paraId="6DFA517E" w14:textId="77777777" w:rsidR="008464FF" w:rsidRDefault="00BD2008">
            <w:r>
              <w:t>無</w:t>
            </w:r>
          </w:p>
        </w:tc>
      </w:tr>
    </w:tbl>
    <w:p w14:paraId="44F15C42" w14:textId="77777777" w:rsidR="008464FF" w:rsidRDefault="008464FF">
      <w:pPr>
        <w:pStyle w:val="aff1"/>
        <w:spacing w:before="0" w:after="0"/>
        <w:ind w:leftChars="0" w:left="360"/>
        <w:rPr>
          <w:rFonts w:ascii="FangSong" w:eastAsia="FangSong" w:hAnsi="FangSong" w:cs="Times New Roman"/>
          <w:b/>
          <w:color w:val="000000"/>
          <w:sz w:val="24"/>
          <w:szCs w:val="24"/>
        </w:rPr>
      </w:pPr>
    </w:p>
    <w:p w14:paraId="7A6D27F0" w14:textId="77777777" w:rsidR="008464FF" w:rsidRDefault="00BD2008">
      <w:pPr>
        <w:pStyle w:val="aff1"/>
        <w:numPr>
          <w:ilvl w:val="0"/>
          <w:numId w:val="1"/>
        </w:numPr>
        <w:shd w:val="clear" w:color="auto" w:fill="FFFFFF"/>
        <w:spacing w:before="0" w:after="0" w:line="240" w:lineRule="auto"/>
        <w:ind w:leftChars="0" w:left="270" w:rightChars="-71" w:right="-142"/>
        <w:rPr>
          <w:rFonts w:ascii="FangSong" w:eastAsia="FangSong" w:hAnsi="FangSong" w:cs="Times New Roman"/>
          <w:b/>
          <w:color w:val="000000"/>
          <w:sz w:val="24"/>
          <w:szCs w:val="24"/>
        </w:rPr>
      </w:pPr>
      <w:r>
        <w:rPr>
          <w:rFonts w:ascii="FangSong" w:eastAsia="FangSong" w:hAnsi="FangSong" w:cs="Times New Roman" w:hint="eastAsia"/>
          <w:b/>
          <w:color w:val="000000"/>
          <w:sz w:val="24"/>
          <w:szCs w:val="24"/>
          <w:u w:val="single"/>
        </w:rPr>
        <w:t>複雜產品</w:t>
      </w:r>
    </w:p>
    <w:tbl>
      <w:tblPr>
        <w:tblStyle w:val="GridTable21"/>
        <w:tblW w:w="5014" w:type="pct"/>
        <w:tblLayout w:type="fixed"/>
        <w:tblLook w:val="04A0" w:firstRow="1" w:lastRow="0" w:firstColumn="1" w:lastColumn="0" w:noHBand="0" w:noVBand="1"/>
      </w:tblPr>
      <w:tblGrid>
        <w:gridCol w:w="2688"/>
        <w:gridCol w:w="7797"/>
      </w:tblGrid>
      <w:tr w:rsidR="008464FF" w14:paraId="73CC5F7B" w14:textId="77777777" w:rsidTr="008464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Borders>
              <w:top w:val="single" w:sz="4" w:space="0" w:color="auto"/>
              <w:left w:val="single" w:sz="4" w:space="0" w:color="auto"/>
              <w:bottom w:val="single" w:sz="4" w:space="0" w:color="auto"/>
            </w:tcBorders>
            <w:shd w:val="clear" w:color="auto" w:fill="D0CECE" w:themeFill="background2" w:themeFillShade="E6"/>
            <w:vAlign w:val="center"/>
          </w:tcPr>
          <w:p w14:paraId="48A22BD5" w14:textId="77777777" w:rsidR="008464FF" w:rsidRDefault="00BD2008">
            <w:pPr>
              <w:spacing w:after="0" w:line="330" w:lineRule="atLeast"/>
              <w:rPr>
                <w:rFonts w:ascii="FangSong" w:eastAsia="FangSong" w:hAnsi="FangSong" w:cs="Arial"/>
                <w:b w:val="0"/>
                <w:bCs w:val="0"/>
                <w:sz w:val="24"/>
                <w:szCs w:val="24"/>
              </w:rPr>
            </w:pPr>
            <w:r>
              <w:rPr>
                <w:rFonts w:ascii="FangSong" w:eastAsia="FangSong" w:hAnsi="FangSong" w:cs="Arial" w:hint="eastAsia"/>
                <w:sz w:val="24"/>
                <w:szCs w:val="24"/>
              </w:rPr>
              <w:t>是否複雜產品</w:t>
            </w:r>
          </w:p>
        </w:tc>
        <w:tc>
          <w:tcPr>
            <w:tcW w:w="3718" w:type="pct"/>
            <w:tcBorders>
              <w:top w:val="single" w:sz="4" w:space="0" w:color="auto"/>
              <w:left w:val="single" w:sz="4" w:space="0" w:color="auto"/>
              <w:bottom w:val="single" w:sz="4" w:space="0" w:color="auto"/>
              <w:right w:val="single" w:sz="4" w:space="0" w:color="auto"/>
            </w:tcBorders>
            <w:vAlign w:val="center"/>
          </w:tcPr>
          <w:p w14:paraId="107857C8" w14:textId="77777777" w:rsidR="008464FF" w:rsidRDefault="00BD2008">
            <w:pPr>
              <w:cnfStyle w:val="100000000000" w:firstRow="1" w:lastRow="0" w:firstColumn="0" w:lastColumn="0" w:oddVBand="0" w:evenVBand="0" w:oddHBand="0" w:evenHBand="0" w:firstRowFirstColumn="0" w:firstRowLastColumn="0" w:lastRowFirstColumn="0" w:lastRowLastColumn="0"/>
            </w:pPr>
            <w:r>
              <w:rPr>
                <w:rFonts w:ascii="FangSong" w:hAnsi="FangSong"/>
                <w:sz w:val="24"/>
              </w:rPr>
              <w:t xml:space="preserve">☑ </w:t>
            </w:r>
            <w:r>
              <w:rPr>
                <w:rFonts w:ascii="FangSong" w:hAnsi="FangSong"/>
                <w:sz w:val="24"/>
              </w:rPr>
              <w:t>非複雜產品</w:t>
            </w:r>
            <w:r>
              <w:rPr>
                <w:rFonts w:ascii="FangSong" w:hAnsi="FangSong"/>
                <w:sz w:val="24"/>
              </w:rPr>
              <w:t xml:space="preserve"> / □ </w:t>
            </w:r>
            <w:r>
              <w:rPr>
                <w:rFonts w:ascii="FangSong" w:hAnsi="FangSong"/>
                <w:sz w:val="24"/>
              </w:rPr>
              <w:t>複雜產品</w:t>
            </w:r>
            <w:r>
              <w:rPr>
                <w:rFonts w:ascii="FangSong" w:hAnsi="FangSong"/>
                <w:sz w:val="24"/>
              </w:rPr>
              <w:t xml:space="preserve"> / □ </w:t>
            </w:r>
            <w:r>
              <w:rPr>
                <w:rFonts w:ascii="FangSong" w:hAnsi="FangSong"/>
                <w:sz w:val="24"/>
              </w:rPr>
              <w:t>複雜產品</w:t>
            </w:r>
            <w:r>
              <w:rPr>
                <w:rFonts w:ascii="FangSong" w:hAnsi="FangSong"/>
                <w:sz w:val="24"/>
              </w:rPr>
              <w:t xml:space="preserve"> (</w:t>
            </w:r>
            <w:r>
              <w:rPr>
                <w:rFonts w:ascii="FangSong" w:hAnsi="FangSong"/>
                <w:sz w:val="24"/>
              </w:rPr>
              <w:t>在交易所買賣的衍生產品</w:t>
            </w:r>
            <w:r>
              <w:rPr>
                <w:rFonts w:ascii="FangSong" w:hAnsi="FangSong"/>
                <w:sz w:val="24"/>
              </w:rPr>
              <w:t>)</w:t>
            </w:r>
          </w:p>
        </w:tc>
      </w:tr>
      <w:tr w:rsidR="008464FF" w14:paraId="5CD0F0AE" w14:textId="77777777" w:rsidTr="008464FF">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auto"/>
              <w:left w:val="single" w:sz="4" w:space="0" w:color="auto"/>
              <w:bottom w:val="single" w:sz="4" w:space="0" w:color="auto"/>
              <w:right w:val="single" w:sz="4" w:space="0" w:color="auto"/>
            </w:tcBorders>
          </w:tcPr>
          <w:p w14:paraId="0277EAFF" w14:textId="77777777" w:rsidR="008464FF" w:rsidRDefault="008464FF">
            <w:pPr>
              <w:pStyle w:val="aff1"/>
              <w:snapToGrid w:val="0"/>
              <w:spacing w:before="0" w:after="0" w:line="240" w:lineRule="auto"/>
              <w:ind w:leftChars="0" w:left="360"/>
              <w:rPr>
                <w:rFonts w:ascii="FangSong" w:eastAsia="FangSong" w:hAnsi="FangSong" w:cs="Arial"/>
                <w:b w:val="0"/>
                <w:bCs w:val="0"/>
                <w:sz w:val="24"/>
                <w:szCs w:val="24"/>
              </w:rPr>
            </w:pPr>
          </w:p>
          <w:p w14:paraId="4D7EEF1C" w14:textId="77777777" w:rsidR="008464FF" w:rsidRDefault="00BD2008">
            <w:pPr>
              <w:pStyle w:val="aff1"/>
              <w:numPr>
                <w:ilvl w:val="0"/>
                <w:numId w:val="2"/>
              </w:numPr>
              <w:snapToGrid w:val="0"/>
              <w:spacing w:before="0" w:after="0" w:line="240" w:lineRule="auto"/>
              <w:ind w:leftChars="0"/>
              <w:rPr>
                <w:rFonts w:ascii="FangSong" w:eastAsia="FangSong" w:hAnsi="FangSong" w:cs="Arial"/>
                <w:b w:val="0"/>
                <w:bCs w:val="0"/>
                <w:sz w:val="24"/>
                <w:szCs w:val="24"/>
              </w:rPr>
            </w:pPr>
            <w:r>
              <w:rPr>
                <w:rFonts w:ascii="FangSong" w:eastAsia="FangSong" w:hAnsi="FangSong" w:cs="Arial" w:hint="eastAsia"/>
                <w:sz w:val="24"/>
                <w:szCs w:val="24"/>
              </w:rPr>
              <w:t>根據證監會發出的指引「網上分銷及投資諮詢平台指引」內的第6.1段，</w:t>
            </w:r>
            <w:r>
              <w:rPr>
                <w:rFonts w:ascii="FangSong" w:eastAsia="FangSong" w:hAnsi="FangSong" w:cs="Arial"/>
                <w:sz w:val="24"/>
                <w:szCs w:val="24"/>
              </w:rPr>
              <w:t>複雜產品的定義</w:t>
            </w:r>
            <w:r>
              <w:rPr>
                <w:rFonts w:ascii="FangSong" w:eastAsia="FangSong" w:hAnsi="FangSong" w:cs="Arial" w:hint="eastAsia"/>
                <w:sz w:val="24"/>
                <w:szCs w:val="24"/>
              </w:rPr>
              <w:t xml:space="preserve">是: </w:t>
            </w:r>
          </w:p>
          <w:p w14:paraId="19A7E10A" w14:textId="77777777" w:rsidR="008464FF" w:rsidRDefault="00BD2008">
            <w:pPr>
              <w:pStyle w:val="aff1"/>
              <w:numPr>
                <w:ilvl w:val="0"/>
                <w:numId w:val="3"/>
              </w:numPr>
              <w:snapToGrid w:val="0"/>
              <w:spacing w:before="0" w:after="0" w:line="240" w:lineRule="auto"/>
              <w:ind w:leftChars="0" w:left="738" w:hanging="284"/>
              <w:rPr>
                <w:rFonts w:ascii="FangSong" w:eastAsia="FangSong" w:hAnsi="FangSong" w:cs="Arial"/>
                <w:bCs w:val="0"/>
                <w:sz w:val="24"/>
                <w:szCs w:val="24"/>
              </w:rPr>
            </w:pPr>
            <w:r>
              <w:rPr>
                <w:rFonts w:ascii="FangSong" w:eastAsia="FangSong" w:hAnsi="FangSong" w:cs="Arial"/>
                <w:b w:val="0"/>
                <w:sz w:val="24"/>
                <w:szCs w:val="24"/>
              </w:rPr>
              <w:t>複雜產品是指由於結構複雜，致令其條款、特點及風險在合理情況下不大可能會被零售投資者理解的投資產品。</w:t>
            </w:r>
          </w:p>
          <w:p w14:paraId="5870FB46" w14:textId="77777777" w:rsidR="008464FF" w:rsidRDefault="00BD2008">
            <w:pPr>
              <w:pStyle w:val="aff1"/>
              <w:numPr>
                <w:ilvl w:val="0"/>
                <w:numId w:val="3"/>
              </w:numPr>
              <w:snapToGrid w:val="0"/>
              <w:spacing w:before="0" w:after="0" w:line="240" w:lineRule="auto"/>
              <w:ind w:leftChars="0" w:left="738" w:hanging="284"/>
              <w:rPr>
                <w:rFonts w:ascii="FangSong" w:eastAsia="FangSong" w:hAnsi="FangSong" w:cs="Arial"/>
                <w:bCs w:val="0"/>
                <w:sz w:val="24"/>
                <w:szCs w:val="24"/>
              </w:rPr>
            </w:pPr>
            <w:r>
              <w:rPr>
                <w:rFonts w:ascii="FangSong" w:eastAsia="FangSong" w:hAnsi="FangSong" w:cs="Arial"/>
                <w:b w:val="0"/>
                <w:sz w:val="24"/>
                <w:szCs w:val="24"/>
              </w:rPr>
              <w:t>以下是用以斷定某投資產品是否複雜的因素：</w:t>
            </w:r>
          </w:p>
          <w:p w14:paraId="01648094" w14:textId="77777777" w:rsidR="008464FF" w:rsidRDefault="00BD2008">
            <w:pPr>
              <w:pStyle w:val="aff1"/>
              <w:numPr>
                <w:ilvl w:val="0"/>
                <w:numId w:val="4"/>
              </w:numPr>
              <w:snapToGrid w:val="0"/>
              <w:spacing w:before="0" w:after="0" w:line="240" w:lineRule="auto"/>
              <w:ind w:leftChars="0" w:left="1163" w:hanging="425"/>
              <w:rPr>
                <w:rFonts w:ascii="FangSong" w:eastAsia="FangSong" w:hAnsi="FangSong" w:cs="Arial"/>
                <w:bCs w:val="0"/>
                <w:sz w:val="24"/>
                <w:szCs w:val="24"/>
              </w:rPr>
            </w:pPr>
            <w:r>
              <w:rPr>
                <w:rFonts w:ascii="FangSong" w:eastAsia="FangSong" w:hAnsi="FangSong" w:cs="Arial"/>
                <w:b w:val="0"/>
                <w:sz w:val="24"/>
                <w:szCs w:val="24"/>
              </w:rPr>
              <w:t>該投資產品是否衍生產品；</w:t>
            </w:r>
          </w:p>
          <w:p w14:paraId="07A56092" w14:textId="77777777" w:rsidR="008464FF" w:rsidRDefault="00BD2008">
            <w:pPr>
              <w:pStyle w:val="aff1"/>
              <w:numPr>
                <w:ilvl w:val="0"/>
                <w:numId w:val="4"/>
              </w:numPr>
              <w:snapToGrid w:val="0"/>
              <w:spacing w:before="0" w:after="0" w:line="240" w:lineRule="auto"/>
              <w:ind w:leftChars="0" w:left="1163" w:hanging="425"/>
              <w:rPr>
                <w:rFonts w:ascii="FangSong" w:eastAsia="FangSong" w:hAnsi="FangSong" w:cs="Arial"/>
                <w:bCs w:val="0"/>
                <w:sz w:val="24"/>
                <w:szCs w:val="24"/>
              </w:rPr>
            </w:pPr>
            <w:r>
              <w:rPr>
                <w:rFonts w:ascii="FangSong" w:eastAsia="FangSong" w:hAnsi="FangSong" w:cs="Arial"/>
                <w:b w:val="0"/>
                <w:sz w:val="24"/>
                <w:szCs w:val="24"/>
              </w:rPr>
              <w:t>是否有第二市場可供該投資產品按公開價格買賣；</w:t>
            </w:r>
          </w:p>
          <w:p w14:paraId="6E767A5C" w14:textId="77777777" w:rsidR="008464FF" w:rsidRDefault="00BD2008">
            <w:pPr>
              <w:pStyle w:val="aff1"/>
              <w:numPr>
                <w:ilvl w:val="0"/>
                <w:numId w:val="4"/>
              </w:numPr>
              <w:snapToGrid w:val="0"/>
              <w:spacing w:before="0" w:after="0" w:line="240" w:lineRule="auto"/>
              <w:ind w:leftChars="0" w:left="1163" w:hanging="425"/>
              <w:rPr>
                <w:rFonts w:ascii="FangSong" w:eastAsia="FangSong" w:hAnsi="FangSong" w:cs="Arial"/>
                <w:bCs w:val="0"/>
                <w:sz w:val="24"/>
                <w:szCs w:val="24"/>
              </w:rPr>
            </w:pPr>
            <w:r>
              <w:rPr>
                <w:rFonts w:ascii="FangSong" w:eastAsia="FangSong" w:hAnsi="FangSong" w:cs="Arial"/>
                <w:b w:val="0"/>
                <w:sz w:val="24"/>
                <w:szCs w:val="24"/>
              </w:rPr>
              <w:lastRenderedPageBreak/>
              <w:t>有否就該投資產品向零售投資者提供足夠及具透明度的資料；</w:t>
            </w:r>
          </w:p>
          <w:p w14:paraId="5240FF0A" w14:textId="77777777" w:rsidR="008464FF" w:rsidRDefault="00BD2008">
            <w:pPr>
              <w:pStyle w:val="aff1"/>
              <w:numPr>
                <w:ilvl w:val="0"/>
                <w:numId w:val="4"/>
              </w:numPr>
              <w:snapToGrid w:val="0"/>
              <w:spacing w:before="0" w:after="0" w:line="240" w:lineRule="auto"/>
              <w:ind w:leftChars="0" w:left="1163" w:hanging="425"/>
              <w:rPr>
                <w:rFonts w:ascii="FangSong" w:eastAsia="FangSong" w:hAnsi="FangSong" w:cs="Arial"/>
                <w:bCs w:val="0"/>
                <w:sz w:val="24"/>
                <w:szCs w:val="24"/>
              </w:rPr>
            </w:pPr>
            <w:r>
              <w:rPr>
                <w:rFonts w:ascii="FangSong" w:eastAsia="FangSong" w:hAnsi="FangSong" w:cs="Arial"/>
                <w:b w:val="0"/>
                <w:sz w:val="24"/>
                <w:szCs w:val="24"/>
              </w:rPr>
              <w:t>是否存在損失大於投資金額的風險；</w:t>
            </w:r>
          </w:p>
          <w:p w14:paraId="2284FC2D" w14:textId="77777777" w:rsidR="008464FF" w:rsidRDefault="00BD2008">
            <w:pPr>
              <w:pStyle w:val="aff1"/>
              <w:numPr>
                <w:ilvl w:val="0"/>
                <w:numId w:val="4"/>
              </w:numPr>
              <w:snapToGrid w:val="0"/>
              <w:spacing w:before="0" w:after="0" w:line="240" w:lineRule="auto"/>
              <w:ind w:leftChars="0" w:left="1163" w:hanging="425"/>
              <w:rPr>
                <w:rFonts w:ascii="FangSong" w:eastAsia="FangSong" w:hAnsi="FangSong" w:cs="Arial"/>
                <w:bCs w:val="0"/>
                <w:sz w:val="24"/>
                <w:szCs w:val="24"/>
              </w:rPr>
            </w:pPr>
            <w:r>
              <w:rPr>
                <w:rFonts w:ascii="FangSong" w:eastAsia="FangSong" w:hAnsi="FangSong" w:cs="Arial"/>
                <w:b w:val="0"/>
                <w:sz w:val="24"/>
                <w:szCs w:val="24"/>
              </w:rPr>
              <w:t>該投資產品是否有任何特點或條款可從根本上改變投資的性質或風險或支付形式，或是否有任何特點或條款包含多個可變因素或複雜的計算公式以釐定有關回報；及</w:t>
            </w:r>
          </w:p>
          <w:p w14:paraId="62CB0025" w14:textId="77777777" w:rsidR="008464FF" w:rsidRDefault="00BD2008">
            <w:pPr>
              <w:snapToGrid w:val="0"/>
              <w:spacing w:before="0" w:after="0" w:line="240" w:lineRule="auto"/>
              <w:ind w:leftChars="581" w:left="1162"/>
              <w:rPr>
                <w:rFonts w:ascii="FangSong" w:eastAsia="FangSong" w:hAnsi="FangSong" w:cs="Arial"/>
                <w:bCs w:val="0"/>
                <w:i/>
                <w:sz w:val="24"/>
                <w:szCs w:val="24"/>
              </w:rPr>
            </w:pPr>
            <w:r>
              <w:rPr>
                <w:rFonts w:ascii="FangSong" w:eastAsia="FangSong" w:hAnsi="FangSong" w:cs="Arial" w:hint="eastAsia"/>
                <w:b w:val="0"/>
                <w:i/>
                <w:sz w:val="24"/>
                <w:szCs w:val="24"/>
              </w:rPr>
              <w:t>(</w:t>
            </w:r>
            <w:r>
              <w:rPr>
                <w:rFonts w:ascii="FangSong" w:eastAsia="FangSong" w:hAnsi="FangSong" w:cs="Arial"/>
                <w:b w:val="0"/>
                <w:i/>
                <w:sz w:val="24"/>
                <w:szCs w:val="24"/>
              </w:rPr>
              <w:t>註釋： 舉例而言，投資產品如附有讓投資產品發行人將產品轉換成另一項投資的權利，亦屬此列。</w:t>
            </w:r>
            <w:r>
              <w:rPr>
                <w:rFonts w:ascii="FangSong" w:eastAsia="FangSong" w:hAnsi="FangSong" w:cs="Arial" w:hint="eastAsia"/>
                <w:b w:val="0"/>
                <w:i/>
                <w:sz w:val="24"/>
                <w:szCs w:val="24"/>
              </w:rPr>
              <w:t>)</w:t>
            </w:r>
          </w:p>
          <w:p w14:paraId="20D17551" w14:textId="77777777" w:rsidR="008464FF" w:rsidRDefault="00BD2008">
            <w:pPr>
              <w:pStyle w:val="aff1"/>
              <w:numPr>
                <w:ilvl w:val="0"/>
                <w:numId w:val="4"/>
              </w:numPr>
              <w:snapToGrid w:val="0"/>
              <w:spacing w:before="0" w:after="0" w:line="240" w:lineRule="auto"/>
              <w:ind w:leftChars="0" w:left="1163" w:hanging="425"/>
              <w:rPr>
                <w:rFonts w:ascii="FangSong" w:eastAsia="FangSong" w:hAnsi="FangSong" w:cs="Arial"/>
                <w:bCs w:val="0"/>
                <w:sz w:val="24"/>
                <w:szCs w:val="24"/>
              </w:rPr>
            </w:pPr>
            <w:r>
              <w:rPr>
                <w:rFonts w:ascii="FangSong" w:eastAsia="FangSong" w:hAnsi="FangSong" w:cs="Arial"/>
                <w:b w:val="0"/>
                <w:sz w:val="24"/>
                <w:szCs w:val="24"/>
              </w:rPr>
              <w:t>該投資產品是否有任何特點或條款，致令投資失去其流動性及／或難以</w:t>
            </w:r>
            <w:r>
              <w:rPr>
                <w:rFonts w:ascii="FangSong" w:eastAsia="FangSong" w:hAnsi="FangSong" w:cs="Arial" w:hint="eastAsia"/>
                <w:b w:val="0"/>
                <w:sz w:val="24"/>
                <w:szCs w:val="24"/>
              </w:rPr>
              <w:t>估值。</w:t>
            </w:r>
            <w:r>
              <w:rPr>
                <w:rFonts w:ascii="FangSong" w:eastAsia="FangSong" w:hAnsi="FangSong" w:cs="Arial"/>
                <w:b w:val="0"/>
                <w:sz w:val="24"/>
                <w:szCs w:val="24"/>
              </w:rPr>
              <w:cr/>
            </w:r>
          </w:p>
          <w:p w14:paraId="1E8E7128" w14:textId="77777777" w:rsidR="008464FF" w:rsidRDefault="00BD2008">
            <w:pPr>
              <w:pStyle w:val="aff1"/>
              <w:numPr>
                <w:ilvl w:val="0"/>
                <w:numId w:val="2"/>
              </w:numPr>
              <w:snapToGrid w:val="0"/>
              <w:spacing w:before="0" w:after="0" w:line="240" w:lineRule="auto"/>
              <w:ind w:leftChars="0"/>
              <w:rPr>
                <w:rFonts w:ascii="FangSong" w:eastAsia="FangSong" w:hAnsi="FangSong" w:cs="Arial"/>
                <w:b w:val="0"/>
                <w:bCs w:val="0"/>
                <w:sz w:val="24"/>
                <w:szCs w:val="24"/>
              </w:rPr>
            </w:pPr>
            <w:r>
              <w:rPr>
                <w:rFonts w:ascii="FangSong" w:eastAsia="FangSong" w:hAnsi="FangSong" w:cs="Arial" w:hint="eastAsia"/>
                <w:sz w:val="24"/>
                <w:szCs w:val="24"/>
              </w:rPr>
              <w:t>證監會於其網站發佈了以下複雜產品及非複雜產品列表，此列表並非詳盡無遺，證監會可能不時在適當情況下修訂這份列表的內容：</w:t>
            </w:r>
          </w:p>
          <w:p w14:paraId="5997BF01" w14:textId="77777777" w:rsidR="008464FF" w:rsidRDefault="008464FF">
            <w:pPr>
              <w:snapToGrid w:val="0"/>
              <w:spacing w:before="0" w:after="0" w:line="240" w:lineRule="auto"/>
              <w:ind w:firstLineChars="130" w:firstLine="312"/>
              <w:rPr>
                <w:rFonts w:ascii="FangSong" w:eastAsia="FangSong" w:hAnsi="FangSong" w:cs="Arial"/>
                <w:b w:val="0"/>
                <w:bCs w:val="0"/>
                <w:sz w:val="24"/>
                <w:szCs w:val="24"/>
                <w:u w:val="single"/>
              </w:rPr>
            </w:pPr>
          </w:p>
          <w:p w14:paraId="2D878166" w14:textId="77777777" w:rsidR="008464FF" w:rsidRDefault="00BD2008">
            <w:pPr>
              <w:snapToGrid w:val="0"/>
              <w:spacing w:before="0" w:after="0" w:line="240" w:lineRule="auto"/>
              <w:ind w:firstLineChars="130" w:firstLine="313"/>
              <w:rPr>
                <w:rFonts w:ascii="FangSong" w:eastAsia="FangSong" w:hAnsi="FangSong" w:cs="Arial"/>
                <w:b w:val="0"/>
                <w:bCs w:val="0"/>
                <w:sz w:val="24"/>
                <w:szCs w:val="24"/>
                <w:u w:val="single"/>
              </w:rPr>
            </w:pPr>
            <w:r>
              <w:rPr>
                <w:rFonts w:ascii="FangSong" w:eastAsia="FangSong" w:hAnsi="FangSong" w:cs="Arial" w:hint="eastAsia"/>
                <w:sz w:val="24"/>
                <w:szCs w:val="24"/>
                <w:u w:val="single"/>
              </w:rPr>
              <w:t>非複雜產品</w:t>
            </w:r>
          </w:p>
          <w:p w14:paraId="427BFF72" w14:textId="77777777" w:rsidR="008464FF" w:rsidRDefault="00BD2008">
            <w:pPr>
              <w:pStyle w:val="aff1"/>
              <w:numPr>
                <w:ilvl w:val="0"/>
                <w:numId w:val="3"/>
              </w:numPr>
              <w:snapToGrid w:val="0"/>
              <w:spacing w:before="0" w:after="0" w:line="240" w:lineRule="auto"/>
              <w:ind w:leftChars="0" w:left="0" w:firstLineChars="130" w:firstLine="312"/>
              <w:rPr>
                <w:rFonts w:ascii="FangSong" w:eastAsia="FangSong" w:hAnsi="FangSong" w:cs="Arial"/>
                <w:bCs w:val="0"/>
                <w:sz w:val="24"/>
                <w:szCs w:val="24"/>
              </w:rPr>
            </w:pPr>
            <w:r>
              <w:rPr>
                <w:rFonts w:ascii="FangSong" w:eastAsia="FangSong" w:hAnsi="FangSong" w:cs="Arial" w:hint="eastAsia"/>
                <w:b w:val="0"/>
                <w:sz w:val="24"/>
                <w:szCs w:val="24"/>
              </w:rPr>
              <w:t>於聯交所買賣的股份；</w:t>
            </w:r>
          </w:p>
          <w:p w14:paraId="2A0386A4" w14:textId="77777777" w:rsidR="008464FF" w:rsidRDefault="00BD2008">
            <w:pPr>
              <w:pStyle w:val="aff1"/>
              <w:numPr>
                <w:ilvl w:val="0"/>
                <w:numId w:val="3"/>
              </w:numPr>
              <w:snapToGrid w:val="0"/>
              <w:spacing w:before="0" w:after="0" w:line="240" w:lineRule="auto"/>
              <w:ind w:leftChars="0" w:left="0" w:firstLineChars="130" w:firstLine="312"/>
              <w:rPr>
                <w:rFonts w:ascii="FangSong" w:eastAsia="FangSong" w:hAnsi="FangSong" w:cs="Arial"/>
                <w:bCs w:val="0"/>
                <w:sz w:val="24"/>
                <w:szCs w:val="24"/>
              </w:rPr>
            </w:pPr>
            <w:r>
              <w:rPr>
                <w:rFonts w:ascii="FangSong" w:eastAsia="FangSong" w:hAnsi="FangSong" w:cs="Arial" w:hint="eastAsia"/>
                <w:b w:val="0"/>
                <w:sz w:val="24"/>
                <w:szCs w:val="24"/>
              </w:rPr>
              <w:t>非複雜債券，包括不具有其他特點的可贖回債券（請參閱下文有關"複雜"債券的定義）；</w:t>
            </w:r>
          </w:p>
          <w:p w14:paraId="64510D54" w14:textId="77777777" w:rsidR="008464FF" w:rsidRDefault="00BD2008">
            <w:pPr>
              <w:pStyle w:val="aff1"/>
              <w:numPr>
                <w:ilvl w:val="0"/>
                <w:numId w:val="3"/>
              </w:numPr>
              <w:snapToGrid w:val="0"/>
              <w:spacing w:before="0" w:after="0" w:line="240" w:lineRule="auto"/>
              <w:ind w:leftChars="0" w:left="0" w:firstLineChars="130" w:firstLine="312"/>
              <w:rPr>
                <w:rFonts w:ascii="FangSong" w:eastAsia="FangSong" w:hAnsi="FangSong" w:cs="Arial"/>
                <w:bCs w:val="0"/>
                <w:sz w:val="24"/>
                <w:szCs w:val="24"/>
              </w:rPr>
            </w:pPr>
            <w:r>
              <w:rPr>
                <w:rFonts w:ascii="FangSong" w:eastAsia="FangSong" w:hAnsi="FangSong" w:cs="Arial"/>
                <w:b w:val="0"/>
                <w:sz w:val="24"/>
                <w:szCs w:val="24"/>
              </w:rPr>
              <w:t>證監會根據《單位信託守則》認可的非衍生產品基金；</w:t>
            </w:r>
          </w:p>
          <w:p w14:paraId="147941DC" w14:textId="77777777" w:rsidR="008464FF" w:rsidRDefault="00BD2008">
            <w:pPr>
              <w:pStyle w:val="aff1"/>
              <w:numPr>
                <w:ilvl w:val="0"/>
                <w:numId w:val="3"/>
              </w:numPr>
              <w:snapToGrid w:val="0"/>
              <w:spacing w:before="0" w:after="0" w:line="240" w:lineRule="auto"/>
              <w:ind w:leftChars="0" w:left="0" w:firstLineChars="130" w:firstLine="312"/>
              <w:rPr>
                <w:rFonts w:ascii="FangSong" w:eastAsia="FangSong" w:hAnsi="FangSong" w:cs="Arial"/>
                <w:bCs w:val="0"/>
                <w:sz w:val="24"/>
                <w:szCs w:val="24"/>
              </w:rPr>
            </w:pPr>
            <w:r>
              <w:rPr>
                <w:rFonts w:ascii="FangSong" w:eastAsia="FangSong" w:hAnsi="FangSong" w:cs="Arial"/>
                <w:b w:val="0"/>
                <w:sz w:val="24"/>
                <w:szCs w:val="24"/>
              </w:rPr>
              <w:t>於聯交所買賣的證監會認可非衍生產品交易所買賣基金（ETF）；</w:t>
            </w:r>
          </w:p>
          <w:p w14:paraId="0AE04F72" w14:textId="77777777" w:rsidR="008464FF" w:rsidRDefault="00BD2008">
            <w:pPr>
              <w:pStyle w:val="aff1"/>
              <w:numPr>
                <w:ilvl w:val="0"/>
                <w:numId w:val="3"/>
              </w:numPr>
              <w:snapToGrid w:val="0"/>
              <w:spacing w:before="0" w:after="0" w:line="240" w:lineRule="auto"/>
              <w:ind w:leftChars="0" w:left="0" w:firstLineChars="130" w:firstLine="312"/>
              <w:rPr>
                <w:rFonts w:ascii="FangSong" w:eastAsia="FangSong" w:hAnsi="FangSong" w:cs="Arial"/>
                <w:bCs w:val="0"/>
                <w:sz w:val="24"/>
                <w:szCs w:val="24"/>
              </w:rPr>
            </w:pPr>
            <w:r>
              <w:rPr>
                <w:rFonts w:ascii="FangSong" w:eastAsia="FangSong" w:hAnsi="FangSong" w:cs="Arial"/>
                <w:b w:val="0"/>
                <w:sz w:val="24"/>
                <w:szCs w:val="24"/>
              </w:rPr>
              <w:t>於聯交所買賣的證監會認可房地產投資信託基金；及</w:t>
            </w:r>
          </w:p>
          <w:p w14:paraId="5A547692" w14:textId="77777777" w:rsidR="008464FF" w:rsidRDefault="00BD2008">
            <w:pPr>
              <w:pStyle w:val="aff1"/>
              <w:numPr>
                <w:ilvl w:val="0"/>
                <w:numId w:val="3"/>
              </w:numPr>
              <w:snapToGrid w:val="0"/>
              <w:spacing w:before="0" w:after="0" w:line="240" w:lineRule="auto"/>
              <w:ind w:leftChars="0" w:left="0" w:firstLineChars="130" w:firstLine="312"/>
              <w:rPr>
                <w:rFonts w:ascii="FangSong" w:eastAsia="FangSong" w:hAnsi="FangSong" w:cs="Arial"/>
                <w:bCs w:val="0"/>
                <w:sz w:val="24"/>
                <w:szCs w:val="24"/>
              </w:rPr>
            </w:pPr>
            <w:r>
              <w:rPr>
                <w:rFonts w:ascii="FangSong" w:eastAsia="FangSong" w:hAnsi="FangSong" w:cs="Arial"/>
                <w:b w:val="0"/>
                <w:sz w:val="24"/>
                <w:szCs w:val="24"/>
              </w:rPr>
              <w:t>證監會可能不時指明的任何其他投資產品。</w:t>
            </w:r>
          </w:p>
          <w:p w14:paraId="755594AE" w14:textId="77777777" w:rsidR="008464FF" w:rsidRDefault="008464FF">
            <w:pPr>
              <w:snapToGrid w:val="0"/>
              <w:spacing w:before="0" w:after="0" w:line="240" w:lineRule="auto"/>
              <w:ind w:firstLineChars="130" w:firstLine="313"/>
              <w:rPr>
                <w:rFonts w:ascii="FangSong" w:eastAsia="FangSong" w:hAnsi="FangSong" w:cs="Arial"/>
                <w:bCs w:val="0"/>
                <w:sz w:val="24"/>
                <w:szCs w:val="24"/>
              </w:rPr>
            </w:pPr>
          </w:p>
          <w:p w14:paraId="6F35C8A6" w14:textId="77777777" w:rsidR="008464FF" w:rsidRDefault="00BD2008">
            <w:pPr>
              <w:snapToGrid w:val="0"/>
              <w:spacing w:before="0" w:after="0" w:line="240" w:lineRule="auto"/>
              <w:ind w:firstLineChars="130" w:firstLine="313"/>
              <w:rPr>
                <w:rFonts w:ascii="FangSong" w:eastAsia="FangSong" w:hAnsi="FangSong" w:cs="Arial"/>
                <w:b w:val="0"/>
                <w:bCs w:val="0"/>
                <w:sz w:val="24"/>
                <w:szCs w:val="24"/>
                <w:u w:val="single"/>
              </w:rPr>
            </w:pPr>
            <w:r>
              <w:rPr>
                <w:rFonts w:ascii="FangSong" w:eastAsia="FangSong" w:hAnsi="FangSong" w:cs="Arial" w:hint="eastAsia"/>
                <w:sz w:val="24"/>
                <w:szCs w:val="24"/>
                <w:u w:val="single"/>
              </w:rPr>
              <w:t>複雜產品 (在交易所買賣的衍生產品)</w:t>
            </w:r>
          </w:p>
          <w:p w14:paraId="7D5F88CE" w14:textId="77777777" w:rsidR="008464FF" w:rsidRDefault="00BD2008">
            <w:pPr>
              <w:pStyle w:val="aff1"/>
              <w:numPr>
                <w:ilvl w:val="0"/>
                <w:numId w:val="3"/>
              </w:numPr>
              <w:snapToGrid w:val="0"/>
              <w:spacing w:before="0" w:after="0" w:line="240" w:lineRule="auto"/>
              <w:ind w:leftChars="0" w:left="0" w:firstLineChars="130" w:firstLine="312"/>
              <w:rPr>
                <w:rFonts w:ascii="FangSong" w:eastAsia="FangSong" w:hAnsi="FangSong" w:cs="Arial"/>
                <w:bCs w:val="0"/>
                <w:sz w:val="24"/>
                <w:szCs w:val="24"/>
              </w:rPr>
            </w:pPr>
            <w:r>
              <w:rPr>
                <w:rFonts w:ascii="FangSong" w:eastAsia="FangSong" w:hAnsi="FangSong" w:cs="Arial"/>
                <w:b w:val="0"/>
                <w:sz w:val="24"/>
                <w:szCs w:val="24"/>
              </w:rPr>
              <w:t>於期交所買賣的期貨合約；</w:t>
            </w:r>
          </w:p>
          <w:p w14:paraId="55103474" w14:textId="77777777" w:rsidR="008464FF" w:rsidRDefault="00BD2008">
            <w:pPr>
              <w:pStyle w:val="aff1"/>
              <w:numPr>
                <w:ilvl w:val="0"/>
                <w:numId w:val="3"/>
              </w:numPr>
              <w:snapToGrid w:val="0"/>
              <w:spacing w:before="0" w:after="0" w:line="240" w:lineRule="auto"/>
              <w:ind w:leftChars="0" w:left="0" w:firstLineChars="130" w:firstLine="312"/>
              <w:rPr>
                <w:rFonts w:ascii="FangSong" w:eastAsia="FangSong" w:hAnsi="FangSong" w:cs="Arial"/>
                <w:bCs w:val="0"/>
                <w:sz w:val="24"/>
                <w:szCs w:val="24"/>
              </w:rPr>
            </w:pPr>
            <w:r>
              <w:rPr>
                <w:rFonts w:ascii="FangSong" w:eastAsia="FangSong" w:hAnsi="FangSong" w:cs="Arial"/>
                <w:b w:val="0"/>
                <w:sz w:val="24"/>
                <w:szCs w:val="24"/>
              </w:rPr>
              <w:t>於聯交所買賣的股票衍生工具（例如衍生權證、牛熊證及上市認股權）；</w:t>
            </w:r>
          </w:p>
          <w:p w14:paraId="69B93C73" w14:textId="77777777" w:rsidR="008464FF" w:rsidRDefault="00BD2008">
            <w:pPr>
              <w:pStyle w:val="aff1"/>
              <w:numPr>
                <w:ilvl w:val="0"/>
                <w:numId w:val="3"/>
              </w:numPr>
              <w:snapToGrid w:val="0"/>
              <w:spacing w:before="0" w:after="0" w:line="240" w:lineRule="auto"/>
              <w:ind w:leftChars="0" w:left="0" w:firstLineChars="130" w:firstLine="312"/>
              <w:rPr>
                <w:rFonts w:ascii="FangSong" w:eastAsia="FangSong" w:hAnsi="FangSong" w:cs="Arial"/>
                <w:bCs w:val="0"/>
                <w:sz w:val="24"/>
                <w:szCs w:val="24"/>
              </w:rPr>
            </w:pPr>
            <w:r>
              <w:rPr>
                <w:rFonts w:ascii="FangSong" w:eastAsia="FangSong" w:hAnsi="FangSong" w:cs="Arial"/>
                <w:b w:val="0"/>
                <w:sz w:val="24"/>
                <w:szCs w:val="24"/>
              </w:rPr>
              <w:t>證監會認可及於聯交所買賣的合成ETF及期貨ETF；</w:t>
            </w:r>
          </w:p>
          <w:p w14:paraId="025100B7" w14:textId="77777777" w:rsidR="008464FF" w:rsidRDefault="00BD2008">
            <w:pPr>
              <w:pStyle w:val="aff1"/>
              <w:numPr>
                <w:ilvl w:val="0"/>
                <w:numId w:val="3"/>
              </w:numPr>
              <w:snapToGrid w:val="0"/>
              <w:spacing w:before="0" w:after="0" w:line="240" w:lineRule="auto"/>
              <w:ind w:leftChars="0" w:left="0" w:firstLineChars="130" w:firstLine="312"/>
              <w:rPr>
                <w:rFonts w:ascii="FangSong" w:eastAsia="FangSong" w:hAnsi="FangSong" w:cs="Arial"/>
                <w:bCs w:val="0"/>
                <w:sz w:val="24"/>
                <w:szCs w:val="24"/>
              </w:rPr>
            </w:pPr>
            <w:r>
              <w:rPr>
                <w:rFonts w:ascii="FangSong" w:eastAsia="FangSong" w:hAnsi="FangSong" w:cs="Arial"/>
                <w:b w:val="0"/>
                <w:sz w:val="24"/>
                <w:szCs w:val="24"/>
              </w:rPr>
              <w:t>證監會認可及於聯交所買賣的槓桿及反向產品；及</w:t>
            </w:r>
          </w:p>
          <w:p w14:paraId="78952666" w14:textId="77777777" w:rsidR="008464FF" w:rsidRDefault="00BD2008">
            <w:pPr>
              <w:pStyle w:val="aff1"/>
              <w:numPr>
                <w:ilvl w:val="0"/>
                <w:numId w:val="3"/>
              </w:numPr>
              <w:snapToGrid w:val="0"/>
              <w:spacing w:before="0" w:after="0" w:line="240" w:lineRule="auto"/>
              <w:ind w:leftChars="0" w:left="0" w:firstLineChars="130" w:firstLine="312"/>
              <w:rPr>
                <w:rFonts w:ascii="FangSong" w:eastAsia="FangSong" w:hAnsi="FangSong" w:cs="Arial"/>
                <w:bCs w:val="0"/>
                <w:sz w:val="24"/>
                <w:szCs w:val="24"/>
              </w:rPr>
            </w:pPr>
            <w:r>
              <w:rPr>
                <w:rFonts w:ascii="FangSong" w:eastAsia="FangSong" w:hAnsi="FangSong" w:cs="Arial"/>
                <w:b w:val="0"/>
                <w:sz w:val="24"/>
                <w:szCs w:val="24"/>
              </w:rPr>
              <w:t>證監會可能不時指明的任何其他投資產品。</w:t>
            </w:r>
          </w:p>
          <w:p w14:paraId="0CEF008F" w14:textId="77777777" w:rsidR="008464FF" w:rsidRDefault="008464FF">
            <w:pPr>
              <w:snapToGrid w:val="0"/>
              <w:spacing w:before="0" w:after="0" w:line="240" w:lineRule="auto"/>
              <w:rPr>
                <w:rFonts w:ascii="FangSong" w:eastAsia="FangSong" w:hAnsi="FangSong" w:cs="Arial"/>
                <w:b w:val="0"/>
                <w:bCs w:val="0"/>
                <w:sz w:val="24"/>
                <w:szCs w:val="24"/>
              </w:rPr>
            </w:pPr>
          </w:p>
          <w:p w14:paraId="47F52EE9" w14:textId="77777777" w:rsidR="008464FF" w:rsidRDefault="00BD2008">
            <w:pPr>
              <w:snapToGrid w:val="0"/>
              <w:spacing w:before="0" w:after="0" w:line="240" w:lineRule="auto"/>
              <w:ind w:firstLineChars="130" w:firstLine="313"/>
              <w:rPr>
                <w:rFonts w:ascii="FangSong" w:eastAsia="FangSong" w:hAnsi="FangSong" w:cs="Arial"/>
                <w:b w:val="0"/>
                <w:bCs w:val="0"/>
                <w:sz w:val="24"/>
                <w:szCs w:val="24"/>
                <w:u w:val="single"/>
              </w:rPr>
            </w:pPr>
            <w:r>
              <w:rPr>
                <w:rFonts w:ascii="FangSong" w:eastAsia="FangSong" w:hAnsi="FangSong" w:cs="Arial" w:hint="eastAsia"/>
                <w:sz w:val="24"/>
                <w:szCs w:val="24"/>
                <w:u w:val="single"/>
              </w:rPr>
              <w:t>其他複雜產品</w:t>
            </w:r>
          </w:p>
          <w:p w14:paraId="24158CFE" w14:textId="77777777" w:rsidR="008464FF" w:rsidRDefault="00BD2008">
            <w:pPr>
              <w:pStyle w:val="aff1"/>
              <w:numPr>
                <w:ilvl w:val="1"/>
                <w:numId w:val="2"/>
              </w:numPr>
              <w:snapToGrid w:val="0"/>
              <w:spacing w:before="0" w:after="0" w:line="240" w:lineRule="auto"/>
              <w:ind w:leftChars="0"/>
              <w:rPr>
                <w:rFonts w:ascii="FangSong" w:eastAsia="FangSong" w:hAnsi="FangSong" w:cs="Arial"/>
                <w:bCs w:val="0"/>
                <w:sz w:val="24"/>
                <w:szCs w:val="24"/>
              </w:rPr>
            </w:pPr>
            <w:r>
              <w:rPr>
                <w:rFonts w:ascii="FangSong" w:eastAsia="FangSong" w:hAnsi="FangSong" w:cs="Arial"/>
                <w:b w:val="0"/>
                <w:sz w:val="24"/>
                <w:szCs w:val="24"/>
              </w:rPr>
              <w:t>複雜債券。複雜債券是指具有某些特點的債券（包括（但不限於）屬永續性質或後償性質的債券，或那些具有浮息或延遲派付利息條款、可延遲到期日，或那些屬可換股或可交換性質或具有或然撇減或彌補虧損特點的債券，或那些具備非單一信貸支持提供者及結構的債券）及／或由一項或以上特點組成的債券；</w:t>
            </w:r>
          </w:p>
          <w:p w14:paraId="69CEB8C6" w14:textId="77777777" w:rsidR="008464FF" w:rsidRDefault="00BD2008">
            <w:pPr>
              <w:pStyle w:val="aff1"/>
              <w:numPr>
                <w:ilvl w:val="1"/>
                <w:numId w:val="2"/>
              </w:numPr>
              <w:snapToGrid w:val="0"/>
              <w:spacing w:before="0" w:after="0" w:line="240" w:lineRule="auto"/>
              <w:ind w:leftChars="0"/>
              <w:rPr>
                <w:rFonts w:ascii="FangSong" w:eastAsia="FangSong" w:hAnsi="FangSong" w:cs="Arial"/>
                <w:bCs w:val="0"/>
                <w:sz w:val="24"/>
                <w:szCs w:val="24"/>
              </w:rPr>
            </w:pPr>
            <w:r>
              <w:rPr>
                <w:rFonts w:ascii="FangSong" w:eastAsia="FangSong" w:hAnsi="FangSong" w:cs="Arial" w:hint="eastAsia"/>
                <w:b w:val="0"/>
                <w:sz w:val="24"/>
                <w:szCs w:val="24"/>
              </w:rPr>
              <w:t>證監會根據《單位信託守則》認可並屬於衍生產品基金的基金；</w:t>
            </w:r>
          </w:p>
          <w:p w14:paraId="3A936F3A" w14:textId="77777777" w:rsidR="008464FF" w:rsidRDefault="00BD2008">
            <w:pPr>
              <w:pStyle w:val="aff1"/>
              <w:numPr>
                <w:ilvl w:val="1"/>
                <w:numId w:val="2"/>
              </w:numPr>
              <w:snapToGrid w:val="0"/>
              <w:spacing w:before="0" w:after="0" w:line="240" w:lineRule="auto"/>
              <w:ind w:leftChars="0"/>
              <w:rPr>
                <w:rFonts w:ascii="FangSong" w:eastAsia="FangSong" w:hAnsi="FangSong" w:cs="Arial"/>
                <w:bCs w:val="0"/>
                <w:sz w:val="24"/>
                <w:szCs w:val="24"/>
              </w:rPr>
            </w:pPr>
            <w:r>
              <w:rPr>
                <w:rFonts w:ascii="FangSong" w:eastAsia="FangSong" w:hAnsi="FangSong" w:cs="Arial" w:hint="eastAsia"/>
                <w:b w:val="0"/>
                <w:sz w:val="24"/>
                <w:szCs w:val="24"/>
              </w:rPr>
              <w:t>證監會根據《單位信託守則》第8.7條認可的基金（即證監會認可對沖基金）；</w:t>
            </w:r>
          </w:p>
          <w:p w14:paraId="451EE21B" w14:textId="77777777" w:rsidR="008464FF" w:rsidRDefault="00BD2008">
            <w:pPr>
              <w:pStyle w:val="aff1"/>
              <w:numPr>
                <w:ilvl w:val="1"/>
                <w:numId w:val="2"/>
              </w:numPr>
              <w:snapToGrid w:val="0"/>
              <w:spacing w:before="0" w:after="0" w:line="240" w:lineRule="auto"/>
              <w:ind w:leftChars="0"/>
              <w:rPr>
                <w:rFonts w:ascii="FangSong" w:eastAsia="FangSong" w:hAnsi="FangSong" w:cs="Arial"/>
                <w:bCs w:val="0"/>
                <w:sz w:val="24"/>
                <w:szCs w:val="24"/>
              </w:rPr>
            </w:pPr>
            <w:r>
              <w:rPr>
                <w:rFonts w:ascii="FangSong" w:eastAsia="FangSong" w:hAnsi="FangSong" w:cs="Arial" w:hint="eastAsia"/>
                <w:b w:val="0"/>
                <w:sz w:val="24"/>
                <w:szCs w:val="24"/>
              </w:rPr>
              <w:t>證監會認可的非上市結構性投資產品（包括證監會認可股票掛鈎存款、股票掛鈎投資工具／投資等）；</w:t>
            </w:r>
          </w:p>
          <w:p w14:paraId="4CD4FE13" w14:textId="77777777" w:rsidR="008464FF" w:rsidRDefault="00BD2008">
            <w:pPr>
              <w:pStyle w:val="aff1"/>
              <w:numPr>
                <w:ilvl w:val="1"/>
                <w:numId w:val="2"/>
              </w:numPr>
              <w:snapToGrid w:val="0"/>
              <w:spacing w:before="0" w:after="0" w:line="240" w:lineRule="auto"/>
              <w:ind w:leftChars="0"/>
              <w:rPr>
                <w:rFonts w:ascii="FangSong" w:eastAsia="FangSong" w:hAnsi="FangSong" w:cs="Arial"/>
                <w:bCs w:val="0"/>
                <w:sz w:val="24"/>
                <w:szCs w:val="24"/>
              </w:rPr>
            </w:pPr>
            <w:r>
              <w:rPr>
                <w:rFonts w:ascii="FangSong" w:eastAsia="FangSong" w:hAnsi="FangSong" w:cs="Arial" w:hint="eastAsia"/>
                <w:b w:val="0"/>
                <w:sz w:val="24"/>
                <w:szCs w:val="24"/>
              </w:rPr>
              <w:t>其他並非在交易所買賣的結構性投資產品；及</w:t>
            </w:r>
          </w:p>
          <w:p w14:paraId="2223F7B2" w14:textId="77777777" w:rsidR="008464FF" w:rsidRDefault="00BD2008">
            <w:pPr>
              <w:pStyle w:val="aff1"/>
              <w:numPr>
                <w:ilvl w:val="1"/>
                <w:numId w:val="2"/>
              </w:numPr>
              <w:snapToGrid w:val="0"/>
              <w:spacing w:before="0" w:after="0" w:line="240" w:lineRule="auto"/>
              <w:ind w:leftChars="0"/>
              <w:rPr>
                <w:rFonts w:ascii="FangSong" w:eastAsia="FangSong" w:hAnsi="FangSong" w:cs="Arial"/>
                <w:bCs w:val="0"/>
                <w:sz w:val="24"/>
                <w:szCs w:val="24"/>
              </w:rPr>
            </w:pPr>
            <w:r>
              <w:rPr>
                <w:rFonts w:ascii="FangSong" w:eastAsia="FangSong" w:hAnsi="FangSong" w:cs="Arial" w:hint="eastAsia"/>
                <w:b w:val="0"/>
                <w:sz w:val="24"/>
                <w:szCs w:val="24"/>
              </w:rPr>
              <w:t>證監會可能不時指明的任何其他投資產品。</w:t>
            </w:r>
          </w:p>
          <w:p w14:paraId="58E22481" w14:textId="77777777" w:rsidR="008464FF" w:rsidRDefault="00BD2008">
            <w:pPr>
              <w:snapToGrid w:val="0"/>
              <w:spacing w:before="0" w:after="0" w:line="240" w:lineRule="auto"/>
              <w:rPr>
                <w:rFonts w:ascii="FangSong" w:eastAsia="FangSong" w:hAnsi="FangSong" w:cs="Arial"/>
                <w:bCs w:val="0"/>
                <w:sz w:val="24"/>
                <w:szCs w:val="24"/>
              </w:rPr>
            </w:pPr>
            <w:r>
              <w:rPr>
                <w:rFonts w:ascii="FangSong" w:eastAsia="FangSong" w:hAnsi="FangSong" w:cs="Arial"/>
                <w:b w:val="0"/>
                <w:sz w:val="24"/>
                <w:szCs w:val="24"/>
              </w:rPr>
              <w:t xml:space="preserve"> </w:t>
            </w:r>
          </w:p>
          <w:p w14:paraId="769F5595" w14:textId="77777777" w:rsidR="008464FF" w:rsidRDefault="00BD2008">
            <w:pPr>
              <w:snapToGrid w:val="0"/>
              <w:spacing w:before="0" w:after="0" w:line="240" w:lineRule="auto"/>
              <w:rPr>
                <w:rFonts w:ascii="FangSong" w:eastAsia="FangSong" w:hAnsi="FangSong" w:cs="Arial"/>
                <w:bCs w:val="0"/>
                <w:sz w:val="24"/>
                <w:szCs w:val="24"/>
              </w:rPr>
            </w:pPr>
            <w:r>
              <w:rPr>
                <w:rFonts w:ascii="FangSong" w:eastAsia="FangSong" w:hAnsi="FangSong" w:cs="Arial"/>
                <w:b w:val="0"/>
                <w:sz w:val="24"/>
                <w:szCs w:val="24"/>
              </w:rPr>
              <w:t>有關釐定非認可基金是否屬於複雜產品的流程圖可透過</w:t>
            </w:r>
            <w:hyperlink r:id="rId13" w:history="1">
              <w:r>
                <w:rPr>
                  <w:rStyle w:val="af9"/>
                  <w:rFonts w:ascii="FangSong" w:eastAsia="FangSong" w:hAnsi="FangSong" w:cs="Arial"/>
                  <w:b w:val="0"/>
                  <w:sz w:val="24"/>
                  <w:szCs w:val="24"/>
                </w:rPr>
                <w:t>https://www.sfc.hk/web/TC/files/Unauthorized%20funds%20flowchart.pdf</w:t>
              </w:r>
            </w:hyperlink>
            <w:r>
              <w:rPr>
                <w:rFonts w:ascii="FangSong" w:eastAsia="FangSong" w:hAnsi="FangSong" w:cs="Arial"/>
                <w:b w:val="0"/>
                <w:sz w:val="24"/>
                <w:szCs w:val="24"/>
              </w:rPr>
              <w:t>取覽，以作參考之用。</w:t>
            </w:r>
          </w:p>
          <w:p w14:paraId="59A32479" w14:textId="77777777" w:rsidR="008464FF" w:rsidRDefault="008464FF">
            <w:pPr>
              <w:snapToGrid w:val="0"/>
              <w:spacing w:before="0" w:after="0" w:line="240" w:lineRule="auto"/>
              <w:rPr>
                <w:rFonts w:ascii="FangSong" w:eastAsia="FangSong" w:hAnsi="FangSong" w:cs="Arial"/>
                <w:bCs w:val="0"/>
                <w:sz w:val="24"/>
                <w:szCs w:val="24"/>
              </w:rPr>
            </w:pPr>
          </w:p>
          <w:p w14:paraId="62BB0CCC" w14:textId="77777777" w:rsidR="008464FF" w:rsidRDefault="00BD2008">
            <w:pPr>
              <w:snapToGrid w:val="0"/>
              <w:spacing w:before="0" w:after="0" w:line="240" w:lineRule="auto"/>
              <w:rPr>
                <w:rFonts w:ascii="FangSong" w:eastAsia="FangSong" w:hAnsi="FangSong" w:cs="Arial"/>
                <w:bCs w:val="0"/>
                <w:sz w:val="24"/>
                <w:szCs w:val="24"/>
              </w:rPr>
            </w:pPr>
            <w:r>
              <w:rPr>
                <w:rFonts w:ascii="FangSong" w:eastAsia="FangSong" w:hAnsi="FangSong" w:cs="Arial"/>
                <w:b w:val="0"/>
                <w:sz w:val="24"/>
                <w:szCs w:val="24"/>
              </w:rPr>
              <w:t>證監會不時於網站</w:t>
            </w:r>
            <w:hyperlink r:id="rId14" w:history="1">
              <w:r>
                <w:rPr>
                  <w:rStyle w:val="af9"/>
                  <w:rFonts w:ascii="FangSong" w:eastAsia="FangSong" w:hAnsi="FangSong" w:cs="Arial"/>
                  <w:b w:val="0"/>
                  <w:sz w:val="24"/>
                  <w:szCs w:val="24"/>
                </w:rPr>
                <w:t>https://www.sfc.hk/web/TC/rules-and-standards/suitability-requirement/non-complex-and-complex-products/</w:t>
              </w:r>
            </w:hyperlink>
            <w:r>
              <w:rPr>
                <w:rFonts w:ascii="FangSong" w:eastAsia="FangSong" w:hAnsi="FangSong" w:cs="Arial"/>
                <w:b w:val="0"/>
                <w:sz w:val="24"/>
                <w:szCs w:val="24"/>
              </w:rPr>
              <w:t>更新以上的列表。</w:t>
            </w:r>
          </w:p>
          <w:p w14:paraId="3CE6DBF4" w14:textId="77777777" w:rsidR="008464FF" w:rsidRDefault="008464FF">
            <w:pPr>
              <w:snapToGrid w:val="0"/>
              <w:spacing w:before="0" w:after="0" w:line="240" w:lineRule="auto"/>
              <w:rPr>
                <w:rFonts w:ascii="FangSong" w:eastAsia="FangSong" w:hAnsi="FangSong" w:cs="Arial"/>
                <w:bCs w:val="0"/>
                <w:sz w:val="24"/>
                <w:szCs w:val="24"/>
              </w:rPr>
            </w:pPr>
          </w:p>
          <w:p w14:paraId="7F91046A" w14:textId="77777777" w:rsidR="008464FF" w:rsidRDefault="00BD2008">
            <w:pPr>
              <w:pStyle w:val="aff1"/>
              <w:numPr>
                <w:ilvl w:val="0"/>
                <w:numId w:val="2"/>
              </w:numPr>
              <w:snapToGrid w:val="0"/>
              <w:spacing w:before="0" w:after="0" w:line="240" w:lineRule="auto"/>
              <w:ind w:leftChars="0"/>
              <w:rPr>
                <w:rFonts w:ascii="FangSong" w:eastAsia="FangSong" w:hAnsi="FangSong" w:cs="Arial"/>
                <w:bCs w:val="0"/>
                <w:sz w:val="24"/>
                <w:szCs w:val="24"/>
              </w:rPr>
            </w:pPr>
            <w:r>
              <w:rPr>
                <w:rFonts w:ascii="FangSong" w:eastAsia="FangSong" w:hAnsi="FangSong" w:cs="Arial" w:hint="eastAsia"/>
                <w:sz w:val="24"/>
                <w:szCs w:val="24"/>
              </w:rPr>
              <w:t>指明司法管轄區</w:t>
            </w:r>
          </w:p>
          <w:p w14:paraId="79636278" w14:textId="77777777" w:rsidR="008464FF" w:rsidRDefault="00BD2008">
            <w:pPr>
              <w:snapToGrid w:val="0"/>
              <w:spacing w:before="0" w:after="0" w:line="240" w:lineRule="auto"/>
              <w:ind w:leftChars="156" w:left="312" w:firstLine="1"/>
              <w:rPr>
                <w:rFonts w:ascii="FangSong" w:eastAsia="FangSong" w:hAnsi="FangSong" w:cs="Arial"/>
                <w:bCs w:val="0"/>
                <w:sz w:val="24"/>
                <w:szCs w:val="24"/>
              </w:rPr>
            </w:pPr>
            <w:r>
              <w:rPr>
                <w:rFonts w:ascii="FangSong" w:eastAsia="FangSong" w:hAnsi="FangSong" w:cs="Arial" w:hint="eastAsia"/>
                <w:b w:val="0"/>
                <w:sz w:val="24"/>
                <w:szCs w:val="24"/>
              </w:rPr>
              <w:t xml:space="preserve">也應考慮某項投資產品是否與非複雜及複雜產品的例子列表中所載的投資產品屬同一種類，以及該產品是否在指明司法管轄區受到監管或在其區內的交易所買賣。證監會網站的指明司法管轄區名單 : </w:t>
            </w:r>
            <w:hyperlink r:id="rId15" w:history="1">
              <w:r>
                <w:rPr>
                  <w:rStyle w:val="af9"/>
                  <w:rFonts w:ascii="FangSong" w:eastAsia="FangSong" w:hAnsi="FangSong" w:cs="Arial"/>
                  <w:b w:val="0"/>
                  <w:sz w:val="24"/>
                  <w:szCs w:val="24"/>
                </w:rPr>
                <w:t>https://www.sfc.hk/web/TC/rules-and-standards/suitability-requirement/non-complex-and-complex-products/list-of-specified-jurisdictions.html</w:t>
              </w:r>
            </w:hyperlink>
          </w:p>
          <w:p w14:paraId="74C5A17B" w14:textId="77777777" w:rsidR="008464FF" w:rsidRDefault="00BD2008">
            <w:pPr>
              <w:snapToGrid w:val="0"/>
              <w:spacing w:before="0" w:after="0" w:line="240" w:lineRule="auto"/>
              <w:ind w:leftChars="156" w:left="312" w:firstLine="1"/>
              <w:rPr>
                <w:rFonts w:ascii="FangSong" w:eastAsia="FangSong" w:hAnsi="FangSong" w:cs="Arial"/>
                <w:b w:val="0"/>
                <w:bCs w:val="0"/>
                <w:sz w:val="24"/>
                <w:szCs w:val="24"/>
              </w:rPr>
            </w:pPr>
            <w:r>
              <w:rPr>
                <w:rFonts w:ascii="FangSong" w:eastAsia="FangSong" w:hAnsi="FangSong" w:cs="Arial" w:hint="eastAsia"/>
                <w:b w:val="0"/>
                <w:sz w:val="24"/>
                <w:szCs w:val="24"/>
              </w:rPr>
              <w:t>假如該產品是在指明司法管轄區以外的司法管轄區受到監管或在其區內的交易所買賣，便應格外審慎。</w:t>
            </w:r>
          </w:p>
        </w:tc>
      </w:tr>
    </w:tbl>
    <w:p w14:paraId="56AE2CEF" w14:textId="77777777" w:rsidR="008464FF" w:rsidRDefault="008464FF">
      <w:pPr>
        <w:pStyle w:val="aff1"/>
        <w:spacing w:before="0" w:after="0"/>
        <w:ind w:leftChars="0" w:left="360"/>
        <w:rPr>
          <w:rFonts w:ascii="FangSong" w:eastAsia="FangSong" w:hAnsi="FangSong" w:cs="Times New Roman"/>
          <w:b/>
          <w:color w:val="000000"/>
          <w:sz w:val="24"/>
          <w:szCs w:val="24"/>
        </w:rPr>
      </w:pPr>
    </w:p>
    <w:p w14:paraId="72FEB1FA" w14:textId="77777777" w:rsidR="008464FF" w:rsidRDefault="00BD2008">
      <w:pPr>
        <w:pStyle w:val="aff1"/>
        <w:numPr>
          <w:ilvl w:val="0"/>
          <w:numId w:val="1"/>
        </w:numPr>
        <w:shd w:val="clear" w:color="auto" w:fill="FFFFFF"/>
        <w:spacing w:before="0" w:after="0" w:line="240" w:lineRule="auto"/>
        <w:ind w:leftChars="0" w:left="270" w:rightChars="-71" w:right="-142"/>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t>風險評估內容 (圈選各項評分)</w:t>
      </w:r>
    </w:p>
    <w:tbl>
      <w:tblPr>
        <w:tblStyle w:val="af6"/>
        <w:tblW w:w="0" w:type="auto"/>
        <w:jc w:val="center"/>
        <w:tblLook w:val="04A0" w:firstRow="1" w:lastRow="0" w:firstColumn="1" w:lastColumn="0" w:noHBand="0" w:noVBand="1"/>
      </w:tblPr>
      <w:tblGrid>
        <w:gridCol w:w="718"/>
        <w:gridCol w:w="6804"/>
        <w:gridCol w:w="2407"/>
      </w:tblGrid>
      <w:tr w:rsidR="008464FF" w14:paraId="68AE3818" w14:textId="77777777">
        <w:trPr>
          <w:jc w:val="center"/>
        </w:trPr>
        <w:tc>
          <w:tcPr>
            <w:tcW w:w="718" w:type="dxa"/>
            <w:tcBorders>
              <w:bottom w:val="single" w:sz="4" w:space="0" w:color="auto"/>
            </w:tcBorders>
          </w:tcPr>
          <w:p w14:paraId="2FFEA5E7" w14:textId="77777777" w:rsidR="008464FF" w:rsidRDefault="00BD2008">
            <w:pPr>
              <w:pStyle w:val="aff1"/>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.1</w:t>
            </w:r>
          </w:p>
        </w:tc>
        <w:tc>
          <w:tcPr>
            <w:tcW w:w="6804" w:type="dxa"/>
            <w:tcBorders>
              <w:bottom w:val="single" w:sz="4" w:space="0" w:color="auto"/>
            </w:tcBorders>
          </w:tcPr>
          <w:p w14:paraId="572F5FEA" w14:textId="77777777" w:rsidR="008464FF" w:rsidRDefault="00BD2008">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b/>
                <w:color w:val="000000"/>
                <w:sz w:val="24"/>
                <w:szCs w:val="24"/>
              </w:rPr>
              <w:t>基金種類</w:t>
            </w:r>
          </w:p>
        </w:tc>
        <w:tc>
          <w:tcPr>
            <w:tcW w:w="2407" w:type="dxa"/>
            <w:tcBorders>
              <w:bottom w:val="single" w:sz="4" w:space="0" w:color="auto"/>
            </w:tcBorders>
          </w:tcPr>
          <w:p w14:paraId="4F7F7B69" w14:textId="77777777" w:rsidR="008464FF" w:rsidRDefault="00BD2008">
            <w:pPr>
              <w:pStyle w:val="aff1"/>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8464FF" w14:paraId="7DCE30E8" w14:textId="77777777">
        <w:trPr>
          <w:jc w:val="center"/>
        </w:trPr>
        <w:tc>
          <w:tcPr>
            <w:tcW w:w="718" w:type="dxa"/>
            <w:tcBorders>
              <w:left w:val="single" w:sz="4" w:space="0" w:color="auto"/>
            </w:tcBorders>
          </w:tcPr>
          <w:p w14:paraId="7EAADF76"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804" w:type="dxa"/>
          </w:tcPr>
          <w:p w14:paraId="7C4B9D89"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貨幣市場</w:t>
            </w:r>
            <w:r>
              <w:rPr>
                <w:rFonts w:ascii="FangSong" w:eastAsia="FangSong" w:hAnsi="FangSong" w:cs="Times New Roman" w:hint="eastAsia"/>
                <w:color w:val="000000"/>
                <w:sz w:val="24"/>
                <w:szCs w:val="24"/>
              </w:rPr>
              <w:t>型</w:t>
            </w:r>
          </w:p>
        </w:tc>
        <w:tc>
          <w:tcPr>
            <w:tcW w:w="2407" w:type="dxa"/>
            <w:tcBorders>
              <w:right w:val="single" w:sz="4" w:space="0" w:color="auto"/>
            </w:tcBorders>
          </w:tcPr>
          <w:p w14:paraId="7BE791B8" w14:textId="77777777" w:rsidR="008464FF" w:rsidRDefault="00BD2008">
            <w:r>
              <w:rPr>
                <w:rFonts w:ascii="FangSong" w:hAnsi="FangSong"/>
                <w:sz w:val="24"/>
              </w:rPr>
              <w:t>☑ 1</w:t>
            </w:r>
          </w:p>
        </w:tc>
      </w:tr>
      <w:tr w:rsidR="008464FF" w14:paraId="2FA4360D" w14:textId="77777777">
        <w:trPr>
          <w:jc w:val="center"/>
        </w:trPr>
        <w:tc>
          <w:tcPr>
            <w:tcW w:w="718" w:type="dxa"/>
            <w:tcBorders>
              <w:left w:val="single" w:sz="4" w:space="0" w:color="auto"/>
            </w:tcBorders>
          </w:tcPr>
          <w:p w14:paraId="6A37383A"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804" w:type="dxa"/>
          </w:tcPr>
          <w:p w14:paraId="63750453"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債券型（除可轉換債券型、債券型基金劣後份額）</w:t>
            </w:r>
          </w:p>
        </w:tc>
        <w:tc>
          <w:tcPr>
            <w:tcW w:w="2407" w:type="dxa"/>
            <w:tcBorders>
              <w:right w:val="single" w:sz="4" w:space="0" w:color="auto"/>
            </w:tcBorders>
          </w:tcPr>
          <w:p w14:paraId="1B33DCA4"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2</w:t>
            </w:r>
          </w:p>
        </w:tc>
      </w:tr>
      <w:tr w:rsidR="008464FF" w14:paraId="57CE45E3" w14:textId="77777777">
        <w:trPr>
          <w:jc w:val="center"/>
        </w:trPr>
        <w:tc>
          <w:tcPr>
            <w:tcW w:w="718" w:type="dxa"/>
            <w:tcBorders>
              <w:left w:val="single" w:sz="4" w:space="0" w:color="auto"/>
            </w:tcBorders>
          </w:tcPr>
          <w:p w14:paraId="49BA6C96"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0FE4847F"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混合型（股票資產占比不可高於</w:t>
            </w:r>
            <w:r>
              <w:rPr>
                <w:rFonts w:ascii="FangSong" w:eastAsia="FangSong" w:hAnsi="FangSong" w:cs="Times New Roman"/>
                <w:color w:val="000000"/>
                <w:sz w:val="24"/>
                <w:szCs w:val="24"/>
              </w:rPr>
              <w:t>80%</w:t>
            </w:r>
            <w:r>
              <w:rPr>
                <w:rFonts w:ascii="FangSong" w:eastAsia="FangSong" w:hAnsi="FangSong" w:cs="Times New Roman" w:hint="eastAsia"/>
                <w:color w:val="000000"/>
                <w:sz w:val="24"/>
                <w:szCs w:val="24"/>
              </w:rPr>
              <w:t>）、可轉換債券型、</w:t>
            </w:r>
            <w:r>
              <w:rPr>
                <w:rFonts w:ascii="FangSong" w:eastAsia="FangSong" w:hAnsi="FangSong" w:cs="Times New Roman"/>
                <w:color w:val="000000"/>
                <w:sz w:val="24"/>
                <w:szCs w:val="24"/>
              </w:rPr>
              <w:t>REITs</w:t>
            </w:r>
          </w:p>
        </w:tc>
        <w:tc>
          <w:tcPr>
            <w:tcW w:w="2407" w:type="dxa"/>
            <w:tcBorders>
              <w:right w:val="single" w:sz="4" w:space="0" w:color="auto"/>
            </w:tcBorders>
          </w:tcPr>
          <w:p w14:paraId="4CBBB2FC"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8464FF" w14:paraId="2FC49825" w14:textId="77777777">
        <w:trPr>
          <w:jc w:val="center"/>
        </w:trPr>
        <w:tc>
          <w:tcPr>
            <w:tcW w:w="718" w:type="dxa"/>
            <w:tcBorders>
              <w:left w:val="single" w:sz="4" w:space="0" w:color="auto"/>
            </w:tcBorders>
          </w:tcPr>
          <w:p w14:paraId="1F5BF53A"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25DB6ACB"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股票型（除股票型基金劣後份額）、混合型（股票資產占比可高於</w:t>
            </w:r>
            <w:r>
              <w:rPr>
                <w:rFonts w:ascii="FangSong" w:eastAsia="FangSong" w:hAnsi="FangSong" w:cs="Times New Roman"/>
                <w:color w:val="000000"/>
                <w:sz w:val="24"/>
                <w:szCs w:val="24"/>
              </w:rPr>
              <w:t>80%</w:t>
            </w:r>
            <w:r>
              <w:rPr>
                <w:rFonts w:ascii="FangSong" w:eastAsia="FangSong" w:hAnsi="FangSong" w:cs="Times New Roman" w:hint="eastAsia"/>
                <w:color w:val="000000"/>
                <w:sz w:val="24"/>
                <w:szCs w:val="24"/>
              </w:rPr>
              <w:t>）</w:t>
            </w:r>
          </w:p>
        </w:tc>
        <w:tc>
          <w:tcPr>
            <w:tcW w:w="2407" w:type="dxa"/>
            <w:tcBorders>
              <w:right w:val="single" w:sz="4" w:space="0" w:color="auto"/>
            </w:tcBorders>
          </w:tcPr>
          <w:p w14:paraId="6D9CB47A"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4</w:t>
            </w:r>
          </w:p>
        </w:tc>
      </w:tr>
      <w:tr w:rsidR="008464FF" w14:paraId="1D768DEF" w14:textId="77777777">
        <w:trPr>
          <w:jc w:val="center"/>
        </w:trPr>
        <w:tc>
          <w:tcPr>
            <w:tcW w:w="718" w:type="dxa"/>
            <w:tcBorders>
              <w:left w:val="single" w:sz="4" w:space="0" w:color="auto"/>
              <w:bottom w:val="single" w:sz="4" w:space="0" w:color="auto"/>
            </w:tcBorders>
          </w:tcPr>
          <w:p w14:paraId="240D859B"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Borders>
              <w:bottom w:val="single" w:sz="4" w:space="0" w:color="auto"/>
            </w:tcBorders>
          </w:tcPr>
          <w:p w14:paraId="35CB4DB2"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分級產品劣後份額等</w:t>
            </w:r>
          </w:p>
        </w:tc>
        <w:tc>
          <w:tcPr>
            <w:tcW w:w="2407" w:type="dxa"/>
            <w:tcBorders>
              <w:bottom w:val="single" w:sz="4" w:space="0" w:color="auto"/>
              <w:right w:val="single" w:sz="4" w:space="0" w:color="auto"/>
            </w:tcBorders>
          </w:tcPr>
          <w:p w14:paraId="53707CF4"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r w:rsidR="008464FF" w14:paraId="6AABC697" w14:textId="77777777">
        <w:trPr>
          <w:trHeight w:val="669"/>
          <w:jc w:val="center"/>
        </w:trPr>
        <w:tc>
          <w:tcPr>
            <w:tcW w:w="718" w:type="dxa"/>
            <w:tcBorders>
              <w:left w:val="single" w:sz="4" w:space="0" w:color="auto"/>
              <w:bottom w:val="single" w:sz="4" w:space="0" w:color="auto"/>
            </w:tcBorders>
          </w:tcPr>
          <w:p w14:paraId="682FD5E0"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804" w:type="dxa"/>
            <w:tcBorders>
              <w:bottom w:val="single" w:sz="4" w:space="0" w:color="auto"/>
            </w:tcBorders>
          </w:tcPr>
          <w:p w14:paraId="0E2CDA3B"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其他，請說明</w:t>
            </w:r>
            <w:r>
              <w:rPr>
                <w:rFonts w:ascii="FangSong" w:eastAsia="FangSong" w:hAnsi="FangSong" w:cs="Times New Roman" w:hint="eastAsia"/>
                <w:color w:val="000000"/>
                <w:sz w:val="24"/>
                <w:szCs w:val="24"/>
              </w:rPr>
              <w:t>:</w:t>
            </w:r>
            <w:r>
              <w:rPr>
                <w:rFonts w:ascii="FangSong" w:eastAsia="FangSong" w:hAnsi="FangSong" w:cs="Times New Roman"/>
                <w:color w:val="000000"/>
                <w:sz w:val="24"/>
                <w:szCs w:val="24"/>
              </w:rPr>
              <w:t xml:space="preserve"> ________________________________________</w:t>
            </w:r>
          </w:p>
          <w:p w14:paraId="69BCB377"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(需打分，</w:t>
            </w:r>
            <w:r>
              <w:rPr>
                <w:rFonts w:ascii="FangSong" w:eastAsia="FangSong" w:hAnsi="FangSong" w:cs="Times New Roman" w:hint="eastAsia"/>
                <w:color w:val="000000"/>
                <w:sz w:val="24"/>
                <w:szCs w:val="24"/>
              </w:rPr>
              <w:t>1</w:t>
            </w:r>
            <w:r>
              <w:rPr>
                <w:rFonts w:ascii="FangSong" w:eastAsia="FangSong" w:hAnsi="FangSong" w:cs="Times New Roman"/>
                <w:color w:val="000000"/>
                <w:sz w:val="24"/>
                <w:szCs w:val="24"/>
              </w:rPr>
              <w:t>-5分內</w:t>
            </w:r>
            <w:r>
              <w:rPr>
                <w:rFonts w:ascii="FangSong" w:eastAsia="FangSong" w:hAnsi="FangSong" w:cs="Times New Roman" w:hint="eastAsia"/>
                <w:color w:val="000000"/>
                <w:sz w:val="24"/>
                <w:szCs w:val="24"/>
              </w:rPr>
              <w:t>)</w:t>
            </w:r>
          </w:p>
        </w:tc>
        <w:tc>
          <w:tcPr>
            <w:tcW w:w="2407" w:type="dxa"/>
            <w:tcBorders>
              <w:bottom w:val="single" w:sz="4" w:space="0" w:color="auto"/>
              <w:right w:val="single" w:sz="4" w:space="0" w:color="auto"/>
            </w:tcBorders>
          </w:tcPr>
          <w:p w14:paraId="073DD89D" w14:textId="77777777" w:rsidR="008464FF" w:rsidRDefault="00BD2008">
            <w:pPr>
              <w:snapToGrid w:val="0"/>
              <w:spacing w:before="0" w:after="0" w:line="240" w:lineRule="auto"/>
              <w:rPr>
                <w:rFonts w:ascii="FangSong" w:eastAsia="FangSong" w:hAnsi="FangSong" w:cs="Times New Roman"/>
                <w:color w:val="000000"/>
                <w:sz w:val="24"/>
                <w:szCs w:val="24"/>
                <w:lang w:eastAsia="zh-CN"/>
              </w:rPr>
            </w:pPr>
            <w:r>
              <w:rPr>
                <w:rFonts w:ascii="FangSong" w:eastAsia="FangSong" w:hAnsi="FangSong"/>
                <w:sz w:val="24"/>
              </w:rPr>
              <w:t xml:space="preserve">□ </w:t>
            </w:r>
          </w:p>
        </w:tc>
      </w:tr>
    </w:tbl>
    <w:p w14:paraId="5AEE7A9A" w14:textId="77777777" w:rsidR="008464FF" w:rsidRDefault="008464FF">
      <w:pPr>
        <w:pStyle w:val="aff1"/>
        <w:shd w:val="clear" w:color="auto" w:fill="FFFFFF"/>
        <w:snapToGrid w:val="0"/>
        <w:spacing w:before="0" w:after="0" w:line="240" w:lineRule="auto"/>
        <w:ind w:leftChars="0" w:left="425"/>
      </w:pPr>
    </w:p>
    <w:tbl>
      <w:tblPr>
        <w:tblStyle w:val="af6"/>
        <w:tblpPr w:leftFromText="180" w:rightFromText="180" w:vertAnchor="text" w:horzAnchor="page" w:tblpXSpec="center" w:tblpY="30"/>
        <w:tblOverlap w:val="never"/>
        <w:tblW w:w="0" w:type="auto"/>
        <w:jc w:val="center"/>
        <w:tblLook w:val="04A0" w:firstRow="1" w:lastRow="0" w:firstColumn="1" w:lastColumn="0" w:noHBand="0" w:noVBand="1"/>
      </w:tblPr>
      <w:tblGrid>
        <w:gridCol w:w="712"/>
        <w:gridCol w:w="6804"/>
        <w:gridCol w:w="2425"/>
      </w:tblGrid>
      <w:tr w:rsidR="008464FF" w14:paraId="18807736" w14:textId="77777777">
        <w:trPr>
          <w:jc w:val="center"/>
        </w:trPr>
        <w:tc>
          <w:tcPr>
            <w:tcW w:w="712" w:type="dxa"/>
            <w:tcBorders>
              <w:top w:val="single" w:sz="4" w:space="0" w:color="auto"/>
              <w:bottom w:val="single" w:sz="4" w:space="0" w:color="auto"/>
            </w:tcBorders>
          </w:tcPr>
          <w:p w14:paraId="09E2476E" w14:textId="77777777" w:rsidR="008464FF" w:rsidRDefault="00BD2008">
            <w:pPr>
              <w:pStyle w:val="aff1"/>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.2</w:t>
            </w:r>
          </w:p>
        </w:tc>
        <w:tc>
          <w:tcPr>
            <w:tcW w:w="6804" w:type="dxa"/>
            <w:tcBorders>
              <w:top w:val="single" w:sz="4" w:space="0" w:color="auto"/>
              <w:bottom w:val="single" w:sz="4" w:space="0" w:color="auto"/>
            </w:tcBorders>
          </w:tcPr>
          <w:p w14:paraId="48DB0680" w14:textId="77777777" w:rsidR="008464FF" w:rsidRDefault="00BD2008">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b/>
                <w:color w:val="000000"/>
                <w:sz w:val="24"/>
                <w:szCs w:val="24"/>
              </w:rPr>
              <w:t>投資區域分類</w:t>
            </w:r>
          </w:p>
        </w:tc>
        <w:tc>
          <w:tcPr>
            <w:tcW w:w="2425" w:type="dxa"/>
            <w:tcBorders>
              <w:top w:val="single" w:sz="4" w:space="0" w:color="auto"/>
              <w:bottom w:val="single" w:sz="4" w:space="0" w:color="auto"/>
            </w:tcBorders>
          </w:tcPr>
          <w:p w14:paraId="1595378A" w14:textId="77777777" w:rsidR="008464FF" w:rsidRDefault="00BD2008">
            <w:pPr>
              <w:pStyle w:val="aff1"/>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8464FF" w14:paraId="78ED560C" w14:textId="77777777">
        <w:trPr>
          <w:jc w:val="center"/>
        </w:trPr>
        <w:tc>
          <w:tcPr>
            <w:tcW w:w="712" w:type="dxa"/>
            <w:tcBorders>
              <w:top w:val="single" w:sz="4" w:space="0" w:color="auto"/>
              <w:left w:val="single" w:sz="4" w:space="0" w:color="auto"/>
            </w:tcBorders>
          </w:tcPr>
          <w:p w14:paraId="136A1070"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6705468B"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環球市場</w:t>
            </w:r>
          </w:p>
        </w:tc>
        <w:tc>
          <w:tcPr>
            <w:tcW w:w="2425" w:type="dxa"/>
            <w:tcBorders>
              <w:top w:val="single" w:sz="4" w:space="0" w:color="auto"/>
              <w:right w:val="single" w:sz="4" w:space="0" w:color="auto"/>
            </w:tcBorders>
          </w:tcPr>
          <w:p w14:paraId="507022A1" w14:textId="77777777" w:rsidR="008464FF" w:rsidRDefault="00BD2008">
            <w:r>
              <w:rPr>
                <w:rFonts w:ascii="FangSong" w:hAnsi="FangSong"/>
                <w:sz w:val="24"/>
              </w:rPr>
              <w:t>☑ 1</w:t>
            </w:r>
          </w:p>
        </w:tc>
      </w:tr>
      <w:tr w:rsidR="008464FF" w14:paraId="723DB6A7" w14:textId="77777777">
        <w:trPr>
          <w:jc w:val="center"/>
        </w:trPr>
        <w:tc>
          <w:tcPr>
            <w:tcW w:w="712" w:type="dxa"/>
            <w:tcBorders>
              <w:left w:val="single" w:sz="4" w:space="0" w:color="auto"/>
            </w:tcBorders>
          </w:tcPr>
          <w:p w14:paraId="440B0937"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804" w:type="dxa"/>
          </w:tcPr>
          <w:p w14:paraId="766D4A62"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整體已開發市場</w:t>
            </w:r>
          </w:p>
        </w:tc>
        <w:tc>
          <w:tcPr>
            <w:tcW w:w="2425" w:type="dxa"/>
            <w:tcBorders>
              <w:right w:val="single" w:sz="4" w:space="0" w:color="auto"/>
            </w:tcBorders>
          </w:tcPr>
          <w:p w14:paraId="59CB95C6"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2</w:t>
            </w:r>
          </w:p>
        </w:tc>
      </w:tr>
      <w:tr w:rsidR="008464FF" w14:paraId="41160DF4" w14:textId="77777777">
        <w:trPr>
          <w:jc w:val="center"/>
        </w:trPr>
        <w:tc>
          <w:tcPr>
            <w:tcW w:w="712" w:type="dxa"/>
            <w:tcBorders>
              <w:left w:val="single" w:sz="4" w:space="0" w:color="auto"/>
            </w:tcBorders>
          </w:tcPr>
          <w:p w14:paraId="449509D2"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24A69F86"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已開發</w:t>
            </w:r>
            <w:r>
              <w:rPr>
                <w:rFonts w:ascii="FangSong" w:eastAsia="FangSong" w:hAnsi="FangSong" w:cs="Times New Roman" w:hint="eastAsia"/>
                <w:color w:val="000000"/>
                <w:sz w:val="24"/>
                <w:szCs w:val="24"/>
              </w:rPr>
              <w:t>市場</w:t>
            </w:r>
            <w:r>
              <w:rPr>
                <w:rFonts w:ascii="FangSong" w:eastAsia="FangSong" w:hAnsi="FangSong" w:cs="Times New Roman"/>
                <w:color w:val="000000"/>
                <w:sz w:val="24"/>
                <w:szCs w:val="24"/>
              </w:rPr>
              <w:t xml:space="preserve"> – </w:t>
            </w:r>
            <w:r>
              <w:rPr>
                <w:rFonts w:ascii="FangSong" w:eastAsia="FangSong" w:hAnsi="FangSong" w:cs="Times New Roman" w:hint="eastAsia"/>
                <w:color w:val="000000"/>
                <w:sz w:val="24"/>
                <w:szCs w:val="24"/>
              </w:rPr>
              <w:t>非單一國家</w:t>
            </w:r>
            <w:r>
              <w:rPr>
                <w:rFonts w:ascii="FangSong" w:eastAsia="FangSong" w:hAnsi="FangSong" w:cs="Times New Roman"/>
                <w:color w:val="000000"/>
                <w:sz w:val="24"/>
                <w:szCs w:val="24"/>
              </w:rPr>
              <w:t>/</w:t>
            </w:r>
            <w:r>
              <w:rPr>
                <w:rFonts w:ascii="FangSong" w:eastAsia="FangSong" w:hAnsi="FangSong" w:cs="Times New Roman" w:hint="eastAsia"/>
                <w:color w:val="000000"/>
                <w:sz w:val="24"/>
                <w:szCs w:val="24"/>
              </w:rPr>
              <w:t>地區</w:t>
            </w:r>
          </w:p>
          <w:p w14:paraId="2742902D"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整體新興市場</w:t>
            </w:r>
          </w:p>
        </w:tc>
        <w:tc>
          <w:tcPr>
            <w:tcW w:w="2425" w:type="dxa"/>
            <w:tcBorders>
              <w:right w:val="single" w:sz="4" w:space="0" w:color="auto"/>
            </w:tcBorders>
          </w:tcPr>
          <w:p w14:paraId="3FA1E68A"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8464FF" w14:paraId="3C713189" w14:textId="77777777">
        <w:trPr>
          <w:jc w:val="center"/>
        </w:trPr>
        <w:tc>
          <w:tcPr>
            <w:tcW w:w="712" w:type="dxa"/>
            <w:tcBorders>
              <w:left w:val="single" w:sz="4" w:space="0" w:color="auto"/>
            </w:tcBorders>
          </w:tcPr>
          <w:p w14:paraId="062230F8"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68BD6013"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已開發</w:t>
            </w:r>
            <w:r>
              <w:rPr>
                <w:rFonts w:ascii="FangSong" w:eastAsia="FangSong" w:hAnsi="FangSong" w:cs="Times New Roman" w:hint="eastAsia"/>
                <w:color w:val="000000"/>
                <w:sz w:val="24"/>
                <w:szCs w:val="24"/>
              </w:rPr>
              <w:t>市場</w:t>
            </w:r>
            <w:r>
              <w:rPr>
                <w:rFonts w:ascii="FangSong" w:eastAsia="FangSong" w:hAnsi="FangSong" w:cs="Times New Roman"/>
                <w:color w:val="000000"/>
                <w:sz w:val="24"/>
                <w:szCs w:val="24"/>
              </w:rPr>
              <w:t xml:space="preserve"> - 單一國家/</w:t>
            </w:r>
            <w:r>
              <w:rPr>
                <w:rFonts w:ascii="FangSong" w:eastAsia="FangSong" w:hAnsi="FangSong" w:cs="Times New Roman" w:hint="eastAsia"/>
                <w:color w:val="000000"/>
                <w:sz w:val="24"/>
                <w:szCs w:val="24"/>
              </w:rPr>
              <w:t>地區</w:t>
            </w:r>
          </w:p>
          <w:p w14:paraId="441BABC4"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 xml:space="preserve">新興市場 - </w:t>
            </w:r>
            <w:r>
              <w:rPr>
                <w:rFonts w:ascii="FangSong" w:eastAsia="FangSong" w:hAnsi="FangSong" w:cs="Times New Roman" w:hint="eastAsia"/>
                <w:color w:val="000000"/>
                <w:sz w:val="24"/>
                <w:szCs w:val="24"/>
              </w:rPr>
              <w:t>非單一國家</w:t>
            </w:r>
            <w:r>
              <w:rPr>
                <w:rFonts w:ascii="FangSong" w:eastAsia="FangSong" w:hAnsi="FangSong" w:cs="Times New Roman"/>
                <w:color w:val="000000"/>
                <w:sz w:val="24"/>
                <w:szCs w:val="24"/>
              </w:rPr>
              <w:t>/</w:t>
            </w:r>
            <w:r>
              <w:rPr>
                <w:rFonts w:ascii="FangSong" w:eastAsia="FangSong" w:hAnsi="FangSong" w:cs="Times New Roman" w:hint="eastAsia"/>
                <w:color w:val="000000"/>
                <w:sz w:val="24"/>
                <w:szCs w:val="24"/>
              </w:rPr>
              <w:t>地區</w:t>
            </w:r>
          </w:p>
        </w:tc>
        <w:tc>
          <w:tcPr>
            <w:tcW w:w="2425" w:type="dxa"/>
            <w:tcBorders>
              <w:right w:val="single" w:sz="4" w:space="0" w:color="auto"/>
            </w:tcBorders>
          </w:tcPr>
          <w:p w14:paraId="7499697F"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4</w:t>
            </w:r>
          </w:p>
        </w:tc>
      </w:tr>
      <w:tr w:rsidR="008464FF" w14:paraId="76D3C0AA" w14:textId="77777777">
        <w:trPr>
          <w:jc w:val="center"/>
        </w:trPr>
        <w:tc>
          <w:tcPr>
            <w:tcW w:w="712" w:type="dxa"/>
            <w:tcBorders>
              <w:left w:val="single" w:sz="4" w:space="0" w:color="auto"/>
              <w:bottom w:val="single" w:sz="4" w:space="0" w:color="auto"/>
            </w:tcBorders>
          </w:tcPr>
          <w:p w14:paraId="5D862D1C"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Borders>
              <w:bottom w:val="single" w:sz="4" w:space="0" w:color="auto"/>
            </w:tcBorders>
          </w:tcPr>
          <w:p w14:paraId="7F7D6AED"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新興市場</w:t>
            </w:r>
            <w:r>
              <w:rPr>
                <w:rFonts w:ascii="FangSong" w:eastAsia="FangSong" w:hAnsi="FangSong" w:cs="Times New Roman" w:hint="eastAsia"/>
                <w:color w:val="000000"/>
                <w:sz w:val="24"/>
                <w:szCs w:val="24"/>
              </w:rPr>
              <w:t xml:space="preserve"> </w:t>
            </w:r>
            <w:r>
              <w:rPr>
                <w:rFonts w:ascii="FangSong" w:eastAsia="FangSong" w:hAnsi="FangSong" w:cs="Times New Roman"/>
                <w:color w:val="000000"/>
                <w:sz w:val="24"/>
                <w:szCs w:val="24"/>
              </w:rPr>
              <w:t>- 單一國家/</w:t>
            </w:r>
            <w:r>
              <w:rPr>
                <w:rFonts w:ascii="FangSong" w:eastAsia="FangSong" w:hAnsi="FangSong" w:cs="Times New Roman" w:hint="eastAsia"/>
                <w:color w:val="000000"/>
                <w:sz w:val="24"/>
                <w:szCs w:val="24"/>
              </w:rPr>
              <w:t>地區</w:t>
            </w:r>
          </w:p>
        </w:tc>
        <w:tc>
          <w:tcPr>
            <w:tcW w:w="2425" w:type="dxa"/>
            <w:tcBorders>
              <w:bottom w:val="single" w:sz="4" w:space="0" w:color="auto"/>
              <w:right w:val="single" w:sz="4" w:space="0" w:color="auto"/>
            </w:tcBorders>
          </w:tcPr>
          <w:p w14:paraId="097C0B8C"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34932C8D" w14:textId="77777777" w:rsidR="008464FF" w:rsidRDefault="008464FF">
      <w:pPr>
        <w:pStyle w:val="aff1"/>
        <w:shd w:val="clear" w:color="auto" w:fill="FFFFFF"/>
        <w:snapToGrid w:val="0"/>
        <w:spacing w:before="0" w:after="0" w:line="240" w:lineRule="auto"/>
        <w:ind w:leftChars="0" w:left="425"/>
        <w:rPr>
          <w:rFonts w:ascii="FangSong" w:eastAsia="FangSong" w:hAnsi="FangSong" w:cs="Times New Roman"/>
          <w:color w:val="000000"/>
          <w:sz w:val="24"/>
          <w:szCs w:val="24"/>
        </w:rPr>
      </w:pPr>
    </w:p>
    <w:tbl>
      <w:tblPr>
        <w:tblStyle w:val="af6"/>
        <w:tblW w:w="0" w:type="auto"/>
        <w:jc w:val="center"/>
        <w:tblLook w:val="04A0" w:firstRow="1" w:lastRow="0" w:firstColumn="1" w:lastColumn="0" w:noHBand="0" w:noVBand="1"/>
      </w:tblPr>
      <w:tblGrid>
        <w:gridCol w:w="700"/>
        <w:gridCol w:w="6804"/>
        <w:gridCol w:w="2431"/>
      </w:tblGrid>
      <w:tr w:rsidR="008464FF" w14:paraId="7022037B" w14:textId="77777777">
        <w:trPr>
          <w:jc w:val="center"/>
        </w:trPr>
        <w:tc>
          <w:tcPr>
            <w:tcW w:w="700" w:type="dxa"/>
            <w:tcBorders>
              <w:bottom w:val="single" w:sz="4" w:space="0" w:color="auto"/>
            </w:tcBorders>
          </w:tcPr>
          <w:p w14:paraId="0D20DB31" w14:textId="77777777" w:rsidR="008464FF" w:rsidRDefault="00BD2008">
            <w:pPr>
              <w:pStyle w:val="aff1"/>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.3</w:t>
            </w:r>
          </w:p>
        </w:tc>
        <w:tc>
          <w:tcPr>
            <w:tcW w:w="6804" w:type="dxa"/>
            <w:tcBorders>
              <w:bottom w:val="single" w:sz="4" w:space="0" w:color="auto"/>
            </w:tcBorders>
          </w:tcPr>
          <w:p w14:paraId="4085A298" w14:textId="77777777" w:rsidR="008464FF" w:rsidRDefault="00BD2008">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投資槓桿</w:t>
            </w:r>
          </w:p>
        </w:tc>
        <w:tc>
          <w:tcPr>
            <w:tcW w:w="2431" w:type="dxa"/>
            <w:tcBorders>
              <w:bottom w:val="single" w:sz="4" w:space="0" w:color="auto"/>
            </w:tcBorders>
          </w:tcPr>
          <w:p w14:paraId="61BB791C" w14:textId="77777777" w:rsidR="008464FF" w:rsidRDefault="00BD2008">
            <w:pPr>
              <w:pStyle w:val="aff1"/>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8464FF" w14:paraId="0D618438" w14:textId="77777777">
        <w:trPr>
          <w:jc w:val="center"/>
        </w:trPr>
        <w:tc>
          <w:tcPr>
            <w:tcW w:w="700" w:type="dxa"/>
            <w:tcBorders>
              <w:top w:val="single" w:sz="4" w:space="0" w:color="auto"/>
              <w:left w:val="single" w:sz="4" w:space="0" w:color="auto"/>
            </w:tcBorders>
          </w:tcPr>
          <w:p w14:paraId="63EC7D7E"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029735B3"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lang w:eastAsia="zh-CN"/>
              </w:rPr>
            </w:pPr>
            <w:r>
              <w:rPr>
                <w:rFonts w:ascii="FangSong" w:eastAsia="FangSong" w:hAnsi="FangSong" w:cs="Times New Roman" w:hint="eastAsia"/>
                <w:color w:val="000000"/>
                <w:sz w:val="24"/>
                <w:szCs w:val="24"/>
                <w:lang w:eastAsia="zh-CN"/>
              </w:rPr>
              <w:t>無，不允許使用槓桿；</w:t>
            </w:r>
            <w:r>
              <w:rPr>
                <w:rFonts w:ascii="FangSong" w:eastAsia="FangSong" w:hAnsi="FangSong" w:cs="Times New Roman" w:hint="eastAsia"/>
                <w:color w:val="000000" w:themeColor="text1"/>
                <w:sz w:val="24"/>
                <w:szCs w:val="24"/>
                <w:lang w:eastAsia="zh-CN"/>
              </w:rPr>
              <w:t>或分级产品之优先级份额</w:t>
            </w:r>
          </w:p>
        </w:tc>
        <w:tc>
          <w:tcPr>
            <w:tcW w:w="2431" w:type="dxa"/>
            <w:tcBorders>
              <w:top w:val="single" w:sz="4" w:space="0" w:color="auto"/>
              <w:right w:val="single" w:sz="4" w:space="0" w:color="auto"/>
            </w:tcBorders>
            <w:vAlign w:val="center"/>
          </w:tcPr>
          <w:p w14:paraId="7DF3CF38"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0</w:t>
            </w:r>
          </w:p>
        </w:tc>
      </w:tr>
      <w:tr w:rsidR="008464FF" w14:paraId="6EEB3CC8" w14:textId="77777777">
        <w:trPr>
          <w:trHeight w:val="90"/>
          <w:jc w:val="center"/>
        </w:trPr>
        <w:tc>
          <w:tcPr>
            <w:tcW w:w="700" w:type="dxa"/>
            <w:tcBorders>
              <w:top w:val="single" w:sz="4" w:space="0" w:color="auto"/>
              <w:left w:val="single" w:sz="4" w:space="0" w:color="auto"/>
            </w:tcBorders>
          </w:tcPr>
          <w:p w14:paraId="711A1FE6"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1246A64E"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不高於</w:t>
            </w:r>
            <w:r>
              <w:rPr>
                <w:rFonts w:ascii="FangSong" w:eastAsia="FangSong" w:hAnsi="FangSong" w:cs="Times New Roman"/>
                <w:color w:val="000000"/>
                <w:sz w:val="24"/>
                <w:szCs w:val="24"/>
              </w:rPr>
              <w:t>25%</w:t>
            </w:r>
          </w:p>
        </w:tc>
        <w:tc>
          <w:tcPr>
            <w:tcW w:w="2431" w:type="dxa"/>
            <w:tcBorders>
              <w:top w:val="single" w:sz="4" w:space="0" w:color="auto"/>
              <w:right w:val="single" w:sz="4" w:space="0" w:color="auto"/>
            </w:tcBorders>
            <w:vAlign w:val="center"/>
          </w:tcPr>
          <w:p w14:paraId="3B66B99B"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1</w:t>
            </w:r>
          </w:p>
        </w:tc>
      </w:tr>
      <w:tr w:rsidR="008464FF" w14:paraId="4934EABA" w14:textId="77777777">
        <w:trPr>
          <w:jc w:val="center"/>
        </w:trPr>
        <w:tc>
          <w:tcPr>
            <w:tcW w:w="700" w:type="dxa"/>
            <w:tcBorders>
              <w:left w:val="single" w:sz="4" w:space="0" w:color="auto"/>
            </w:tcBorders>
          </w:tcPr>
          <w:p w14:paraId="5187BDD1"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5F89C9D3"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不高於</w:t>
            </w:r>
            <w:r>
              <w:rPr>
                <w:rFonts w:ascii="FangSong" w:eastAsia="FangSong" w:hAnsi="FangSong" w:cs="Times New Roman"/>
                <w:color w:val="000000"/>
                <w:sz w:val="24"/>
                <w:szCs w:val="24"/>
              </w:rPr>
              <w:t>50%</w:t>
            </w:r>
          </w:p>
        </w:tc>
        <w:tc>
          <w:tcPr>
            <w:tcW w:w="2431" w:type="dxa"/>
            <w:tcBorders>
              <w:right w:val="single" w:sz="4" w:space="0" w:color="auto"/>
            </w:tcBorders>
            <w:vAlign w:val="center"/>
          </w:tcPr>
          <w:p w14:paraId="441087C2" w14:textId="77777777" w:rsidR="008464FF" w:rsidRDefault="00BD2008">
            <w:r>
              <w:rPr>
                <w:rFonts w:ascii="FangSong" w:hAnsi="FangSong"/>
                <w:sz w:val="24"/>
              </w:rPr>
              <w:t>☑ 2</w:t>
            </w:r>
          </w:p>
        </w:tc>
      </w:tr>
      <w:tr w:rsidR="008464FF" w14:paraId="052678D7" w14:textId="77777777">
        <w:trPr>
          <w:jc w:val="center"/>
        </w:trPr>
        <w:tc>
          <w:tcPr>
            <w:tcW w:w="700" w:type="dxa"/>
            <w:tcBorders>
              <w:left w:val="single" w:sz="4" w:space="0" w:color="auto"/>
            </w:tcBorders>
          </w:tcPr>
          <w:p w14:paraId="0E1DC5D4"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273B0AD8"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不高於</w:t>
            </w:r>
            <w:r>
              <w:rPr>
                <w:rFonts w:ascii="FangSong" w:eastAsia="FangSong" w:hAnsi="FangSong" w:cs="Times New Roman"/>
                <w:color w:val="000000"/>
                <w:sz w:val="24"/>
                <w:szCs w:val="24"/>
              </w:rPr>
              <w:t>100%</w:t>
            </w:r>
          </w:p>
        </w:tc>
        <w:tc>
          <w:tcPr>
            <w:tcW w:w="2431" w:type="dxa"/>
            <w:tcBorders>
              <w:right w:val="single" w:sz="4" w:space="0" w:color="auto"/>
            </w:tcBorders>
            <w:vAlign w:val="center"/>
          </w:tcPr>
          <w:p w14:paraId="1F1BB61F"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8464FF" w14:paraId="7638D854" w14:textId="77777777">
        <w:trPr>
          <w:jc w:val="center"/>
        </w:trPr>
        <w:tc>
          <w:tcPr>
            <w:tcW w:w="700" w:type="dxa"/>
            <w:tcBorders>
              <w:left w:val="single" w:sz="4" w:space="0" w:color="auto"/>
            </w:tcBorders>
          </w:tcPr>
          <w:p w14:paraId="2FF67EB6"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1E67E536"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可高於1</w:t>
            </w:r>
            <w:r>
              <w:rPr>
                <w:rFonts w:ascii="FangSong" w:eastAsia="FangSong" w:hAnsi="FangSong" w:cs="Times New Roman"/>
                <w:color w:val="000000"/>
                <w:sz w:val="24"/>
                <w:szCs w:val="24"/>
              </w:rPr>
              <w:t>00%</w:t>
            </w:r>
            <w:r>
              <w:rPr>
                <w:rFonts w:ascii="FangSong" w:eastAsia="FangSong" w:hAnsi="FangSong" w:cs="Times New Roman" w:hint="eastAsia"/>
                <w:color w:val="000000"/>
                <w:sz w:val="24"/>
                <w:szCs w:val="24"/>
              </w:rPr>
              <w:t>，或</w:t>
            </w:r>
            <w:r>
              <w:rPr>
                <w:rFonts w:ascii="FangSong" w:eastAsia="FangSong" w:hAnsi="FangSong" w:cs="Times New Roman"/>
                <w:color w:val="000000"/>
                <w:sz w:val="24"/>
                <w:szCs w:val="24"/>
              </w:rPr>
              <w:t>PPM</w:t>
            </w:r>
            <w:r>
              <w:rPr>
                <w:rFonts w:ascii="FangSong" w:eastAsia="FangSong" w:hAnsi="FangSong" w:cs="Times New Roman" w:hint="eastAsia"/>
                <w:color w:val="000000"/>
                <w:sz w:val="24"/>
                <w:szCs w:val="24"/>
              </w:rPr>
              <w:t>中沒有説明投資槓桿使用限制</w:t>
            </w:r>
          </w:p>
        </w:tc>
        <w:tc>
          <w:tcPr>
            <w:tcW w:w="2431" w:type="dxa"/>
            <w:tcBorders>
              <w:right w:val="single" w:sz="4" w:space="0" w:color="auto"/>
            </w:tcBorders>
            <w:vAlign w:val="center"/>
          </w:tcPr>
          <w:p w14:paraId="12D0FAF9"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7DCFFF5B" w14:textId="77777777" w:rsidR="008464FF" w:rsidRDefault="008464FF">
      <w:pPr>
        <w:pStyle w:val="aff1"/>
        <w:shd w:val="clear" w:color="auto" w:fill="FFFFFF"/>
        <w:snapToGrid w:val="0"/>
        <w:spacing w:before="0" w:after="0" w:line="240" w:lineRule="auto"/>
        <w:ind w:leftChars="0" w:left="360"/>
        <w:rPr>
          <w:rFonts w:ascii="FangSong" w:eastAsia="FangSong" w:hAnsi="FangSong" w:cs="Times New Roman"/>
          <w:b/>
          <w:color w:val="000000"/>
          <w:sz w:val="24"/>
          <w:szCs w:val="24"/>
        </w:rPr>
      </w:pPr>
    </w:p>
    <w:tbl>
      <w:tblPr>
        <w:tblStyle w:val="af6"/>
        <w:tblW w:w="0" w:type="auto"/>
        <w:jc w:val="center"/>
        <w:tblLook w:val="04A0" w:firstRow="1" w:lastRow="0" w:firstColumn="1" w:lastColumn="0" w:noHBand="0" w:noVBand="1"/>
      </w:tblPr>
      <w:tblGrid>
        <w:gridCol w:w="801"/>
        <w:gridCol w:w="6707"/>
        <w:gridCol w:w="2444"/>
      </w:tblGrid>
      <w:tr w:rsidR="008464FF" w14:paraId="262EEEB8" w14:textId="77777777">
        <w:trPr>
          <w:jc w:val="center"/>
        </w:trPr>
        <w:tc>
          <w:tcPr>
            <w:tcW w:w="801" w:type="dxa"/>
            <w:tcBorders>
              <w:bottom w:val="single" w:sz="4" w:space="0" w:color="auto"/>
            </w:tcBorders>
          </w:tcPr>
          <w:p w14:paraId="2F84352E" w14:textId="77777777" w:rsidR="008464FF" w:rsidRDefault="00BD2008">
            <w:pPr>
              <w:pStyle w:val="aff1"/>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.4.1</w:t>
            </w:r>
          </w:p>
        </w:tc>
        <w:tc>
          <w:tcPr>
            <w:tcW w:w="6707" w:type="dxa"/>
            <w:tcBorders>
              <w:bottom w:val="single" w:sz="4" w:space="0" w:color="auto"/>
            </w:tcBorders>
          </w:tcPr>
          <w:p w14:paraId="7DF8E792" w14:textId="77777777" w:rsidR="008464FF" w:rsidRDefault="00BD2008">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投資標的限制（主要投資標的或其底層資產為債券）</w:t>
            </w:r>
          </w:p>
        </w:tc>
        <w:tc>
          <w:tcPr>
            <w:tcW w:w="2444" w:type="dxa"/>
            <w:tcBorders>
              <w:bottom w:val="single" w:sz="4" w:space="0" w:color="auto"/>
            </w:tcBorders>
          </w:tcPr>
          <w:p w14:paraId="50D8BF47" w14:textId="77777777" w:rsidR="008464FF" w:rsidRDefault="00BD2008">
            <w:pPr>
              <w:pStyle w:val="aff1"/>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8464FF" w14:paraId="1C5BEA33" w14:textId="77777777">
        <w:trPr>
          <w:jc w:val="center"/>
        </w:trPr>
        <w:tc>
          <w:tcPr>
            <w:tcW w:w="801" w:type="dxa"/>
            <w:tcBorders>
              <w:top w:val="single" w:sz="4" w:space="0" w:color="auto"/>
              <w:left w:val="single" w:sz="4" w:space="0" w:color="auto"/>
            </w:tcBorders>
          </w:tcPr>
          <w:p w14:paraId="7188E035"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707" w:type="dxa"/>
            <w:tcBorders>
              <w:top w:val="single" w:sz="4" w:space="0" w:color="auto"/>
            </w:tcBorders>
          </w:tcPr>
          <w:p w14:paraId="2B0E4984"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不適用</w:t>
            </w:r>
          </w:p>
        </w:tc>
        <w:tc>
          <w:tcPr>
            <w:tcW w:w="2444" w:type="dxa"/>
            <w:tcBorders>
              <w:top w:val="single" w:sz="4" w:space="0" w:color="auto"/>
              <w:right w:val="single" w:sz="4" w:space="0" w:color="auto"/>
            </w:tcBorders>
            <w:vAlign w:val="center"/>
          </w:tcPr>
          <w:p w14:paraId="5E2714F5"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0</w:t>
            </w:r>
          </w:p>
        </w:tc>
      </w:tr>
      <w:tr w:rsidR="008464FF" w14:paraId="61FFBF34" w14:textId="77777777">
        <w:trPr>
          <w:jc w:val="center"/>
        </w:trPr>
        <w:tc>
          <w:tcPr>
            <w:tcW w:w="801" w:type="dxa"/>
            <w:tcBorders>
              <w:top w:val="single" w:sz="4" w:space="0" w:color="auto"/>
              <w:left w:val="single" w:sz="4" w:space="0" w:color="auto"/>
            </w:tcBorders>
          </w:tcPr>
          <w:p w14:paraId="0D346F49"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707" w:type="dxa"/>
            <w:tcBorders>
              <w:top w:val="single" w:sz="4" w:space="0" w:color="auto"/>
            </w:tcBorders>
          </w:tcPr>
          <w:p w14:paraId="2F9E054F"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僅限投資級別債券</w:t>
            </w:r>
          </w:p>
        </w:tc>
        <w:tc>
          <w:tcPr>
            <w:tcW w:w="2444" w:type="dxa"/>
            <w:tcBorders>
              <w:top w:val="single" w:sz="4" w:space="0" w:color="auto"/>
              <w:right w:val="single" w:sz="4" w:space="0" w:color="auto"/>
            </w:tcBorders>
            <w:vAlign w:val="center"/>
          </w:tcPr>
          <w:p w14:paraId="5C3E6D9B" w14:textId="77777777" w:rsidR="008464FF" w:rsidRDefault="00BD2008">
            <w:r>
              <w:rPr>
                <w:rFonts w:ascii="FangSong" w:hAnsi="FangSong"/>
                <w:sz w:val="24"/>
              </w:rPr>
              <w:t>☑ 1</w:t>
            </w:r>
          </w:p>
        </w:tc>
      </w:tr>
      <w:tr w:rsidR="008464FF" w14:paraId="05E5B4A7" w14:textId="77777777">
        <w:trPr>
          <w:jc w:val="center"/>
        </w:trPr>
        <w:tc>
          <w:tcPr>
            <w:tcW w:w="801" w:type="dxa"/>
            <w:tcBorders>
              <w:left w:val="single" w:sz="4" w:space="0" w:color="auto"/>
            </w:tcBorders>
          </w:tcPr>
          <w:p w14:paraId="2B571D50"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480C3D5C"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非投資級別債券不高於</w:t>
            </w:r>
            <w:r>
              <w:rPr>
                <w:rFonts w:ascii="FangSong" w:eastAsia="FangSong" w:hAnsi="FangSong" w:cs="Times New Roman"/>
                <w:color w:val="000000"/>
                <w:sz w:val="24"/>
                <w:szCs w:val="24"/>
              </w:rPr>
              <w:t>10%</w:t>
            </w:r>
          </w:p>
        </w:tc>
        <w:tc>
          <w:tcPr>
            <w:tcW w:w="2444" w:type="dxa"/>
            <w:tcBorders>
              <w:right w:val="single" w:sz="4" w:space="0" w:color="auto"/>
            </w:tcBorders>
            <w:vAlign w:val="center"/>
          </w:tcPr>
          <w:p w14:paraId="189ACE36"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2</w:t>
            </w:r>
          </w:p>
        </w:tc>
      </w:tr>
      <w:tr w:rsidR="008464FF" w14:paraId="05990E9A" w14:textId="77777777">
        <w:trPr>
          <w:jc w:val="center"/>
        </w:trPr>
        <w:tc>
          <w:tcPr>
            <w:tcW w:w="801" w:type="dxa"/>
            <w:tcBorders>
              <w:left w:val="single" w:sz="4" w:space="0" w:color="auto"/>
            </w:tcBorders>
          </w:tcPr>
          <w:p w14:paraId="585025A3"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15C0B62F"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非投資級別債券不高於</w:t>
            </w:r>
            <w:r>
              <w:rPr>
                <w:rFonts w:ascii="FangSong" w:eastAsia="FangSong" w:hAnsi="FangSong" w:cs="Times New Roman"/>
                <w:color w:val="000000"/>
                <w:sz w:val="24"/>
                <w:szCs w:val="24"/>
              </w:rPr>
              <w:t>30%</w:t>
            </w:r>
          </w:p>
        </w:tc>
        <w:tc>
          <w:tcPr>
            <w:tcW w:w="2444" w:type="dxa"/>
            <w:tcBorders>
              <w:right w:val="single" w:sz="4" w:space="0" w:color="auto"/>
            </w:tcBorders>
            <w:vAlign w:val="center"/>
          </w:tcPr>
          <w:p w14:paraId="1D19E5FE"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8464FF" w14:paraId="236F9DC1" w14:textId="77777777">
        <w:trPr>
          <w:jc w:val="center"/>
        </w:trPr>
        <w:tc>
          <w:tcPr>
            <w:tcW w:w="801" w:type="dxa"/>
            <w:tcBorders>
              <w:left w:val="single" w:sz="4" w:space="0" w:color="auto"/>
            </w:tcBorders>
          </w:tcPr>
          <w:p w14:paraId="5BD1EECE"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1FC32BE8"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非投資級別債券不高於</w:t>
            </w:r>
            <w:r>
              <w:rPr>
                <w:rFonts w:ascii="FangSong" w:eastAsia="FangSong" w:hAnsi="FangSong" w:cs="Times New Roman"/>
                <w:color w:val="000000"/>
                <w:sz w:val="24"/>
                <w:szCs w:val="24"/>
              </w:rPr>
              <w:t>50%</w:t>
            </w:r>
          </w:p>
        </w:tc>
        <w:tc>
          <w:tcPr>
            <w:tcW w:w="2444" w:type="dxa"/>
            <w:tcBorders>
              <w:right w:val="single" w:sz="4" w:space="0" w:color="auto"/>
            </w:tcBorders>
            <w:vAlign w:val="center"/>
          </w:tcPr>
          <w:p w14:paraId="1D78194F"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4</w:t>
            </w:r>
          </w:p>
        </w:tc>
      </w:tr>
      <w:tr w:rsidR="008464FF" w14:paraId="2DB0616D" w14:textId="77777777">
        <w:trPr>
          <w:jc w:val="center"/>
        </w:trPr>
        <w:tc>
          <w:tcPr>
            <w:tcW w:w="801" w:type="dxa"/>
            <w:tcBorders>
              <w:left w:val="single" w:sz="4" w:space="0" w:color="auto"/>
            </w:tcBorders>
          </w:tcPr>
          <w:p w14:paraId="0C03B57B"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0555E44A"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非投資級別債券可高於</w:t>
            </w:r>
            <w:r>
              <w:rPr>
                <w:rFonts w:ascii="FangSong" w:eastAsia="FangSong" w:hAnsi="FangSong" w:cs="Times New Roman"/>
                <w:color w:val="000000"/>
                <w:sz w:val="24"/>
                <w:szCs w:val="24"/>
              </w:rPr>
              <w:t>50%</w:t>
            </w:r>
            <w:r>
              <w:rPr>
                <w:rFonts w:ascii="FangSong" w:eastAsia="FangSong" w:hAnsi="FangSong" w:cs="Times New Roman" w:hint="eastAsia"/>
                <w:color w:val="000000"/>
                <w:sz w:val="24"/>
                <w:szCs w:val="24"/>
              </w:rPr>
              <w:t>，或</w:t>
            </w:r>
            <w:r>
              <w:rPr>
                <w:rFonts w:ascii="FangSong" w:eastAsia="FangSong" w:hAnsi="FangSong" w:cs="Times New Roman"/>
                <w:color w:val="000000"/>
                <w:sz w:val="24"/>
                <w:szCs w:val="24"/>
              </w:rPr>
              <w:t>PPM</w:t>
            </w:r>
            <w:r>
              <w:rPr>
                <w:rFonts w:ascii="FangSong" w:eastAsia="FangSong" w:hAnsi="FangSong" w:cs="Times New Roman" w:hint="eastAsia"/>
                <w:color w:val="000000"/>
                <w:sz w:val="24"/>
                <w:szCs w:val="24"/>
              </w:rPr>
              <w:t>中無特別説明</w:t>
            </w:r>
          </w:p>
        </w:tc>
        <w:tc>
          <w:tcPr>
            <w:tcW w:w="2444" w:type="dxa"/>
            <w:tcBorders>
              <w:right w:val="single" w:sz="4" w:space="0" w:color="auto"/>
            </w:tcBorders>
            <w:vAlign w:val="center"/>
          </w:tcPr>
          <w:p w14:paraId="4B238BA0"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62966671" w14:textId="77777777" w:rsidR="008464FF" w:rsidRDefault="008464FF">
      <w:pPr>
        <w:shd w:val="clear" w:color="auto" w:fill="FFFFFF"/>
        <w:snapToGrid w:val="0"/>
        <w:spacing w:before="0" w:after="0" w:line="240" w:lineRule="auto"/>
        <w:ind w:left="360"/>
        <w:rPr>
          <w:rFonts w:ascii="FangSong" w:eastAsia="FangSong" w:hAnsi="FangSong" w:cs="Times New Roman"/>
          <w:b/>
          <w:color w:val="000000"/>
          <w:sz w:val="24"/>
          <w:szCs w:val="24"/>
        </w:rPr>
      </w:pPr>
    </w:p>
    <w:tbl>
      <w:tblPr>
        <w:tblStyle w:val="af6"/>
        <w:tblW w:w="0" w:type="auto"/>
        <w:jc w:val="center"/>
        <w:tblLook w:val="04A0" w:firstRow="1" w:lastRow="0" w:firstColumn="1" w:lastColumn="0" w:noHBand="0" w:noVBand="1"/>
      </w:tblPr>
      <w:tblGrid>
        <w:gridCol w:w="801"/>
        <w:gridCol w:w="6707"/>
        <w:gridCol w:w="2444"/>
      </w:tblGrid>
      <w:tr w:rsidR="008464FF" w14:paraId="5680989D" w14:textId="77777777">
        <w:trPr>
          <w:jc w:val="center"/>
        </w:trPr>
        <w:tc>
          <w:tcPr>
            <w:tcW w:w="801" w:type="dxa"/>
            <w:tcBorders>
              <w:bottom w:val="single" w:sz="4" w:space="0" w:color="auto"/>
            </w:tcBorders>
          </w:tcPr>
          <w:p w14:paraId="3EE4E0B5" w14:textId="77777777" w:rsidR="008464FF" w:rsidRDefault="00BD2008">
            <w:pPr>
              <w:pStyle w:val="aff1"/>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.4.2</w:t>
            </w:r>
          </w:p>
        </w:tc>
        <w:tc>
          <w:tcPr>
            <w:tcW w:w="6707" w:type="dxa"/>
            <w:tcBorders>
              <w:bottom w:val="single" w:sz="4" w:space="0" w:color="auto"/>
            </w:tcBorders>
          </w:tcPr>
          <w:p w14:paraId="6D8D498E" w14:textId="77777777" w:rsidR="008464FF" w:rsidRDefault="00BD2008">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投資標的主要产业（主要投資標的或其底層資產為股票）</w:t>
            </w:r>
          </w:p>
        </w:tc>
        <w:tc>
          <w:tcPr>
            <w:tcW w:w="2444" w:type="dxa"/>
            <w:tcBorders>
              <w:bottom w:val="single" w:sz="4" w:space="0" w:color="auto"/>
            </w:tcBorders>
          </w:tcPr>
          <w:p w14:paraId="604BC991" w14:textId="77777777" w:rsidR="008464FF" w:rsidRDefault="00BD2008">
            <w:pPr>
              <w:pStyle w:val="aff1"/>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8464FF" w14:paraId="000BA70A" w14:textId="77777777">
        <w:trPr>
          <w:jc w:val="center"/>
        </w:trPr>
        <w:tc>
          <w:tcPr>
            <w:tcW w:w="801" w:type="dxa"/>
            <w:tcBorders>
              <w:top w:val="single" w:sz="4" w:space="0" w:color="auto"/>
              <w:left w:val="single" w:sz="4" w:space="0" w:color="auto"/>
            </w:tcBorders>
          </w:tcPr>
          <w:p w14:paraId="1E6BB02E"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707" w:type="dxa"/>
            <w:tcBorders>
              <w:top w:val="single" w:sz="4" w:space="0" w:color="auto"/>
            </w:tcBorders>
          </w:tcPr>
          <w:p w14:paraId="245292D4"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highlight w:val="yellow"/>
              </w:rPr>
            </w:pPr>
            <w:r>
              <w:rPr>
                <w:rFonts w:ascii="FangSong" w:eastAsia="FangSong" w:hAnsi="FangSong" w:cs="Times New Roman" w:hint="eastAsia"/>
                <w:color w:val="000000"/>
                <w:sz w:val="24"/>
                <w:szCs w:val="24"/>
              </w:rPr>
              <w:t>不適用</w:t>
            </w:r>
          </w:p>
        </w:tc>
        <w:tc>
          <w:tcPr>
            <w:tcW w:w="2444" w:type="dxa"/>
            <w:tcBorders>
              <w:top w:val="single" w:sz="4" w:space="0" w:color="auto"/>
              <w:right w:val="single" w:sz="4" w:space="0" w:color="auto"/>
            </w:tcBorders>
            <w:vAlign w:val="center"/>
          </w:tcPr>
          <w:p w14:paraId="0ED798C0" w14:textId="77777777" w:rsidR="008464FF" w:rsidRDefault="00BD2008">
            <w:r>
              <w:rPr>
                <w:rFonts w:ascii="FangSong" w:hAnsi="FangSong"/>
                <w:sz w:val="24"/>
              </w:rPr>
              <w:t>☑ 0</w:t>
            </w:r>
          </w:p>
        </w:tc>
      </w:tr>
      <w:tr w:rsidR="008464FF" w14:paraId="0F071355" w14:textId="77777777">
        <w:trPr>
          <w:jc w:val="center"/>
        </w:trPr>
        <w:tc>
          <w:tcPr>
            <w:tcW w:w="801" w:type="dxa"/>
            <w:tcBorders>
              <w:top w:val="single" w:sz="4" w:space="0" w:color="auto"/>
              <w:left w:val="single" w:sz="4" w:space="0" w:color="auto"/>
            </w:tcBorders>
          </w:tcPr>
          <w:p w14:paraId="5A13E154"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707" w:type="dxa"/>
            <w:tcBorders>
              <w:top w:val="single" w:sz="4" w:space="0" w:color="auto"/>
            </w:tcBorders>
          </w:tcPr>
          <w:p w14:paraId="47B84449"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highlight w:val="yellow"/>
              </w:rPr>
            </w:pPr>
            <w:r>
              <w:rPr>
                <w:rFonts w:ascii="FangSong" w:eastAsia="FangSong" w:hAnsi="FangSong" w:cs="Times New Roman" w:hint="eastAsia"/>
                <w:color w:val="000000"/>
                <w:sz w:val="24"/>
                <w:szCs w:val="24"/>
              </w:rPr>
              <w:t>公用事業</w:t>
            </w:r>
          </w:p>
        </w:tc>
        <w:tc>
          <w:tcPr>
            <w:tcW w:w="2444" w:type="dxa"/>
            <w:tcBorders>
              <w:top w:val="single" w:sz="4" w:space="0" w:color="auto"/>
              <w:right w:val="single" w:sz="4" w:space="0" w:color="auto"/>
            </w:tcBorders>
            <w:vAlign w:val="center"/>
          </w:tcPr>
          <w:p w14:paraId="032073CC"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1</w:t>
            </w:r>
          </w:p>
        </w:tc>
      </w:tr>
      <w:tr w:rsidR="008464FF" w14:paraId="3BE2A2E1" w14:textId="77777777">
        <w:trPr>
          <w:jc w:val="center"/>
        </w:trPr>
        <w:tc>
          <w:tcPr>
            <w:tcW w:w="801" w:type="dxa"/>
            <w:tcBorders>
              <w:left w:val="single" w:sz="4" w:space="0" w:color="auto"/>
            </w:tcBorders>
          </w:tcPr>
          <w:p w14:paraId="1D7D5C88"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6D537DCF"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highlight w:val="yellow"/>
              </w:rPr>
            </w:pPr>
            <w:r>
              <w:rPr>
                <w:rFonts w:ascii="FangSong" w:eastAsia="FangSong" w:hAnsi="FangSong" w:cs="Times New Roman" w:hint="eastAsia"/>
                <w:color w:val="000000"/>
                <w:sz w:val="24"/>
                <w:szCs w:val="24"/>
              </w:rPr>
              <w:t>醫療保健、金融、能源、必选消费</w:t>
            </w:r>
          </w:p>
        </w:tc>
        <w:tc>
          <w:tcPr>
            <w:tcW w:w="2444" w:type="dxa"/>
            <w:tcBorders>
              <w:right w:val="single" w:sz="4" w:space="0" w:color="auto"/>
            </w:tcBorders>
            <w:vAlign w:val="center"/>
          </w:tcPr>
          <w:p w14:paraId="370E5514"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2</w:t>
            </w:r>
          </w:p>
        </w:tc>
      </w:tr>
      <w:tr w:rsidR="008464FF" w14:paraId="0F6A5ADB" w14:textId="77777777">
        <w:trPr>
          <w:jc w:val="center"/>
        </w:trPr>
        <w:tc>
          <w:tcPr>
            <w:tcW w:w="801" w:type="dxa"/>
            <w:tcBorders>
              <w:left w:val="single" w:sz="4" w:space="0" w:color="auto"/>
            </w:tcBorders>
          </w:tcPr>
          <w:p w14:paraId="008F5793"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161F60F8"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lang w:eastAsia="zh-CN"/>
              </w:rPr>
            </w:pPr>
            <w:r>
              <w:rPr>
                <w:rFonts w:ascii="FangSong" w:eastAsia="FangSong" w:hAnsi="FangSong" w:cs="Times New Roman" w:hint="eastAsia"/>
                <w:color w:val="000000"/>
                <w:sz w:val="24"/>
                <w:szCs w:val="24"/>
                <w:lang w:eastAsia="zh-CN"/>
              </w:rPr>
              <w:t>工業、通訊服務、非必选消费、资讯技术</w:t>
            </w:r>
          </w:p>
        </w:tc>
        <w:tc>
          <w:tcPr>
            <w:tcW w:w="2444" w:type="dxa"/>
            <w:tcBorders>
              <w:right w:val="single" w:sz="4" w:space="0" w:color="auto"/>
            </w:tcBorders>
            <w:vAlign w:val="center"/>
          </w:tcPr>
          <w:p w14:paraId="4CD7D745"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8464FF" w14:paraId="17A77D32" w14:textId="77777777">
        <w:trPr>
          <w:jc w:val="center"/>
        </w:trPr>
        <w:tc>
          <w:tcPr>
            <w:tcW w:w="801" w:type="dxa"/>
            <w:tcBorders>
              <w:left w:val="single" w:sz="4" w:space="0" w:color="auto"/>
            </w:tcBorders>
          </w:tcPr>
          <w:p w14:paraId="7E2C4B30"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044D6328"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原材料、房地產、其他或PPM中無特別説明</w:t>
            </w:r>
          </w:p>
        </w:tc>
        <w:tc>
          <w:tcPr>
            <w:tcW w:w="2444" w:type="dxa"/>
            <w:tcBorders>
              <w:right w:val="single" w:sz="4" w:space="0" w:color="auto"/>
            </w:tcBorders>
            <w:vAlign w:val="center"/>
          </w:tcPr>
          <w:p w14:paraId="27E1AC9B"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4</w:t>
            </w:r>
          </w:p>
        </w:tc>
      </w:tr>
      <w:tr w:rsidR="008464FF" w14:paraId="75EB6F70" w14:textId="77777777">
        <w:trPr>
          <w:jc w:val="center"/>
        </w:trPr>
        <w:tc>
          <w:tcPr>
            <w:tcW w:w="801" w:type="dxa"/>
            <w:tcBorders>
              <w:left w:val="single" w:sz="4" w:space="0" w:color="auto"/>
            </w:tcBorders>
          </w:tcPr>
          <w:p w14:paraId="0F7A9433"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6C94225F"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单一行业（若投資于單一行業，需額外勾選此項）</w:t>
            </w:r>
          </w:p>
        </w:tc>
        <w:tc>
          <w:tcPr>
            <w:tcW w:w="2444" w:type="dxa"/>
            <w:tcBorders>
              <w:right w:val="single" w:sz="4" w:space="0" w:color="auto"/>
            </w:tcBorders>
            <w:vAlign w:val="center"/>
          </w:tcPr>
          <w:p w14:paraId="09F7790C"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1</w:t>
            </w:r>
          </w:p>
        </w:tc>
      </w:tr>
    </w:tbl>
    <w:p w14:paraId="641F10B9" w14:textId="77777777" w:rsidR="008464FF" w:rsidRDefault="008464FF">
      <w:pPr>
        <w:shd w:val="clear" w:color="auto" w:fill="FFFFFF"/>
        <w:snapToGrid w:val="0"/>
        <w:spacing w:before="0" w:after="0" w:line="240" w:lineRule="auto"/>
        <w:ind w:left="360"/>
        <w:rPr>
          <w:rFonts w:ascii="FangSong" w:eastAsia="FangSong" w:hAnsi="FangSong" w:cs="Times New Roman"/>
          <w:b/>
          <w:color w:val="000000"/>
          <w:sz w:val="24"/>
          <w:szCs w:val="24"/>
        </w:rPr>
      </w:pPr>
    </w:p>
    <w:p w14:paraId="16D17EEC" w14:textId="77777777" w:rsidR="008464FF" w:rsidRDefault="008464FF">
      <w:pPr>
        <w:shd w:val="clear" w:color="auto" w:fill="FFFFFF"/>
        <w:snapToGrid w:val="0"/>
        <w:spacing w:before="0" w:after="0" w:line="240" w:lineRule="auto"/>
        <w:rPr>
          <w:rFonts w:ascii="FangSong" w:eastAsia="FangSong" w:hAnsi="FangSong" w:cs="Times New Roman"/>
          <w:b/>
          <w:color w:val="000000"/>
          <w:sz w:val="24"/>
          <w:szCs w:val="24"/>
        </w:rPr>
      </w:pPr>
    </w:p>
    <w:tbl>
      <w:tblPr>
        <w:tblStyle w:val="af6"/>
        <w:tblW w:w="0" w:type="auto"/>
        <w:jc w:val="center"/>
        <w:tblLook w:val="04A0" w:firstRow="1" w:lastRow="0" w:firstColumn="1" w:lastColumn="0" w:noHBand="0" w:noVBand="1"/>
      </w:tblPr>
      <w:tblGrid>
        <w:gridCol w:w="648"/>
        <w:gridCol w:w="6804"/>
        <w:gridCol w:w="2347"/>
      </w:tblGrid>
      <w:tr w:rsidR="008464FF" w14:paraId="295BD4A2" w14:textId="77777777">
        <w:trPr>
          <w:jc w:val="center"/>
        </w:trPr>
        <w:tc>
          <w:tcPr>
            <w:tcW w:w="648" w:type="dxa"/>
            <w:tcBorders>
              <w:bottom w:val="single" w:sz="4" w:space="0" w:color="auto"/>
            </w:tcBorders>
          </w:tcPr>
          <w:p w14:paraId="7DFEE4EB" w14:textId="77777777" w:rsidR="008464FF" w:rsidRDefault="00BD2008">
            <w:pPr>
              <w:pStyle w:val="aff1"/>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.5</w:t>
            </w:r>
          </w:p>
        </w:tc>
        <w:tc>
          <w:tcPr>
            <w:tcW w:w="6804" w:type="dxa"/>
            <w:tcBorders>
              <w:bottom w:val="single" w:sz="4" w:space="0" w:color="auto"/>
            </w:tcBorders>
          </w:tcPr>
          <w:p w14:paraId="36A10CA0" w14:textId="77777777" w:rsidR="008464FF" w:rsidRDefault="00BD2008">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產品單位淨值波動（最近三年）</w:t>
            </w:r>
          </w:p>
        </w:tc>
        <w:tc>
          <w:tcPr>
            <w:tcW w:w="2347" w:type="dxa"/>
            <w:tcBorders>
              <w:bottom w:val="single" w:sz="4" w:space="0" w:color="auto"/>
            </w:tcBorders>
          </w:tcPr>
          <w:p w14:paraId="5B6E1656" w14:textId="77777777" w:rsidR="008464FF" w:rsidRDefault="00BD2008">
            <w:pPr>
              <w:pStyle w:val="aff1"/>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8464FF" w14:paraId="05DC5EAC" w14:textId="77777777">
        <w:trPr>
          <w:jc w:val="center"/>
        </w:trPr>
        <w:tc>
          <w:tcPr>
            <w:tcW w:w="648" w:type="dxa"/>
            <w:tcBorders>
              <w:top w:val="single" w:sz="4" w:space="0" w:color="auto"/>
              <w:left w:val="single" w:sz="4" w:space="0" w:color="auto"/>
            </w:tcBorders>
          </w:tcPr>
          <w:p w14:paraId="42F91A33"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696EFE13"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不高於</w:t>
            </w:r>
            <w:r>
              <w:rPr>
                <w:rFonts w:ascii="FangSong" w:eastAsia="FangSong" w:hAnsi="FangSong" w:cs="Times New Roman"/>
                <w:color w:val="000000"/>
                <w:sz w:val="24"/>
                <w:szCs w:val="24"/>
              </w:rPr>
              <w:t>5%</w:t>
            </w:r>
          </w:p>
        </w:tc>
        <w:tc>
          <w:tcPr>
            <w:tcW w:w="2347" w:type="dxa"/>
            <w:tcBorders>
              <w:top w:val="single" w:sz="4" w:space="0" w:color="auto"/>
              <w:right w:val="single" w:sz="4" w:space="0" w:color="auto"/>
            </w:tcBorders>
            <w:vAlign w:val="center"/>
          </w:tcPr>
          <w:p w14:paraId="62162027" w14:textId="77777777" w:rsidR="008464FF" w:rsidRDefault="00BD2008">
            <w:r>
              <w:rPr>
                <w:rFonts w:ascii="FangSong" w:hAnsi="FangSong"/>
                <w:sz w:val="24"/>
              </w:rPr>
              <w:t>☑ 1</w:t>
            </w:r>
          </w:p>
        </w:tc>
      </w:tr>
      <w:tr w:rsidR="008464FF" w14:paraId="5FA5FD6E" w14:textId="77777777">
        <w:trPr>
          <w:jc w:val="center"/>
        </w:trPr>
        <w:tc>
          <w:tcPr>
            <w:tcW w:w="648" w:type="dxa"/>
            <w:tcBorders>
              <w:left w:val="single" w:sz="4" w:space="0" w:color="auto"/>
            </w:tcBorders>
          </w:tcPr>
          <w:p w14:paraId="7228B28A"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1E5651F8"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不高於</w:t>
            </w:r>
            <w:r>
              <w:rPr>
                <w:rFonts w:ascii="FangSong" w:eastAsia="FangSong" w:hAnsi="FangSong" w:cs="Times New Roman"/>
                <w:color w:val="000000"/>
                <w:sz w:val="24"/>
                <w:szCs w:val="24"/>
              </w:rPr>
              <w:t>10%</w:t>
            </w:r>
          </w:p>
        </w:tc>
        <w:tc>
          <w:tcPr>
            <w:tcW w:w="2347" w:type="dxa"/>
            <w:tcBorders>
              <w:right w:val="single" w:sz="4" w:space="0" w:color="auto"/>
            </w:tcBorders>
            <w:vAlign w:val="center"/>
          </w:tcPr>
          <w:p w14:paraId="7093580E"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2</w:t>
            </w:r>
          </w:p>
        </w:tc>
      </w:tr>
      <w:tr w:rsidR="008464FF" w14:paraId="703CA179" w14:textId="77777777">
        <w:trPr>
          <w:jc w:val="center"/>
        </w:trPr>
        <w:tc>
          <w:tcPr>
            <w:tcW w:w="648" w:type="dxa"/>
            <w:tcBorders>
              <w:left w:val="single" w:sz="4" w:space="0" w:color="auto"/>
            </w:tcBorders>
          </w:tcPr>
          <w:p w14:paraId="7DF857F9"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3B53E4B1"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不高於</w:t>
            </w:r>
            <w:r>
              <w:rPr>
                <w:rFonts w:ascii="FangSong" w:eastAsia="FangSong" w:hAnsi="FangSong" w:cs="Times New Roman"/>
                <w:color w:val="000000"/>
                <w:sz w:val="24"/>
                <w:szCs w:val="24"/>
              </w:rPr>
              <w:t>25%</w:t>
            </w:r>
          </w:p>
        </w:tc>
        <w:tc>
          <w:tcPr>
            <w:tcW w:w="2347" w:type="dxa"/>
            <w:tcBorders>
              <w:right w:val="single" w:sz="4" w:space="0" w:color="auto"/>
            </w:tcBorders>
            <w:vAlign w:val="center"/>
          </w:tcPr>
          <w:p w14:paraId="1C79303F"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8464FF" w14:paraId="09D47D18" w14:textId="77777777">
        <w:trPr>
          <w:jc w:val="center"/>
        </w:trPr>
        <w:tc>
          <w:tcPr>
            <w:tcW w:w="648" w:type="dxa"/>
            <w:tcBorders>
              <w:left w:val="single" w:sz="4" w:space="0" w:color="auto"/>
            </w:tcBorders>
          </w:tcPr>
          <w:p w14:paraId="610B8ED3"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137315D6"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不高於</w:t>
            </w:r>
            <w:r>
              <w:rPr>
                <w:rFonts w:ascii="FangSong" w:eastAsia="FangSong" w:hAnsi="FangSong" w:cs="Times New Roman"/>
                <w:color w:val="000000"/>
                <w:sz w:val="24"/>
                <w:szCs w:val="24"/>
              </w:rPr>
              <w:t>35%</w:t>
            </w:r>
          </w:p>
        </w:tc>
        <w:tc>
          <w:tcPr>
            <w:tcW w:w="2347" w:type="dxa"/>
            <w:tcBorders>
              <w:right w:val="single" w:sz="4" w:space="0" w:color="auto"/>
            </w:tcBorders>
            <w:vAlign w:val="center"/>
          </w:tcPr>
          <w:p w14:paraId="41197CC6"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4</w:t>
            </w:r>
          </w:p>
        </w:tc>
      </w:tr>
      <w:tr w:rsidR="008464FF" w14:paraId="1B3D61B1" w14:textId="77777777">
        <w:trPr>
          <w:jc w:val="center"/>
        </w:trPr>
        <w:tc>
          <w:tcPr>
            <w:tcW w:w="648" w:type="dxa"/>
            <w:tcBorders>
              <w:left w:val="single" w:sz="4" w:space="0" w:color="auto"/>
            </w:tcBorders>
          </w:tcPr>
          <w:p w14:paraId="37CFA7EF"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346A47BA"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高於</w:t>
            </w:r>
            <w:r>
              <w:rPr>
                <w:rFonts w:ascii="FangSong" w:eastAsia="FangSong" w:hAnsi="FangSong" w:cs="Times New Roman"/>
                <w:color w:val="000000"/>
                <w:sz w:val="24"/>
                <w:szCs w:val="24"/>
              </w:rPr>
              <w:t>35%</w:t>
            </w:r>
            <w:r>
              <w:rPr>
                <w:rFonts w:ascii="FangSong" w:eastAsia="FangSong" w:hAnsi="FangSong" w:cs="Times New Roman" w:hint="eastAsia"/>
                <w:color w:val="000000"/>
                <w:sz w:val="24"/>
                <w:szCs w:val="24"/>
              </w:rPr>
              <w:t>，或不易估值（適用於淨值數據少於六個月的情形）</w:t>
            </w:r>
          </w:p>
        </w:tc>
        <w:tc>
          <w:tcPr>
            <w:tcW w:w="2347" w:type="dxa"/>
            <w:tcBorders>
              <w:right w:val="single" w:sz="4" w:space="0" w:color="auto"/>
            </w:tcBorders>
            <w:vAlign w:val="center"/>
          </w:tcPr>
          <w:p w14:paraId="6C4E847B"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1CD97249" w14:textId="77777777" w:rsidR="008464FF" w:rsidRDefault="008464FF">
      <w:pPr>
        <w:shd w:val="clear" w:color="auto" w:fill="FFFFFF"/>
        <w:snapToGrid w:val="0"/>
        <w:spacing w:before="0" w:after="0" w:line="240" w:lineRule="auto"/>
        <w:ind w:left="360"/>
        <w:rPr>
          <w:rFonts w:ascii="FangSong" w:eastAsia="FangSong" w:hAnsi="FangSong" w:cs="Times New Roman"/>
          <w:b/>
          <w:color w:val="000000"/>
          <w:sz w:val="24"/>
          <w:szCs w:val="24"/>
        </w:rPr>
      </w:pPr>
    </w:p>
    <w:tbl>
      <w:tblPr>
        <w:tblStyle w:val="af6"/>
        <w:tblW w:w="0" w:type="auto"/>
        <w:jc w:val="center"/>
        <w:tblLook w:val="04A0" w:firstRow="1" w:lastRow="0" w:firstColumn="1" w:lastColumn="0" w:noHBand="0" w:noVBand="1"/>
      </w:tblPr>
      <w:tblGrid>
        <w:gridCol w:w="648"/>
        <w:gridCol w:w="6804"/>
        <w:gridCol w:w="2347"/>
      </w:tblGrid>
      <w:tr w:rsidR="008464FF" w14:paraId="0355DE07" w14:textId="77777777">
        <w:trPr>
          <w:jc w:val="center"/>
        </w:trPr>
        <w:tc>
          <w:tcPr>
            <w:tcW w:w="648" w:type="dxa"/>
            <w:tcBorders>
              <w:bottom w:val="single" w:sz="4" w:space="0" w:color="auto"/>
            </w:tcBorders>
          </w:tcPr>
          <w:p w14:paraId="5D0209B9" w14:textId="77777777" w:rsidR="008464FF" w:rsidRDefault="00BD2008">
            <w:pPr>
              <w:pStyle w:val="aff1"/>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.6</w:t>
            </w:r>
          </w:p>
        </w:tc>
        <w:tc>
          <w:tcPr>
            <w:tcW w:w="6804" w:type="dxa"/>
            <w:tcBorders>
              <w:bottom w:val="single" w:sz="4" w:space="0" w:color="auto"/>
            </w:tcBorders>
          </w:tcPr>
          <w:p w14:paraId="323BE8AE" w14:textId="77777777" w:rsidR="008464FF" w:rsidRDefault="00BD2008">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b/>
                <w:color w:val="000000"/>
                <w:sz w:val="24"/>
                <w:szCs w:val="24"/>
              </w:rPr>
              <w:t>貨幣風險</w:t>
            </w:r>
            <w:r>
              <w:rPr>
                <w:rFonts w:ascii="FangSong" w:eastAsia="FangSong" w:hAnsi="FangSong" w:cs="Times New Roman" w:hint="eastAsia"/>
                <w:b/>
                <w:color w:val="000000"/>
                <w:sz w:val="24"/>
                <w:szCs w:val="24"/>
              </w:rPr>
              <w:t>敞口</w:t>
            </w:r>
          </w:p>
        </w:tc>
        <w:tc>
          <w:tcPr>
            <w:tcW w:w="2347" w:type="dxa"/>
            <w:tcBorders>
              <w:bottom w:val="single" w:sz="4" w:space="0" w:color="auto"/>
            </w:tcBorders>
          </w:tcPr>
          <w:p w14:paraId="3F5A3952" w14:textId="77777777" w:rsidR="008464FF" w:rsidRDefault="00BD2008">
            <w:pPr>
              <w:pStyle w:val="aff1"/>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8464FF" w14:paraId="3D6F83B5" w14:textId="77777777">
        <w:trPr>
          <w:jc w:val="center"/>
        </w:trPr>
        <w:tc>
          <w:tcPr>
            <w:tcW w:w="648" w:type="dxa"/>
            <w:tcBorders>
              <w:top w:val="single" w:sz="4" w:space="0" w:color="auto"/>
              <w:left w:val="single" w:sz="4" w:space="0" w:color="auto"/>
            </w:tcBorders>
          </w:tcPr>
          <w:p w14:paraId="103360DA"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1E17486A"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港幣、美元</w:t>
            </w:r>
          </w:p>
        </w:tc>
        <w:tc>
          <w:tcPr>
            <w:tcW w:w="2347" w:type="dxa"/>
            <w:tcBorders>
              <w:top w:val="single" w:sz="4" w:space="0" w:color="auto"/>
              <w:right w:val="single" w:sz="4" w:space="0" w:color="auto"/>
            </w:tcBorders>
            <w:vAlign w:val="center"/>
          </w:tcPr>
          <w:p w14:paraId="7E41CD57"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1</w:t>
            </w:r>
          </w:p>
        </w:tc>
      </w:tr>
      <w:tr w:rsidR="008464FF" w14:paraId="223B8B11" w14:textId="77777777">
        <w:trPr>
          <w:trHeight w:val="70"/>
          <w:jc w:val="center"/>
        </w:trPr>
        <w:tc>
          <w:tcPr>
            <w:tcW w:w="648" w:type="dxa"/>
            <w:tcBorders>
              <w:left w:val="single" w:sz="4" w:space="0" w:color="auto"/>
            </w:tcBorders>
          </w:tcPr>
          <w:p w14:paraId="7A1C8F64"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34B5EAF6"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日圓、瑞士法郎等</w:t>
            </w:r>
          </w:p>
        </w:tc>
        <w:tc>
          <w:tcPr>
            <w:tcW w:w="2347" w:type="dxa"/>
            <w:tcBorders>
              <w:right w:val="single" w:sz="4" w:space="0" w:color="auto"/>
            </w:tcBorders>
            <w:vAlign w:val="center"/>
          </w:tcPr>
          <w:p w14:paraId="4203AE1E"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2</w:t>
            </w:r>
          </w:p>
        </w:tc>
      </w:tr>
      <w:tr w:rsidR="008464FF" w14:paraId="32B8A8EB" w14:textId="77777777">
        <w:trPr>
          <w:jc w:val="center"/>
        </w:trPr>
        <w:tc>
          <w:tcPr>
            <w:tcW w:w="648" w:type="dxa"/>
            <w:tcBorders>
              <w:left w:val="single" w:sz="4" w:space="0" w:color="auto"/>
            </w:tcBorders>
          </w:tcPr>
          <w:p w14:paraId="6152E0AB"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4381E3A0"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人民幣、歐元</w:t>
            </w:r>
          </w:p>
        </w:tc>
        <w:tc>
          <w:tcPr>
            <w:tcW w:w="2347" w:type="dxa"/>
            <w:tcBorders>
              <w:right w:val="single" w:sz="4" w:space="0" w:color="auto"/>
            </w:tcBorders>
            <w:vAlign w:val="center"/>
          </w:tcPr>
          <w:p w14:paraId="6906535B" w14:textId="77777777" w:rsidR="008464FF" w:rsidRDefault="00BD2008">
            <w:r>
              <w:rPr>
                <w:rFonts w:ascii="FangSong" w:hAnsi="FangSong"/>
                <w:sz w:val="24"/>
              </w:rPr>
              <w:t>☑ 3</w:t>
            </w:r>
          </w:p>
        </w:tc>
      </w:tr>
      <w:tr w:rsidR="008464FF" w14:paraId="0EDC0533" w14:textId="77777777">
        <w:trPr>
          <w:jc w:val="center"/>
        </w:trPr>
        <w:tc>
          <w:tcPr>
            <w:tcW w:w="648" w:type="dxa"/>
            <w:tcBorders>
              <w:left w:val="single" w:sz="4" w:space="0" w:color="auto"/>
            </w:tcBorders>
          </w:tcPr>
          <w:p w14:paraId="7135178F"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1CD5C123"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澳元、新西蘭元、加元等商品貨幣</w:t>
            </w:r>
          </w:p>
        </w:tc>
        <w:tc>
          <w:tcPr>
            <w:tcW w:w="2347" w:type="dxa"/>
            <w:tcBorders>
              <w:right w:val="single" w:sz="4" w:space="0" w:color="auto"/>
            </w:tcBorders>
            <w:vAlign w:val="center"/>
          </w:tcPr>
          <w:p w14:paraId="4F5F1CAD"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4</w:t>
            </w:r>
          </w:p>
        </w:tc>
      </w:tr>
      <w:tr w:rsidR="008464FF" w14:paraId="53BA0C87" w14:textId="77777777">
        <w:trPr>
          <w:jc w:val="center"/>
        </w:trPr>
        <w:tc>
          <w:tcPr>
            <w:tcW w:w="648" w:type="dxa"/>
            <w:tcBorders>
              <w:left w:val="single" w:sz="4" w:space="0" w:color="auto"/>
            </w:tcBorders>
          </w:tcPr>
          <w:p w14:paraId="29C01BAB"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49F2340E"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新興市場貨幣，或P</w:t>
            </w:r>
            <w:r>
              <w:rPr>
                <w:rFonts w:ascii="FangSong" w:eastAsia="FangSong" w:hAnsi="FangSong" w:cs="Times New Roman"/>
                <w:color w:val="000000"/>
                <w:sz w:val="24"/>
                <w:szCs w:val="24"/>
              </w:rPr>
              <w:t>PM</w:t>
            </w:r>
            <w:r>
              <w:rPr>
                <w:rFonts w:ascii="FangSong" w:eastAsia="FangSong" w:hAnsi="FangSong" w:cs="Times New Roman" w:hint="eastAsia"/>
                <w:color w:val="000000"/>
                <w:sz w:val="24"/>
                <w:szCs w:val="24"/>
              </w:rPr>
              <w:t>無特別説明</w:t>
            </w:r>
          </w:p>
        </w:tc>
        <w:tc>
          <w:tcPr>
            <w:tcW w:w="2347" w:type="dxa"/>
            <w:tcBorders>
              <w:right w:val="single" w:sz="4" w:space="0" w:color="auto"/>
            </w:tcBorders>
            <w:vAlign w:val="center"/>
          </w:tcPr>
          <w:p w14:paraId="6BC3DB1E"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237F6FFC" w14:textId="77777777" w:rsidR="008464FF" w:rsidRDefault="008464FF">
      <w:pPr>
        <w:pStyle w:val="aff1"/>
        <w:shd w:val="clear" w:color="auto" w:fill="FFFFFF"/>
        <w:snapToGrid w:val="0"/>
        <w:spacing w:before="0" w:after="0" w:line="240" w:lineRule="auto"/>
        <w:ind w:leftChars="0" w:left="425"/>
        <w:rPr>
          <w:rFonts w:ascii="FangSong" w:eastAsia="FangSong" w:hAnsi="FangSong" w:cs="Times New Roman"/>
          <w:b/>
          <w:color w:val="000000"/>
          <w:sz w:val="24"/>
          <w:szCs w:val="24"/>
        </w:rPr>
      </w:pPr>
    </w:p>
    <w:tbl>
      <w:tblPr>
        <w:tblStyle w:val="af6"/>
        <w:tblW w:w="0" w:type="auto"/>
        <w:jc w:val="center"/>
        <w:tblLook w:val="04A0" w:firstRow="1" w:lastRow="0" w:firstColumn="1" w:lastColumn="0" w:noHBand="0" w:noVBand="1"/>
      </w:tblPr>
      <w:tblGrid>
        <w:gridCol w:w="648"/>
        <w:gridCol w:w="6804"/>
        <w:gridCol w:w="2347"/>
      </w:tblGrid>
      <w:tr w:rsidR="008464FF" w14:paraId="4F832CA6" w14:textId="77777777">
        <w:trPr>
          <w:jc w:val="center"/>
        </w:trPr>
        <w:tc>
          <w:tcPr>
            <w:tcW w:w="648" w:type="dxa"/>
            <w:tcBorders>
              <w:bottom w:val="single" w:sz="4" w:space="0" w:color="auto"/>
            </w:tcBorders>
          </w:tcPr>
          <w:p w14:paraId="6AF7E153" w14:textId="77777777" w:rsidR="008464FF" w:rsidRDefault="00BD2008">
            <w:pPr>
              <w:pStyle w:val="aff1"/>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.7</w:t>
            </w:r>
          </w:p>
        </w:tc>
        <w:tc>
          <w:tcPr>
            <w:tcW w:w="6804" w:type="dxa"/>
            <w:tcBorders>
              <w:bottom w:val="single" w:sz="4" w:space="0" w:color="auto"/>
            </w:tcBorders>
          </w:tcPr>
          <w:p w14:paraId="428C11A2" w14:textId="77777777" w:rsidR="008464FF" w:rsidRDefault="00BD2008">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鎖定期</w:t>
            </w:r>
          </w:p>
        </w:tc>
        <w:tc>
          <w:tcPr>
            <w:tcW w:w="2347" w:type="dxa"/>
            <w:tcBorders>
              <w:bottom w:val="single" w:sz="4" w:space="0" w:color="auto"/>
            </w:tcBorders>
          </w:tcPr>
          <w:p w14:paraId="128D3DA9" w14:textId="77777777" w:rsidR="008464FF" w:rsidRDefault="00BD2008">
            <w:pPr>
              <w:pStyle w:val="aff1"/>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8464FF" w14:paraId="0912AFA2" w14:textId="77777777">
        <w:trPr>
          <w:jc w:val="center"/>
        </w:trPr>
        <w:tc>
          <w:tcPr>
            <w:tcW w:w="648" w:type="dxa"/>
            <w:tcBorders>
              <w:top w:val="single" w:sz="4" w:space="0" w:color="auto"/>
              <w:left w:val="single" w:sz="4" w:space="0" w:color="auto"/>
            </w:tcBorders>
          </w:tcPr>
          <w:p w14:paraId="7654B53E"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2AB9FCAB"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無</w:t>
            </w:r>
          </w:p>
        </w:tc>
        <w:tc>
          <w:tcPr>
            <w:tcW w:w="2347" w:type="dxa"/>
            <w:tcBorders>
              <w:top w:val="single" w:sz="4" w:space="0" w:color="auto"/>
              <w:right w:val="single" w:sz="4" w:space="0" w:color="auto"/>
            </w:tcBorders>
            <w:vAlign w:val="center"/>
          </w:tcPr>
          <w:p w14:paraId="3C1EEA63" w14:textId="77777777" w:rsidR="008464FF" w:rsidRDefault="00BD2008">
            <w:r>
              <w:rPr>
                <w:rFonts w:ascii="FangSong" w:hAnsi="FangSong"/>
                <w:sz w:val="24"/>
              </w:rPr>
              <w:t>☑ 0</w:t>
            </w:r>
          </w:p>
        </w:tc>
      </w:tr>
      <w:tr w:rsidR="008464FF" w14:paraId="3EA8F441" w14:textId="77777777">
        <w:trPr>
          <w:jc w:val="center"/>
        </w:trPr>
        <w:tc>
          <w:tcPr>
            <w:tcW w:w="648" w:type="dxa"/>
            <w:tcBorders>
              <w:top w:val="single" w:sz="4" w:space="0" w:color="auto"/>
              <w:left w:val="single" w:sz="4" w:space="0" w:color="auto"/>
            </w:tcBorders>
          </w:tcPr>
          <w:p w14:paraId="2CE8A142"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737F3EC9"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不超過1年</w:t>
            </w:r>
          </w:p>
        </w:tc>
        <w:tc>
          <w:tcPr>
            <w:tcW w:w="2347" w:type="dxa"/>
            <w:tcBorders>
              <w:top w:val="single" w:sz="4" w:space="0" w:color="auto"/>
              <w:right w:val="single" w:sz="4" w:space="0" w:color="auto"/>
            </w:tcBorders>
            <w:vAlign w:val="center"/>
          </w:tcPr>
          <w:p w14:paraId="73988EBE"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1</w:t>
            </w:r>
          </w:p>
        </w:tc>
      </w:tr>
      <w:tr w:rsidR="008464FF" w14:paraId="72DD4627" w14:textId="77777777">
        <w:trPr>
          <w:jc w:val="center"/>
        </w:trPr>
        <w:tc>
          <w:tcPr>
            <w:tcW w:w="648" w:type="dxa"/>
            <w:tcBorders>
              <w:left w:val="single" w:sz="4" w:space="0" w:color="auto"/>
            </w:tcBorders>
          </w:tcPr>
          <w:p w14:paraId="72AF245F"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44134AA5"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不超過3年</w:t>
            </w:r>
          </w:p>
        </w:tc>
        <w:tc>
          <w:tcPr>
            <w:tcW w:w="2347" w:type="dxa"/>
            <w:tcBorders>
              <w:right w:val="single" w:sz="4" w:space="0" w:color="auto"/>
            </w:tcBorders>
            <w:vAlign w:val="center"/>
          </w:tcPr>
          <w:p w14:paraId="332378C7"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2</w:t>
            </w:r>
          </w:p>
        </w:tc>
      </w:tr>
      <w:tr w:rsidR="008464FF" w14:paraId="53DFBD4F" w14:textId="77777777">
        <w:trPr>
          <w:jc w:val="center"/>
        </w:trPr>
        <w:tc>
          <w:tcPr>
            <w:tcW w:w="648" w:type="dxa"/>
            <w:tcBorders>
              <w:left w:val="single" w:sz="4" w:space="0" w:color="auto"/>
            </w:tcBorders>
          </w:tcPr>
          <w:p w14:paraId="2DD93A88"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01A750B2"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不超過</w:t>
            </w:r>
            <w:r>
              <w:rPr>
                <w:rFonts w:ascii="FangSong" w:eastAsia="FangSong" w:hAnsi="FangSong" w:cs="Times New Roman"/>
                <w:color w:val="000000"/>
                <w:sz w:val="24"/>
                <w:szCs w:val="24"/>
              </w:rPr>
              <w:t>5</w:t>
            </w:r>
            <w:r>
              <w:rPr>
                <w:rFonts w:ascii="FangSong" w:eastAsia="FangSong" w:hAnsi="FangSong" w:cs="Times New Roman" w:hint="eastAsia"/>
                <w:color w:val="000000"/>
                <w:sz w:val="24"/>
                <w:szCs w:val="24"/>
              </w:rPr>
              <w:t>年</w:t>
            </w:r>
          </w:p>
        </w:tc>
        <w:tc>
          <w:tcPr>
            <w:tcW w:w="2347" w:type="dxa"/>
            <w:tcBorders>
              <w:right w:val="single" w:sz="4" w:space="0" w:color="auto"/>
            </w:tcBorders>
            <w:vAlign w:val="center"/>
          </w:tcPr>
          <w:p w14:paraId="0ACF759D"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8464FF" w14:paraId="3A812CAF" w14:textId="77777777">
        <w:trPr>
          <w:jc w:val="center"/>
        </w:trPr>
        <w:tc>
          <w:tcPr>
            <w:tcW w:w="648" w:type="dxa"/>
            <w:tcBorders>
              <w:left w:val="single" w:sz="4" w:space="0" w:color="auto"/>
            </w:tcBorders>
          </w:tcPr>
          <w:p w14:paraId="496E6AA9"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2BFEA738"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不超過10年</w:t>
            </w:r>
          </w:p>
        </w:tc>
        <w:tc>
          <w:tcPr>
            <w:tcW w:w="2347" w:type="dxa"/>
            <w:tcBorders>
              <w:right w:val="single" w:sz="4" w:space="0" w:color="auto"/>
            </w:tcBorders>
            <w:vAlign w:val="center"/>
          </w:tcPr>
          <w:p w14:paraId="6361D04E"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4</w:t>
            </w:r>
          </w:p>
        </w:tc>
      </w:tr>
      <w:tr w:rsidR="008464FF" w14:paraId="4E929494" w14:textId="77777777">
        <w:trPr>
          <w:jc w:val="center"/>
        </w:trPr>
        <w:tc>
          <w:tcPr>
            <w:tcW w:w="648" w:type="dxa"/>
            <w:tcBorders>
              <w:left w:val="single" w:sz="4" w:space="0" w:color="auto"/>
            </w:tcBorders>
          </w:tcPr>
          <w:p w14:paraId="089C0214"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64087E33"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超過</w:t>
            </w:r>
            <w:r>
              <w:rPr>
                <w:rFonts w:ascii="FangSong" w:eastAsia="FangSong" w:hAnsi="FangSong" w:cs="Times New Roman"/>
                <w:color w:val="000000"/>
                <w:sz w:val="24"/>
                <w:szCs w:val="24"/>
              </w:rPr>
              <w:t>10</w:t>
            </w:r>
            <w:r>
              <w:rPr>
                <w:rFonts w:ascii="FangSong" w:eastAsia="FangSong" w:hAnsi="FangSong" w:cs="Times New Roman" w:hint="eastAsia"/>
                <w:color w:val="000000"/>
                <w:sz w:val="24"/>
                <w:szCs w:val="24"/>
              </w:rPr>
              <w:t>年</w:t>
            </w:r>
          </w:p>
        </w:tc>
        <w:tc>
          <w:tcPr>
            <w:tcW w:w="2347" w:type="dxa"/>
            <w:tcBorders>
              <w:right w:val="single" w:sz="4" w:space="0" w:color="auto"/>
            </w:tcBorders>
            <w:vAlign w:val="center"/>
          </w:tcPr>
          <w:p w14:paraId="34DE4890"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685ACA8E" w14:textId="77777777" w:rsidR="008464FF" w:rsidRDefault="008464FF">
      <w:pPr>
        <w:shd w:val="clear" w:color="auto" w:fill="FFFFFF"/>
        <w:snapToGrid w:val="0"/>
        <w:spacing w:before="0" w:after="0" w:line="240" w:lineRule="auto"/>
        <w:ind w:left="360"/>
        <w:rPr>
          <w:rFonts w:ascii="FangSong" w:eastAsia="FangSong" w:hAnsi="FangSong" w:cs="Times New Roman"/>
          <w:b/>
          <w:color w:val="000000"/>
          <w:sz w:val="24"/>
          <w:szCs w:val="24"/>
        </w:rPr>
      </w:pPr>
    </w:p>
    <w:tbl>
      <w:tblPr>
        <w:tblStyle w:val="af6"/>
        <w:tblW w:w="0" w:type="auto"/>
        <w:jc w:val="center"/>
        <w:tblLook w:val="04A0" w:firstRow="1" w:lastRow="0" w:firstColumn="1" w:lastColumn="0" w:noHBand="0" w:noVBand="1"/>
      </w:tblPr>
      <w:tblGrid>
        <w:gridCol w:w="648"/>
        <w:gridCol w:w="6804"/>
        <w:gridCol w:w="2347"/>
      </w:tblGrid>
      <w:tr w:rsidR="008464FF" w14:paraId="4676FDF2" w14:textId="77777777">
        <w:trPr>
          <w:jc w:val="center"/>
        </w:trPr>
        <w:tc>
          <w:tcPr>
            <w:tcW w:w="648" w:type="dxa"/>
            <w:tcBorders>
              <w:bottom w:val="single" w:sz="4" w:space="0" w:color="auto"/>
            </w:tcBorders>
          </w:tcPr>
          <w:p w14:paraId="7E198CCA" w14:textId="77777777" w:rsidR="008464FF" w:rsidRDefault="00BD2008">
            <w:pPr>
              <w:pStyle w:val="aff1"/>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.8</w:t>
            </w:r>
          </w:p>
        </w:tc>
        <w:tc>
          <w:tcPr>
            <w:tcW w:w="6804" w:type="dxa"/>
            <w:tcBorders>
              <w:bottom w:val="single" w:sz="4" w:space="0" w:color="auto"/>
            </w:tcBorders>
          </w:tcPr>
          <w:p w14:paraId="353B0E1B" w14:textId="77777777" w:rsidR="008464FF" w:rsidRDefault="00BD2008">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b/>
                <w:color w:val="000000"/>
                <w:sz w:val="24"/>
                <w:szCs w:val="24"/>
              </w:rPr>
              <w:t>基金經理</w:t>
            </w:r>
            <w:r>
              <w:rPr>
                <w:rFonts w:ascii="FangSong" w:eastAsia="FangSong" w:hAnsi="FangSong" w:cs="Times New Roman" w:hint="eastAsia"/>
                <w:b/>
                <w:color w:val="000000"/>
                <w:sz w:val="24"/>
                <w:szCs w:val="24"/>
              </w:rPr>
              <w:t>之基金管理</w:t>
            </w:r>
            <w:r>
              <w:rPr>
                <w:rFonts w:ascii="FangSong" w:eastAsia="FangSong" w:hAnsi="FangSong" w:cs="Times New Roman"/>
                <w:b/>
                <w:color w:val="000000"/>
                <w:sz w:val="24"/>
                <w:szCs w:val="24"/>
              </w:rPr>
              <w:t>經驗</w:t>
            </w:r>
          </w:p>
        </w:tc>
        <w:tc>
          <w:tcPr>
            <w:tcW w:w="2347" w:type="dxa"/>
            <w:tcBorders>
              <w:bottom w:val="single" w:sz="4" w:space="0" w:color="auto"/>
            </w:tcBorders>
          </w:tcPr>
          <w:p w14:paraId="3598EADD" w14:textId="77777777" w:rsidR="008464FF" w:rsidRDefault="00BD2008">
            <w:pPr>
              <w:pStyle w:val="aff1"/>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8464FF" w14:paraId="2C244AA5" w14:textId="77777777">
        <w:trPr>
          <w:jc w:val="center"/>
        </w:trPr>
        <w:tc>
          <w:tcPr>
            <w:tcW w:w="648" w:type="dxa"/>
            <w:tcBorders>
              <w:top w:val="single" w:sz="4" w:space="0" w:color="auto"/>
              <w:left w:val="single" w:sz="4" w:space="0" w:color="auto"/>
            </w:tcBorders>
          </w:tcPr>
          <w:p w14:paraId="5DF908B3" w14:textId="77777777" w:rsidR="008464FF" w:rsidRDefault="008464FF">
            <w:pPr>
              <w:pStyle w:val="aff1"/>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35CFA86C"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超過10年</w:t>
            </w:r>
          </w:p>
        </w:tc>
        <w:tc>
          <w:tcPr>
            <w:tcW w:w="2347" w:type="dxa"/>
            <w:tcBorders>
              <w:top w:val="single" w:sz="4" w:space="0" w:color="auto"/>
              <w:right w:val="single" w:sz="4" w:space="0" w:color="auto"/>
            </w:tcBorders>
            <w:vAlign w:val="center"/>
          </w:tcPr>
          <w:p w14:paraId="7A7D1890"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1</w:t>
            </w:r>
          </w:p>
        </w:tc>
      </w:tr>
      <w:tr w:rsidR="008464FF" w14:paraId="58237AA5" w14:textId="77777777">
        <w:trPr>
          <w:jc w:val="center"/>
        </w:trPr>
        <w:tc>
          <w:tcPr>
            <w:tcW w:w="648" w:type="dxa"/>
            <w:tcBorders>
              <w:left w:val="single" w:sz="4" w:space="0" w:color="auto"/>
            </w:tcBorders>
          </w:tcPr>
          <w:p w14:paraId="07505903"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30737CFE"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5-10年</w:t>
            </w:r>
          </w:p>
        </w:tc>
        <w:tc>
          <w:tcPr>
            <w:tcW w:w="2347" w:type="dxa"/>
            <w:tcBorders>
              <w:right w:val="single" w:sz="4" w:space="0" w:color="auto"/>
            </w:tcBorders>
            <w:vAlign w:val="center"/>
          </w:tcPr>
          <w:p w14:paraId="598ED8E4"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8464FF" w14:paraId="1C5F2C6B" w14:textId="77777777">
        <w:trPr>
          <w:jc w:val="center"/>
        </w:trPr>
        <w:tc>
          <w:tcPr>
            <w:tcW w:w="648" w:type="dxa"/>
            <w:tcBorders>
              <w:left w:val="single" w:sz="4" w:space="0" w:color="auto"/>
            </w:tcBorders>
          </w:tcPr>
          <w:p w14:paraId="6424E148"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75E38316"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0-5年</w:t>
            </w:r>
            <w:r>
              <w:rPr>
                <w:rFonts w:ascii="FangSong" w:eastAsia="FangSong" w:hAnsi="FangSong" w:cs="Times New Roman" w:hint="eastAsia"/>
                <w:color w:val="000000"/>
                <w:sz w:val="24"/>
                <w:szCs w:val="24"/>
              </w:rPr>
              <w:t>，或P</w:t>
            </w:r>
            <w:r>
              <w:rPr>
                <w:rFonts w:ascii="FangSong" w:eastAsia="FangSong" w:hAnsi="FangSong" w:cs="Times New Roman"/>
                <w:color w:val="000000"/>
                <w:sz w:val="24"/>
                <w:szCs w:val="24"/>
              </w:rPr>
              <w:t>PM</w:t>
            </w:r>
            <w:r>
              <w:rPr>
                <w:rFonts w:ascii="FangSong" w:eastAsia="FangSong" w:hAnsi="FangSong" w:cs="Times New Roman" w:hint="eastAsia"/>
                <w:color w:val="000000"/>
                <w:sz w:val="24"/>
                <w:szCs w:val="24"/>
              </w:rPr>
              <w:t>無特別説明</w:t>
            </w:r>
          </w:p>
        </w:tc>
        <w:tc>
          <w:tcPr>
            <w:tcW w:w="2347" w:type="dxa"/>
            <w:tcBorders>
              <w:right w:val="single" w:sz="4" w:space="0" w:color="auto"/>
            </w:tcBorders>
            <w:vAlign w:val="center"/>
          </w:tcPr>
          <w:p w14:paraId="3428CD77" w14:textId="77777777" w:rsidR="008464FF" w:rsidRDefault="00BD2008">
            <w:r>
              <w:rPr>
                <w:rFonts w:ascii="FangSong" w:hAnsi="FangSong"/>
                <w:sz w:val="24"/>
              </w:rPr>
              <w:t>☑ 5</w:t>
            </w:r>
          </w:p>
        </w:tc>
      </w:tr>
    </w:tbl>
    <w:p w14:paraId="0A37C4B7" w14:textId="77777777" w:rsidR="008464FF" w:rsidRDefault="008464FF">
      <w:pPr>
        <w:pStyle w:val="aff1"/>
        <w:shd w:val="clear" w:color="auto" w:fill="FFFFFF"/>
        <w:snapToGrid w:val="0"/>
        <w:spacing w:before="0" w:after="0" w:line="240" w:lineRule="auto"/>
        <w:ind w:leftChars="0" w:left="425"/>
        <w:rPr>
          <w:rFonts w:ascii="FangSong" w:eastAsia="FangSong" w:hAnsi="FangSong" w:cs="Times New Roman"/>
          <w:color w:val="000000"/>
          <w:sz w:val="24"/>
          <w:szCs w:val="24"/>
        </w:rPr>
      </w:pPr>
    </w:p>
    <w:tbl>
      <w:tblPr>
        <w:tblStyle w:val="af6"/>
        <w:tblW w:w="0" w:type="auto"/>
        <w:jc w:val="center"/>
        <w:tblLayout w:type="fixed"/>
        <w:tblLook w:val="04A0" w:firstRow="1" w:lastRow="0" w:firstColumn="1" w:lastColumn="0" w:noHBand="0" w:noVBand="1"/>
      </w:tblPr>
      <w:tblGrid>
        <w:gridCol w:w="715"/>
        <w:gridCol w:w="6750"/>
        <w:gridCol w:w="2433"/>
      </w:tblGrid>
      <w:tr w:rsidR="008464FF" w14:paraId="77A9326B" w14:textId="77777777">
        <w:trPr>
          <w:jc w:val="center"/>
        </w:trPr>
        <w:tc>
          <w:tcPr>
            <w:tcW w:w="715" w:type="dxa"/>
            <w:tcBorders>
              <w:bottom w:val="single" w:sz="4" w:space="0" w:color="auto"/>
            </w:tcBorders>
          </w:tcPr>
          <w:p w14:paraId="18824AAB" w14:textId="77777777" w:rsidR="008464FF" w:rsidRDefault="00BD2008">
            <w:pPr>
              <w:pStyle w:val="aff1"/>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.9</w:t>
            </w:r>
          </w:p>
        </w:tc>
        <w:tc>
          <w:tcPr>
            <w:tcW w:w="6750" w:type="dxa"/>
            <w:tcBorders>
              <w:bottom w:val="single" w:sz="4" w:space="0" w:color="auto"/>
            </w:tcBorders>
          </w:tcPr>
          <w:p w14:paraId="59773FB6" w14:textId="77777777" w:rsidR="008464FF" w:rsidRDefault="00BD2008">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b/>
                <w:color w:val="000000"/>
                <w:sz w:val="24"/>
                <w:szCs w:val="24"/>
              </w:rPr>
              <w:t>公司風險</w:t>
            </w:r>
          </w:p>
          <w:p w14:paraId="4ED40ECB" w14:textId="77777777" w:rsidR="008464FF" w:rsidRDefault="00BD2008">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b/>
                <w:color w:val="000000"/>
                <w:sz w:val="24"/>
                <w:szCs w:val="24"/>
              </w:rPr>
              <w:t>有關發行人的任何紀律處分或重大負面消息？</w:t>
            </w:r>
          </w:p>
        </w:tc>
        <w:tc>
          <w:tcPr>
            <w:tcW w:w="2433" w:type="dxa"/>
            <w:tcBorders>
              <w:bottom w:val="single" w:sz="4" w:space="0" w:color="auto"/>
            </w:tcBorders>
          </w:tcPr>
          <w:p w14:paraId="38486E3E"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p w14:paraId="4DBA1AF6" w14:textId="77777777" w:rsidR="008464FF" w:rsidRDefault="00BD2008">
            <w:pPr>
              <w:pStyle w:val="aff1"/>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8464FF" w14:paraId="37B12A3F" w14:textId="77777777">
        <w:trPr>
          <w:jc w:val="center"/>
        </w:trPr>
        <w:tc>
          <w:tcPr>
            <w:tcW w:w="715" w:type="dxa"/>
            <w:tcBorders>
              <w:left w:val="single" w:sz="4" w:space="0" w:color="auto"/>
            </w:tcBorders>
          </w:tcPr>
          <w:p w14:paraId="31003805"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750" w:type="dxa"/>
            <w:tcBorders>
              <w:top w:val="single" w:sz="4" w:space="0" w:color="auto"/>
            </w:tcBorders>
          </w:tcPr>
          <w:p w14:paraId="7071E91C"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沒有</w:t>
            </w:r>
          </w:p>
        </w:tc>
        <w:tc>
          <w:tcPr>
            <w:tcW w:w="2433" w:type="dxa"/>
            <w:tcBorders>
              <w:right w:val="single" w:sz="4" w:space="0" w:color="auto"/>
            </w:tcBorders>
            <w:vAlign w:val="center"/>
          </w:tcPr>
          <w:p w14:paraId="5D08DA72" w14:textId="77777777" w:rsidR="008464FF" w:rsidRDefault="00BD2008">
            <w:r>
              <w:rPr>
                <w:rFonts w:ascii="FangSong" w:hAnsi="FangSong"/>
                <w:sz w:val="24"/>
              </w:rPr>
              <w:t>☑ 0</w:t>
            </w:r>
          </w:p>
        </w:tc>
      </w:tr>
      <w:tr w:rsidR="008464FF" w14:paraId="0BE0D6F5" w14:textId="77777777">
        <w:trPr>
          <w:trHeight w:val="683"/>
          <w:jc w:val="center"/>
        </w:trPr>
        <w:tc>
          <w:tcPr>
            <w:tcW w:w="715" w:type="dxa"/>
            <w:tcBorders>
              <w:left w:val="single" w:sz="4" w:space="0" w:color="auto"/>
            </w:tcBorders>
          </w:tcPr>
          <w:p w14:paraId="22AE7CC5"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750" w:type="dxa"/>
          </w:tcPr>
          <w:p w14:paraId="1AF548CB"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有; 請詳述 : __________________________________________</w:t>
            </w:r>
          </w:p>
          <w:p w14:paraId="4EF64233"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______________________________________________________</w:t>
            </w:r>
          </w:p>
        </w:tc>
        <w:tc>
          <w:tcPr>
            <w:tcW w:w="2433" w:type="dxa"/>
            <w:tcBorders>
              <w:right w:val="single" w:sz="4" w:space="0" w:color="auto"/>
            </w:tcBorders>
            <w:vAlign w:val="center"/>
          </w:tcPr>
          <w:p w14:paraId="5856900B"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4BA32A21" w14:textId="77777777" w:rsidR="008464FF" w:rsidRDefault="008464FF">
      <w:pPr>
        <w:pStyle w:val="aff1"/>
        <w:shd w:val="clear" w:color="auto" w:fill="FFFFFF"/>
        <w:snapToGrid w:val="0"/>
        <w:spacing w:before="0" w:after="0" w:line="240" w:lineRule="auto"/>
        <w:ind w:leftChars="0" w:left="425"/>
        <w:rPr>
          <w:rFonts w:ascii="FangSong" w:eastAsia="FangSong" w:hAnsi="FangSong" w:cs="Times New Roman"/>
          <w:color w:val="000000"/>
          <w:sz w:val="24"/>
          <w:szCs w:val="24"/>
        </w:rPr>
      </w:pPr>
    </w:p>
    <w:tbl>
      <w:tblPr>
        <w:tblStyle w:val="af6"/>
        <w:tblW w:w="0" w:type="auto"/>
        <w:jc w:val="center"/>
        <w:tblLayout w:type="fixed"/>
        <w:tblLook w:val="04A0" w:firstRow="1" w:lastRow="0" w:firstColumn="1" w:lastColumn="0" w:noHBand="0" w:noVBand="1"/>
      </w:tblPr>
      <w:tblGrid>
        <w:gridCol w:w="715"/>
        <w:gridCol w:w="6750"/>
        <w:gridCol w:w="2433"/>
      </w:tblGrid>
      <w:tr w:rsidR="008464FF" w14:paraId="2C8682D2" w14:textId="77777777">
        <w:trPr>
          <w:trHeight w:val="338"/>
          <w:jc w:val="center"/>
        </w:trPr>
        <w:tc>
          <w:tcPr>
            <w:tcW w:w="715" w:type="dxa"/>
            <w:tcBorders>
              <w:bottom w:val="single" w:sz="4" w:space="0" w:color="auto"/>
            </w:tcBorders>
          </w:tcPr>
          <w:p w14:paraId="4D940582" w14:textId="77777777" w:rsidR="008464FF" w:rsidRDefault="00BD2008">
            <w:pPr>
              <w:pStyle w:val="aff1"/>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.10</w:t>
            </w:r>
          </w:p>
        </w:tc>
        <w:tc>
          <w:tcPr>
            <w:tcW w:w="6750" w:type="dxa"/>
            <w:tcBorders>
              <w:bottom w:val="single" w:sz="4" w:space="0" w:color="auto"/>
            </w:tcBorders>
          </w:tcPr>
          <w:p w14:paraId="42A43E0B" w14:textId="77777777" w:rsidR="008464FF" w:rsidRDefault="00BD2008">
            <w:pPr>
              <w:pStyle w:val="aff1"/>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b/>
                <w:color w:val="000000"/>
                <w:sz w:val="24"/>
                <w:szCs w:val="24"/>
              </w:rPr>
              <w:t>是否複雜產</w:t>
            </w:r>
            <w:r>
              <w:rPr>
                <w:rFonts w:ascii="FangSong" w:eastAsia="FangSong" w:hAnsi="FangSong" w:cs="Times New Roman" w:hint="eastAsia"/>
                <w:b/>
                <w:color w:val="000000"/>
                <w:sz w:val="24"/>
                <w:szCs w:val="24"/>
                <w:lang w:eastAsia="zh-CN"/>
              </w:rPr>
              <w:t>品</w:t>
            </w:r>
            <w:r>
              <w:rPr>
                <w:rFonts w:ascii="FangSong" w:eastAsia="FangSong" w:hAnsi="FangSong" w:cs="Times New Roman"/>
                <w:b/>
                <w:color w:val="000000"/>
                <w:sz w:val="24"/>
                <w:szCs w:val="24"/>
              </w:rPr>
              <w:t>？</w:t>
            </w:r>
          </w:p>
        </w:tc>
        <w:tc>
          <w:tcPr>
            <w:tcW w:w="2433" w:type="dxa"/>
            <w:tcBorders>
              <w:bottom w:val="single" w:sz="4" w:space="0" w:color="auto"/>
            </w:tcBorders>
          </w:tcPr>
          <w:p w14:paraId="31ED0277" w14:textId="77777777" w:rsidR="008464FF" w:rsidRDefault="008464FF">
            <w:pPr>
              <w:pStyle w:val="aff1"/>
              <w:snapToGrid w:val="0"/>
              <w:spacing w:before="0" w:after="0" w:line="240" w:lineRule="auto"/>
              <w:ind w:leftChars="-10" w:left="4" w:hangingChars="10" w:hanging="24"/>
              <w:rPr>
                <w:rFonts w:ascii="FangSong" w:eastAsia="FangSong" w:hAnsi="FangSong" w:cs="Times New Roman"/>
                <w:b/>
                <w:color w:val="000000"/>
                <w:sz w:val="24"/>
                <w:szCs w:val="24"/>
              </w:rPr>
            </w:pPr>
          </w:p>
          <w:p w14:paraId="6C845A3B" w14:textId="77777777" w:rsidR="008464FF" w:rsidRDefault="00BD2008">
            <w:pPr>
              <w:pStyle w:val="aff1"/>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8464FF" w14:paraId="0E3EB332" w14:textId="77777777">
        <w:trPr>
          <w:jc w:val="center"/>
        </w:trPr>
        <w:tc>
          <w:tcPr>
            <w:tcW w:w="715" w:type="dxa"/>
            <w:tcBorders>
              <w:left w:val="single" w:sz="4" w:space="0" w:color="auto"/>
            </w:tcBorders>
          </w:tcPr>
          <w:p w14:paraId="3F556FA8"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750" w:type="dxa"/>
            <w:tcBorders>
              <w:top w:val="single" w:sz="4" w:space="0" w:color="auto"/>
            </w:tcBorders>
          </w:tcPr>
          <w:p w14:paraId="4BA950CE"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不是</w:t>
            </w:r>
          </w:p>
        </w:tc>
        <w:tc>
          <w:tcPr>
            <w:tcW w:w="2433" w:type="dxa"/>
            <w:tcBorders>
              <w:right w:val="single" w:sz="4" w:space="0" w:color="auto"/>
            </w:tcBorders>
            <w:vAlign w:val="center"/>
          </w:tcPr>
          <w:p w14:paraId="398DC155" w14:textId="77777777" w:rsidR="008464FF" w:rsidRDefault="00BD2008">
            <w:r>
              <w:rPr>
                <w:rFonts w:ascii="FangSong" w:hAnsi="FangSong"/>
                <w:sz w:val="24"/>
              </w:rPr>
              <w:t>☑ 0</w:t>
            </w:r>
          </w:p>
        </w:tc>
      </w:tr>
      <w:tr w:rsidR="008464FF" w14:paraId="606E2C68" w14:textId="77777777">
        <w:trPr>
          <w:trHeight w:val="328"/>
          <w:jc w:val="center"/>
        </w:trPr>
        <w:tc>
          <w:tcPr>
            <w:tcW w:w="715" w:type="dxa"/>
            <w:tcBorders>
              <w:left w:val="single" w:sz="4" w:space="0" w:color="auto"/>
            </w:tcBorders>
          </w:tcPr>
          <w:p w14:paraId="166D4C6C" w14:textId="77777777" w:rsidR="008464FF" w:rsidRDefault="008464FF">
            <w:pPr>
              <w:pStyle w:val="aff1"/>
              <w:snapToGrid w:val="0"/>
              <w:spacing w:before="0" w:after="0" w:line="240" w:lineRule="auto"/>
              <w:ind w:leftChars="0" w:left="0"/>
              <w:rPr>
                <w:rFonts w:ascii="FangSong" w:eastAsia="FangSong" w:hAnsi="FangSong" w:cs="Times New Roman"/>
                <w:b/>
                <w:color w:val="000000"/>
                <w:sz w:val="24"/>
                <w:szCs w:val="24"/>
              </w:rPr>
            </w:pPr>
          </w:p>
        </w:tc>
        <w:tc>
          <w:tcPr>
            <w:tcW w:w="6750" w:type="dxa"/>
          </w:tcPr>
          <w:p w14:paraId="7A199B1B"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是</w:t>
            </w:r>
          </w:p>
        </w:tc>
        <w:tc>
          <w:tcPr>
            <w:tcW w:w="2433" w:type="dxa"/>
            <w:tcBorders>
              <w:right w:val="single" w:sz="4" w:space="0" w:color="auto"/>
            </w:tcBorders>
          </w:tcPr>
          <w:p w14:paraId="43604CC6" w14:textId="77777777" w:rsidR="008464FF" w:rsidRDefault="00BD2008">
            <w:pPr>
              <w:pStyle w:val="aff1"/>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7DAA81DF" w14:textId="77777777" w:rsidR="008464FF" w:rsidRDefault="008464FF">
      <w:pPr>
        <w:pStyle w:val="aff1"/>
        <w:shd w:val="clear" w:color="auto" w:fill="FFFFFF"/>
        <w:snapToGrid w:val="0"/>
        <w:spacing w:before="0" w:after="0" w:line="240" w:lineRule="auto"/>
        <w:ind w:leftChars="0" w:left="425"/>
        <w:rPr>
          <w:rFonts w:ascii="FangSong" w:eastAsia="FangSong" w:hAnsi="FangSong" w:cs="Times New Roman"/>
          <w:b/>
          <w:color w:val="000000"/>
          <w:sz w:val="24"/>
          <w:szCs w:val="24"/>
        </w:rPr>
      </w:pPr>
    </w:p>
    <w:p w14:paraId="11453E07" w14:textId="77777777" w:rsidR="008464FF" w:rsidRDefault="00BD2008">
      <w:pPr>
        <w:pStyle w:val="aff1"/>
        <w:numPr>
          <w:ilvl w:val="0"/>
          <w:numId w:val="1"/>
        </w:numPr>
        <w:shd w:val="clear" w:color="auto" w:fill="FFFFFF"/>
        <w:spacing w:before="0" w:after="0" w:line="240" w:lineRule="auto"/>
        <w:ind w:leftChars="0" w:left="270" w:rightChars="-71" w:right="-142" w:hanging="180"/>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t xml:space="preserve">基金主要風險 </w:t>
      </w:r>
    </w:p>
    <w:tbl>
      <w:tblPr>
        <w:tblStyle w:val="GridTable6Colorful1"/>
        <w:tblW w:w="10247" w:type="dxa"/>
        <w:tblLook w:val="04A0" w:firstRow="1" w:lastRow="0" w:firstColumn="1" w:lastColumn="0" w:noHBand="0" w:noVBand="1"/>
      </w:tblPr>
      <w:tblGrid>
        <w:gridCol w:w="10247"/>
      </w:tblGrid>
      <w:tr w:rsidR="008464FF" w14:paraId="6A2E79CC" w14:textId="77777777" w:rsidTr="008464FF">
        <w:trPr>
          <w:cnfStyle w:val="100000000000" w:firstRow="1" w:lastRow="0" w:firstColumn="0" w:lastColumn="0" w:oddVBand="0" w:evenVBand="0" w:oddHBand="0" w:evenHBand="0" w:firstRowFirstColumn="0" w:firstRowLastColumn="0" w:lastRowFirstColumn="0" w:lastRowLastColumn="0"/>
          <w:trHeight w:val="1647"/>
        </w:trPr>
        <w:tc>
          <w:tcPr>
            <w:cnfStyle w:val="001000000000" w:firstRow="0" w:lastRow="0" w:firstColumn="1" w:lastColumn="0" w:oddVBand="0" w:evenVBand="0" w:oddHBand="0" w:evenHBand="0" w:firstRowFirstColumn="0" w:firstRowLastColumn="0" w:lastRowFirstColumn="0" w:lastRowLastColumn="0"/>
            <w:tcW w:w="10247" w:type="dxa"/>
          </w:tcPr>
          <w:p w14:paraId="28694951" w14:textId="77777777" w:rsidR="008464FF" w:rsidRDefault="00BD2008">
            <w:pPr>
              <w:spacing w:after="0" w:line="240" w:lineRule="auto"/>
              <w:jc w:val="both"/>
              <w:rPr>
                <w:rFonts w:ascii="FangSong" w:eastAsia="FangSong" w:hAnsi="FangSong" w:cs="Times New Roman"/>
                <w:bCs w:val="0"/>
                <w:color w:val="000000"/>
                <w:sz w:val="24"/>
                <w:szCs w:val="24"/>
              </w:rPr>
            </w:pPr>
            <w:r>
              <w:rPr>
                <w:rFonts w:ascii="FangSong" w:eastAsia="FangSong" w:hAnsi="FangSong" w:cs="Times New Roman" w:hint="eastAsia"/>
                <w:bCs w:val="0"/>
                <w:color w:val="000000"/>
                <w:sz w:val="24"/>
                <w:szCs w:val="24"/>
              </w:rPr>
              <w:t>1）投資風險：子基金的投資組合價值可能因以下任何主要風險因素而下跌，因此閣下於子基金的投資可能會蒙受損失。概不保證可償還本金。；2）與債務證券有關的風險：短期債務工具風險：由於子基金大量投資於短年期之短期債務工具，因此子基金的投資周轉率相對上可能較高，買賣短期債務工具產生的交易成本亦可能增加，從而可能對子基金的資產淨值造成負面影響。信貸／交易對手風險：子基金承受其可能投資的債務證券發行人的信貸／違約風險。利率風險：子基金的投資涉及利率風險。一般而言，債務證券的價格於利率下跌時上升，而當利率上升時則下跌。主權債務風險：子基金投資於政府發行或擔保的債務工具或會面臨政治、社會及經濟風險。在不利情況下，主權發行人未必能夠或願意於到期時償還本金及／或利息，或可能要求子基金參與重組有關債務。當主權債務發行人違約時，子基金或會蒙受重大虧損。信貸評級風險及評級下調風險：評級機構給予的信貸評級受到限制，並不能保證證券及／或發行人於所有時候的信譽。債務工具或其發行人的信貸評級其後或會被下調。倘出現該等評級下調，子基金的價值或會受到不利影響。經理人可能或未必可能出售評級被下調的債務工具。信貸評級機構風險：中國信貸評級系統及中國使用的評級方法可能與其他市場使用的有所不同。因此，中國評級機構給予的信貸評級可能無法與其他國際評級機構給予的評級作直接比較。估值風險：子基金的投資估值可能涉及不確定性及判斷性決定。倘證實有關估值不正確，則可能影響子基金資產淨值的計算。；3）與銀行存款有關的風險：銀行存款承受相關金融機構的信貸風險。子基金的存款未必受任何存款保障計劃的保障，或存款保障計劃下所提供的保障價值未必足以涵蓋子基金存放的全數金額。因</w:t>
            </w:r>
            <w:r>
              <w:rPr>
                <w:rFonts w:ascii="FangSong" w:eastAsia="FangSong" w:hAnsi="FangSong" w:cs="Times New Roman" w:hint="eastAsia"/>
                <w:bCs w:val="0"/>
                <w:color w:val="000000"/>
                <w:sz w:val="24"/>
                <w:szCs w:val="24"/>
              </w:rPr>
              <w:lastRenderedPageBreak/>
              <w:t>此，若相關金融機構違約，子基金或會蒙受虧損。；4）與回購協議有關的風險：若存放抵押品的對手方一旦違約，收回存放在外的抵押品或會受到延誤，或原先收取的現金可能會因抵押品不準確定價或市場變動而少於存放於對手方的抵押品，因而令子基金蒙受虧損。；5）與贖回限制相關的風險：投資者應注意，單位的贖回實施了若干限制。特別是，經理人有權將在任何交易日贖回的子基金單位數目限制為已發行子基金單位總數的10%。在極端市場狀況下，經理人亦保留將每名A類單位、B類單位及P類單位持有人在任何交易日的贖回總額限制為註釋備忘錄「贖回時有何限制？」一節及下文「閣下或須支付的收費」一節所列金額的權利。因此，單位持有人可能無法在特定交易日贖回其所持的所有單位。；6）對沖／衍生工具風險：子基金可在守則准許的範圍內投資於衍生工具作對沖目的，而在不利情況下，其金融衍生工具的運用可能變得無效及／或致使子基金蒙受重大虧損。與運用金融衍生工具相關的風險包括波動風險、信貸風險、流動性風險、管理風險、估值風險、交易對手方風險及場外交易風險。金融衍生工具包含的槓桿元素／成分或會導致子基金產生大為高於其金融衍生工具投資金額之損失。投資於金融衍生工具可能導致子基金承受重大虧損的高風險。；7）與中國有關的風險：子基金或需因外匯相關風險以及中國法律、法規及政府政策的不確定性等而承受與中國有關的一般風險。中國市場涉及投資於更發達的經濟體或市場一般不會涉及的若干風險及特殊考慮因素，包括較大的政治、稅務、經濟、外匯、流動性、法律及監管風險。與於中國投資所實現的資本收益有關的中國現行稅務法律、規例及慣例存在風險及不明朗因素（可能具有追溯效力）。概不保證現行稅務法律及規例日後不會修改或修訂。；8）與 RQFII 制度有關的風險：子基金能否透過RQFII制度作出相關投資，須視乎中國的適用法律、規則及規例而定（包括對投資及匯出本金及利潤的限制），該等法律、規則和規例可能變更，且該等變更可能具有追溯效力。如RQFII 的核准被撤回／終止或因其他原因失效，令子基金被禁止買賣相關證券及匯返其資金，或如任何主要營運方或各方（包括RQFII託管人／經紀）破產／違約及／或喪失履行其責任（包括執行或結算任何交易或資金轉帳或證券過戶）的資格，子基金可能蒙受巨額損失。；9）與中國銀行間債券市場有關的風險：透過債券通投資於中國銀行間債券市場面臨監管風險及波動風險、流動性風險、結算及交易對手風險等多項風險以及通常適用於債務證券的其他風險因素。透過債券通投資於中國銀行間債券市場的相關規則及規例可能變更，而有關變動可能具追溯效力。倘若相關中國機關暫停中國銀行間債券市場的開戶或買賣，則子基金投資於中國銀行間債券市場的能力會受到不利影響。在此情況下，子基金實現其投資目標的能力可能會受到負面影響。；10）貨幣風險：子基金的相關投資可能以不同於子基金基準貨幣的貨幣計值。某單位類別的貨幣亦可能指定為不同於子基金基準貨幣的貨幣。子基金的資產淨值可能受到該等貨幣與基準貨幣之間的匯率波動及匯率管制的變動而受到不利影響。；11）人民幣貨幣風險及人民幣類別風險：人民幣現時不可自由兌換，並受外匯管制及限制的規管，且投資者可能因人民幣與其他貨幣之間的匯率變動而受到不利影響。貨幣兌換亦須受制於子基金將款項兌換為人民幣的能力（鑒於適用於人民幣的外匯管制及限制），而這可能影響子基金應付人民幣計值單位類別的單位持有人的贖回要求或作出分派的能力，以及在特殊情況下可能延遲支付贖回款項或股息。以非人民幣為基本貨幣的投資者如投資於人民幣類別須承受外匯風險，並不保證人民幣的價值對投資者的基本貨幣不會貶值。人民幣的任何貶值可能對投資者在人民幣計值單位類別的投資價值造成不利影響。儘管離岸人民幣（「CNH」）及境內人民幣（「CNY」）代表相同的貨幣，惟它們按不同的匯率買賣。CNH與CNY間出現任何差異，可能對投資者構成不</w:t>
            </w:r>
            <w:r>
              <w:rPr>
                <w:rFonts w:ascii="FangSong" w:eastAsia="FangSong" w:hAnsi="FangSong" w:cs="Times New Roman" w:hint="eastAsia"/>
                <w:bCs w:val="0"/>
                <w:color w:val="000000"/>
                <w:sz w:val="24"/>
                <w:szCs w:val="24"/>
              </w:rPr>
              <w:lastRenderedPageBreak/>
              <w:t>利影響。；12）對沖人民幣及港元類別的風險：就對沖人民幣及港元類別而言，視乎當時市況而定，投資者或須承擔高昂的相關對沖成本。概不保證對沖策略將完全及有效地消除貨幣風險。此外，對沖可能妨礙對沖人民幣及港元類別從基準貨幣對人民幣及港元升值造成的潛在增益中獲益。；13）從資本中／實際上從資本中分派的風險：經理人可酌情決定自資本或總收入支付分派，而將子基金所有或部分費用及開支計入子基金資本／自子基金資本支付，以致子基金用作支付分派之可分派收入增加，而因此子基金實際上可能從資本中支付分派。此可能減少子基金日後可供投資的資本，亦可能限制資本增長。以資本支付或實際上以資本支付股息相當於退還或提取投資者部分原有投資或任何歸屬於該原有投資的資本收益。任何從子基金資本中支付或實際上從子基金資本中支付的分派均可能導致資產淨值即時减少。</w:t>
            </w:r>
          </w:p>
        </w:tc>
      </w:tr>
    </w:tbl>
    <w:p w14:paraId="14036AFE" w14:textId="77777777" w:rsidR="008464FF" w:rsidRDefault="00BD2008">
      <w:pPr>
        <w:pStyle w:val="aff1"/>
        <w:numPr>
          <w:ilvl w:val="0"/>
          <w:numId w:val="1"/>
        </w:numPr>
        <w:shd w:val="clear" w:color="auto" w:fill="FFFFFF"/>
        <w:spacing w:before="0" w:after="0" w:line="240" w:lineRule="auto"/>
        <w:ind w:leftChars="0" w:left="270" w:rightChars="-71" w:right="-142" w:hanging="180"/>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lastRenderedPageBreak/>
        <w:t>投資經理介紹</w:t>
      </w:r>
    </w:p>
    <w:tbl>
      <w:tblPr>
        <w:tblStyle w:val="GridTable6Colorful1"/>
        <w:tblW w:w="10247" w:type="dxa"/>
        <w:tblLook w:val="04A0" w:firstRow="1" w:lastRow="0" w:firstColumn="1" w:lastColumn="0" w:noHBand="0" w:noVBand="1"/>
      </w:tblPr>
      <w:tblGrid>
        <w:gridCol w:w="10247"/>
      </w:tblGrid>
      <w:tr w:rsidR="008464FF" w14:paraId="58378004" w14:textId="77777777" w:rsidTr="008464FF">
        <w:trPr>
          <w:cnfStyle w:val="100000000000" w:firstRow="1" w:lastRow="0" w:firstColumn="0" w:lastColumn="0" w:oddVBand="0" w:evenVBand="0" w:oddHBand="0" w:evenHBand="0" w:firstRowFirstColumn="0" w:firstRowLastColumn="0" w:lastRowFirstColumn="0" w:lastRowLastColumn="0"/>
          <w:trHeight w:val="1647"/>
        </w:trPr>
        <w:tc>
          <w:tcPr>
            <w:cnfStyle w:val="001000000000" w:firstRow="0" w:lastRow="0" w:firstColumn="1" w:lastColumn="0" w:oddVBand="0" w:evenVBand="0" w:oddHBand="0" w:evenHBand="0" w:firstRowFirstColumn="0" w:firstRowLastColumn="0" w:lastRowFirstColumn="0" w:lastRowLastColumn="0"/>
            <w:tcW w:w="10247" w:type="dxa"/>
          </w:tcPr>
          <w:p w14:paraId="622C4A9E" w14:textId="77777777" w:rsidR="008464FF" w:rsidRDefault="00BD2008">
            <w:pPr>
              <w:pStyle w:val="aff1"/>
              <w:shd w:val="clear" w:color="auto" w:fill="FFFFFF"/>
              <w:spacing w:before="0" w:after="0" w:line="240" w:lineRule="auto"/>
              <w:ind w:leftChars="0" w:left="0" w:rightChars="-71" w:right="-142"/>
              <w:rPr>
                <w:rFonts w:ascii="FangSong" w:eastAsia="FangSong" w:hAnsi="FangSong" w:cs="Times New Roman"/>
                <w:bCs w:val="0"/>
                <w:color w:val="000000"/>
                <w:sz w:val="24"/>
                <w:szCs w:val="24"/>
                <w:lang w:eastAsia="zh-CN"/>
              </w:rPr>
            </w:pPr>
            <w:bookmarkStart w:id="0" w:name="_Hlk493755336"/>
            <w:r>
              <w:rPr>
                <w:rFonts w:ascii="FangSong" w:eastAsia="FangSong" w:hAnsi="FangSong" w:cs="Times New Roman" w:hint="eastAsia"/>
                <w:bCs w:val="0"/>
                <w:color w:val="000000"/>
                <w:sz w:val="24"/>
                <w:szCs w:val="24"/>
                <w:lang w:eastAsia="zh-CN"/>
              </w:rPr>
              <w:t>暫無介紹資料</w:t>
            </w:r>
          </w:p>
        </w:tc>
      </w:tr>
      <w:bookmarkEnd w:id="0"/>
    </w:tbl>
    <w:p w14:paraId="6436F384" w14:textId="77777777" w:rsidR="008464FF" w:rsidRDefault="008464FF">
      <w:pPr>
        <w:pStyle w:val="aff1"/>
        <w:shd w:val="clear" w:color="auto" w:fill="FFFFFF"/>
        <w:spacing w:before="0" w:after="0" w:line="240" w:lineRule="auto"/>
        <w:ind w:leftChars="0" w:left="270" w:rightChars="-71" w:right="-142"/>
        <w:rPr>
          <w:rFonts w:ascii="FangSong" w:eastAsia="FangSong" w:hAnsi="FangSong" w:cs="Times New Roman"/>
          <w:b/>
          <w:color w:val="000000"/>
          <w:sz w:val="24"/>
          <w:szCs w:val="24"/>
          <w:u w:val="single"/>
        </w:rPr>
      </w:pPr>
    </w:p>
    <w:p w14:paraId="2B28F588" w14:textId="77777777" w:rsidR="008464FF" w:rsidRDefault="00BD2008">
      <w:pPr>
        <w:pStyle w:val="aff1"/>
        <w:numPr>
          <w:ilvl w:val="0"/>
          <w:numId w:val="1"/>
        </w:numPr>
        <w:shd w:val="clear" w:color="auto" w:fill="FFFFFF"/>
        <w:spacing w:before="0" w:after="0" w:line="240" w:lineRule="auto"/>
        <w:ind w:leftChars="0" w:left="270" w:rightChars="-71" w:right="-142" w:hanging="180"/>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t>其他補充資料</w:t>
      </w:r>
    </w:p>
    <w:tbl>
      <w:tblPr>
        <w:tblStyle w:val="GridTable6Colorful1"/>
        <w:tblW w:w="10247" w:type="dxa"/>
        <w:tblLook w:val="04A0" w:firstRow="1" w:lastRow="0" w:firstColumn="1" w:lastColumn="0" w:noHBand="0" w:noVBand="1"/>
      </w:tblPr>
      <w:tblGrid>
        <w:gridCol w:w="10247"/>
      </w:tblGrid>
      <w:tr w:rsidR="008464FF" w14:paraId="4E0884AC" w14:textId="77777777" w:rsidTr="008464FF">
        <w:trPr>
          <w:cnfStyle w:val="100000000000" w:firstRow="1" w:lastRow="0" w:firstColumn="0" w:lastColumn="0" w:oddVBand="0" w:evenVBand="0" w:oddHBand="0" w:evenHBand="0" w:firstRowFirstColumn="0" w:firstRowLastColumn="0" w:lastRowFirstColumn="0" w:lastRowLastColumn="0"/>
          <w:trHeight w:val="1647"/>
        </w:trPr>
        <w:tc>
          <w:tcPr>
            <w:cnfStyle w:val="001000000000" w:firstRow="0" w:lastRow="0" w:firstColumn="1" w:lastColumn="0" w:oddVBand="0" w:evenVBand="0" w:oddHBand="0" w:evenHBand="0" w:firstRowFirstColumn="0" w:firstRowLastColumn="0" w:lastRowFirstColumn="0" w:lastRowLastColumn="0"/>
            <w:tcW w:w="10247" w:type="dxa"/>
          </w:tcPr>
          <w:p w14:paraId="5D602F6E" w14:textId="77777777" w:rsidR="008464FF" w:rsidRDefault="00BD2008">
            <w:pPr>
              <w:pStyle w:val="aff1"/>
              <w:shd w:val="clear" w:color="auto" w:fill="FFFFFF"/>
              <w:spacing w:before="0" w:after="0" w:line="240" w:lineRule="auto"/>
              <w:ind w:leftChars="0" w:left="0" w:rightChars="-71" w:right="-142"/>
              <w:rPr>
                <w:rFonts w:ascii="FangSong" w:eastAsia="FangSong" w:hAnsi="FangSong" w:cs="Times New Roman"/>
                <w:bCs w:val="0"/>
                <w:color w:val="000000"/>
                <w:sz w:val="24"/>
                <w:szCs w:val="24"/>
              </w:rPr>
            </w:pPr>
            <w:bookmarkStart w:id="1" w:name="_Hlk493755318"/>
            <w:r>
              <w:rPr>
                <w:rFonts w:ascii="FangSong" w:eastAsia="FangSong" w:hAnsi="FangSong" w:cs="Times New Roman" w:hint="eastAsia"/>
                <w:bCs w:val="0"/>
                <w:color w:val="000000"/>
                <w:sz w:val="24"/>
                <w:szCs w:val="24"/>
              </w:rPr>
              <w:t>5.1【基金種類】</w:t>
            </w:r>
            <w:r>
              <w:rPr>
                <w:rFonts w:ascii="FangSong" w:eastAsia="FangSong" w:hAnsi="FangSong" w:cs="Times New Roman" w:hint="eastAsia"/>
                <w:bCs w:val="0"/>
                <w:color w:val="000000"/>
                <w:sz w:val="24"/>
                <w:szCs w:val="24"/>
              </w:rPr>
              <w:br/>
              <w:t>根據文件標題《大成貨幣市場基金》及「本基金是什麽產品？」一節中「大成貨幣市場基金（「子基金」）為根據香港法律成立的傘子單位信託基金大成投資信託基金旗下的子基金。」的描述，此基金為貨幣市場型基金，得1分。</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5.2【投資區域分類】</w:t>
            </w:r>
            <w:r>
              <w:rPr>
                <w:rFonts w:ascii="FangSong" w:eastAsia="FangSong" w:hAnsi="FangSong" w:cs="Times New Roman" w:hint="eastAsia"/>
                <w:bCs w:val="0"/>
                <w:color w:val="000000"/>
                <w:sz w:val="24"/>
                <w:szCs w:val="24"/>
              </w:rPr>
              <w:br/>
              <w:t>根據「策略」一節，「除子基金不會將其資產淨值的 30%以上投資於新興市場外，債務證券或存款的發行國家並無特定區域分配。子基金可能投資的國家或地區包括香港、中國、日本、韓國、澳洲、加拿大、歐盟及美國。」投資範圍涵蓋全球多個已開發及新興市場，屬於環球市場，得1分。</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5.3【投資槓桿】</w:t>
            </w:r>
            <w:r>
              <w:rPr>
                <w:rFonts w:ascii="FangSong" w:eastAsia="FangSong" w:hAnsi="FangSong" w:cs="Times New Roman" w:hint="eastAsia"/>
                <w:bCs w:val="0"/>
                <w:color w:val="000000"/>
                <w:sz w:val="24"/>
                <w:szCs w:val="24"/>
              </w:rPr>
              <w:br/>
              <w:t>根據「運用衍生工具」一節，「子基金的衍生工具風險承擔淨額可達至子基金資產淨值的 50%。」根據規則，不高於50%得2分。</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5.4.1【投資標的限制】</w:t>
            </w:r>
            <w:r>
              <w:rPr>
                <w:rFonts w:ascii="FangSong" w:eastAsia="FangSong" w:hAnsi="FangSong" w:cs="Times New Roman" w:hint="eastAsia"/>
                <w:bCs w:val="0"/>
                <w:color w:val="000000"/>
                <w:sz w:val="24"/>
                <w:szCs w:val="24"/>
              </w:rPr>
              <w:br/>
              <w:t>根據「策略」一節，「子基金將僅投資於由惠譽、穆迪和標準普爾等獨立評級機構評定為投資等級或以上級別的債務證券。」此為僅限投資級，得1分。</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5.4.2【投資標的主要产业】</w:t>
            </w:r>
            <w:r>
              <w:rPr>
                <w:rFonts w:ascii="FangSong" w:eastAsia="FangSong" w:hAnsi="FangSong" w:cs="Times New Roman" w:hint="eastAsia"/>
                <w:bCs w:val="0"/>
                <w:color w:val="000000"/>
                <w:sz w:val="24"/>
                <w:szCs w:val="24"/>
              </w:rPr>
              <w:br/>
              <w:t>根據「策略」一節，基金主要投資於「短期存款及優質貨幣市場工具」，不涉及股票投資。此項</w:t>
            </w:r>
            <w:r>
              <w:rPr>
                <w:rFonts w:ascii="FangSong" w:eastAsia="FangSong" w:hAnsi="FangSong" w:cs="Times New Roman" w:hint="eastAsia"/>
                <w:bCs w:val="0"/>
                <w:color w:val="000000"/>
                <w:sz w:val="24"/>
                <w:szCs w:val="24"/>
              </w:rPr>
              <w:lastRenderedPageBreak/>
              <w:t>為不適用，得0分。</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5.5【產品單位淨值波動】</w:t>
            </w:r>
            <w:r>
              <w:rPr>
                <w:rFonts w:ascii="FangSong" w:eastAsia="FangSong" w:hAnsi="FangSong" w:cs="Times New Roman" w:hint="eastAsia"/>
                <w:bCs w:val="0"/>
                <w:color w:val="000000"/>
                <w:sz w:val="24"/>
                <w:szCs w:val="24"/>
              </w:rPr>
              <w:br/>
              <w:t>根據「本基金過往的業績表現如何？」圖表，近四年（2020-2023）的年度升跌幅度分別為1.8%、0.1%、1.6%、4.4%，波動均未高於5%，得1分。</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5.6【貨幣風險敞口】</w:t>
            </w:r>
            <w:r>
              <w:rPr>
                <w:rFonts w:ascii="FangSong" w:eastAsia="FangSong" w:hAnsi="FangSong" w:cs="Times New Roman" w:hint="eastAsia"/>
                <w:bCs w:val="0"/>
                <w:color w:val="000000"/>
                <w:sz w:val="24"/>
                <w:szCs w:val="24"/>
              </w:rPr>
              <w:br/>
              <w:t>根據「目標及投資策略」，基金投資標的以「人民幣、港元及美元計值」，基準貨幣為美元。由於包含人民幣敞口，根據評分標準，得3分。</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5.7【鎖定期】</w:t>
            </w:r>
            <w:r>
              <w:rPr>
                <w:rFonts w:ascii="FangSong" w:eastAsia="FangSong" w:hAnsi="FangSong" w:cs="Times New Roman" w:hint="eastAsia"/>
                <w:bCs w:val="0"/>
                <w:color w:val="000000"/>
                <w:sz w:val="24"/>
                <w:szCs w:val="24"/>
              </w:rPr>
              <w:br/>
              <w:t>根據「資料概覽」中的「交易頻密程度： 每日」，基金無固定鎖定期。雖然在極端市場條件下有贖回限制，但這不構成常規鎖定期。此項為無，得0分。</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5.8【基金經理經驗】</w:t>
            </w:r>
            <w:r>
              <w:rPr>
                <w:rFonts w:ascii="FangSong" w:eastAsia="FangSong" w:hAnsi="FangSong" w:cs="Times New Roman" w:hint="eastAsia"/>
                <w:bCs w:val="0"/>
                <w:color w:val="000000"/>
                <w:sz w:val="24"/>
                <w:szCs w:val="24"/>
              </w:rPr>
              <w:br/>
              <w:t>文件中僅披露基金經理公司為「大成國際資產管理有限公司」，未提供具體基金經理的管理年資。根據規則，若無公開資料，保守評分為5分。</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5.9【公司風險】</w:t>
            </w:r>
            <w:r>
              <w:rPr>
                <w:rFonts w:ascii="FangSong" w:eastAsia="FangSong" w:hAnsi="FangSong" w:cs="Times New Roman" w:hint="eastAsia"/>
                <w:bCs w:val="0"/>
                <w:color w:val="000000"/>
                <w:sz w:val="24"/>
                <w:szCs w:val="24"/>
              </w:rPr>
              <w:br/>
              <w:t>文件中未提及發行人「大成國際資產管理有限公司」有任何紀律處分或重大負面消息。根據規則，默認為0分。</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5.10【複雜產品】</w:t>
            </w:r>
            <w:r>
              <w:rPr>
                <w:rFonts w:ascii="FangSong" w:eastAsia="FangSong" w:hAnsi="FangSong" w:cs="Times New Roman" w:hint="eastAsia"/>
                <w:bCs w:val="0"/>
                <w:color w:val="000000"/>
                <w:sz w:val="24"/>
                <w:szCs w:val="24"/>
              </w:rPr>
              <w:br/>
              <w:t>該基金為在香港註冊並受證監會監管的公募基金，不屬於複雜產品，得0分。</w:t>
            </w:r>
          </w:p>
        </w:tc>
      </w:tr>
      <w:bookmarkEnd w:id="1"/>
    </w:tbl>
    <w:p w14:paraId="37D6A209" w14:textId="77777777" w:rsidR="008464FF" w:rsidRDefault="008464FF">
      <w:pPr>
        <w:pStyle w:val="aff1"/>
        <w:spacing w:before="0" w:after="0"/>
        <w:ind w:leftChars="0" w:left="360"/>
        <w:rPr>
          <w:rFonts w:ascii="FangSong" w:eastAsia="FangSong" w:hAnsi="FangSong" w:cs="Times New Roman"/>
          <w:b/>
          <w:color w:val="000000"/>
          <w:sz w:val="24"/>
          <w:szCs w:val="24"/>
        </w:rPr>
      </w:pPr>
    </w:p>
    <w:p w14:paraId="40130E28" w14:textId="77777777" w:rsidR="008464FF" w:rsidRDefault="00BD2008">
      <w:pPr>
        <w:pStyle w:val="aff1"/>
        <w:numPr>
          <w:ilvl w:val="0"/>
          <w:numId w:val="1"/>
        </w:numPr>
        <w:shd w:val="clear" w:color="auto" w:fill="FFFFFF"/>
        <w:spacing w:before="0" w:after="0" w:line="240" w:lineRule="auto"/>
        <w:ind w:leftChars="0" w:left="270" w:rightChars="-71" w:right="-142" w:hanging="180"/>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t>評估結果</w:t>
      </w:r>
    </w:p>
    <w:p w14:paraId="3612FB09" w14:textId="77777777" w:rsidR="008464FF" w:rsidRDefault="00BD2008">
      <w:pPr>
        <w:spacing w:before="0" w:after="0"/>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t>風險等級分類</w:t>
      </w:r>
    </w:p>
    <w:tbl>
      <w:tblPr>
        <w:tblStyle w:val="GridTable41"/>
        <w:tblW w:w="5000" w:type="pct"/>
        <w:tblLook w:val="04A0" w:firstRow="1" w:lastRow="0" w:firstColumn="1" w:lastColumn="0" w:noHBand="0" w:noVBand="1"/>
      </w:tblPr>
      <w:tblGrid>
        <w:gridCol w:w="2033"/>
        <w:gridCol w:w="2380"/>
        <w:gridCol w:w="508"/>
        <w:gridCol w:w="5535"/>
      </w:tblGrid>
      <w:tr w:rsidR="008464FF" w14:paraId="273F509E" w14:textId="77777777" w:rsidTr="008464FF">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972" w:type="pct"/>
          </w:tcPr>
          <w:p w14:paraId="11354E55" w14:textId="77777777" w:rsidR="008464FF" w:rsidRDefault="00BD2008">
            <w:pPr>
              <w:spacing w:after="0" w:line="360" w:lineRule="atLeast"/>
              <w:rPr>
                <w:rFonts w:ascii="FangSong" w:eastAsia="FangSong" w:hAnsi="FangSong" w:cs="Times New Roman"/>
                <w:b w:val="0"/>
                <w:bCs w:val="0"/>
                <w:sz w:val="24"/>
                <w:szCs w:val="24"/>
              </w:rPr>
            </w:pPr>
            <w:r>
              <w:rPr>
                <w:rFonts w:ascii="FangSong" w:eastAsia="FangSong" w:hAnsi="FangSong" w:cs="Times New Roman" w:hint="eastAsia"/>
                <w:color w:val="auto"/>
                <w:sz w:val="24"/>
                <w:szCs w:val="24"/>
              </w:rPr>
              <w:t>總分</w:t>
            </w:r>
          </w:p>
        </w:tc>
        <w:tc>
          <w:tcPr>
            <w:tcW w:w="1381" w:type="pct"/>
            <w:gridSpan w:val="2"/>
          </w:tcPr>
          <w:p w14:paraId="450ABFFC" w14:textId="77777777" w:rsidR="008464FF" w:rsidRDefault="00BD2008">
            <w:pPr>
              <w:spacing w:after="0" w:line="360" w:lineRule="atLeast"/>
              <w:jc w:val="center"/>
              <w:cnfStyle w:val="100000000000" w:firstRow="1" w:lastRow="0" w:firstColumn="0" w:lastColumn="0" w:oddVBand="0" w:evenVBand="0" w:oddHBand="0" w:evenHBand="0" w:firstRowFirstColumn="0" w:firstRowLastColumn="0" w:lastRowFirstColumn="0" w:lastRowLastColumn="0"/>
              <w:rPr>
                <w:rFonts w:ascii="FangSong" w:eastAsia="FangSong" w:hAnsi="FangSong" w:cs="Times New Roman"/>
                <w:b w:val="0"/>
                <w:bCs w:val="0"/>
                <w:sz w:val="24"/>
                <w:szCs w:val="24"/>
              </w:rPr>
            </w:pPr>
            <w:r>
              <w:rPr>
                <w:rFonts w:ascii="FangSong" w:eastAsia="FangSong" w:hAnsi="FangSong" w:cs="Times New Roman" w:hint="eastAsia"/>
                <w:color w:val="auto"/>
                <w:sz w:val="24"/>
                <w:szCs w:val="24"/>
              </w:rPr>
              <w:t>風險等級</w:t>
            </w:r>
            <w:hyperlink r:id="rId16" w:tgtFrame="_blank" w:history="1"/>
          </w:p>
        </w:tc>
        <w:tc>
          <w:tcPr>
            <w:tcW w:w="2647" w:type="pct"/>
          </w:tcPr>
          <w:p w14:paraId="48740DB9" w14:textId="77777777" w:rsidR="008464FF" w:rsidRDefault="00BD2008">
            <w:pPr>
              <w:spacing w:after="0" w:line="360" w:lineRule="atLeast"/>
              <w:jc w:val="center"/>
              <w:cnfStyle w:val="100000000000" w:firstRow="1" w:lastRow="0" w:firstColumn="0" w:lastColumn="0" w:oddVBand="0" w:evenVBand="0" w:oddHBand="0" w:evenHBand="0" w:firstRowFirstColumn="0" w:firstRowLastColumn="0" w:lastRowFirstColumn="0" w:lastRowLastColumn="0"/>
              <w:rPr>
                <w:rFonts w:ascii="FangSong" w:eastAsia="FangSong" w:hAnsi="FangSong" w:cs="Times New Roman"/>
                <w:b w:val="0"/>
                <w:bCs w:val="0"/>
                <w:sz w:val="24"/>
                <w:szCs w:val="24"/>
              </w:rPr>
            </w:pPr>
            <w:r>
              <w:rPr>
                <w:rFonts w:ascii="FangSong" w:eastAsia="FangSong" w:hAnsi="FangSong" w:cs="Times New Roman" w:hint="eastAsia"/>
                <w:sz w:val="24"/>
                <w:szCs w:val="24"/>
              </w:rPr>
              <w:t>備注</w:t>
            </w:r>
          </w:p>
        </w:tc>
      </w:tr>
      <w:tr w:rsidR="008464FF" w14:paraId="5E6D8A00" w14:textId="77777777" w:rsidTr="008464FF">
        <w:trPr>
          <w:trHeight w:val="634"/>
        </w:trPr>
        <w:tc>
          <w:tcPr>
            <w:cnfStyle w:val="001000000000" w:firstRow="0" w:lastRow="0" w:firstColumn="1" w:lastColumn="0" w:oddVBand="0" w:evenVBand="0" w:oddHBand="0" w:evenHBand="0" w:firstRowFirstColumn="0" w:firstRowLastColumn="0" w:lastRowFirstColumn="0" w:lastRowLastColumn="0"/>
            <w:tcW w:w="972" w:type="pct"/>
            <w:shd w:val="clear" w:color="auto" w:fill="CCCCCC" w:themeFill="text1" w:themeFillTint="33"/>
          </w:tcPr>
          <w:p w14:paraId="43049224" w14:textId="77777777" w:rsidR="008464FF" w:rsidRDefault="00BD2008">
            <w:pPr>
              <w:spacing w:after="0" w:line="330" w:lineRule="atLeast"/>
              <w:jc w:val="both"/>
              <w:rPr>
                <w:rFonts w:ascii="FangSong" w:eastAsia="FangSong" w:hAnsi="FangSong"/>
                <w:bCs w:val="0"/>
                <w:color w:val="000000"/>
                <w:sz w:val="24"/>
                <w:szCs w:val="24"/>
              </w:rPr>
            </w:pPr>
            <w:r>
              <w:rPr>
                <w:rFonts w:ascii="FangSong" w:eastAsia="FangSong" w:hAnsi="FangSong"/>
                <w:b w:val="0"/>
                <w:color w:val="000000"/>
                <w:sz w:val="24"/>
                <w:szCs w:val="24"/>
              </w:rPr>
              <w:t>8分或以下</w:t>
            </w:r>
          </w:p>
        </w:tc>
        <w:tc>
          <w:tcPr>
            <w:tcW w:w="1138" w:type="pct"/>
            <w:shd w:val="clear" w:color="auto" w:fill="CCCCCC" w:themeFill="text1" w:themeFillTint="33"/>
          </w:tcPr>
          <w:p w14:paraId="216759A1" w14:textId="77777777" w:rsidR="008464FF" w:rsidRDefault="00BD2008">
            <w:pPr>
              <w:pStyle w:val="aff1"/>
              <w:spacing w:after="0" w:line="330" w:lineRule="atLeast"/>
              <w:ind w:leftChars="0" w:left="0"/>
              <w:jc w:val="center"/>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低風險</w:t>
            </w:r>
          </w:p>
        </w:tc>
        <w:tc>
          <w:tcPr>
            <w:tcW w:w="2890" w:type="pct"/>
            <w:gridSpan w:val="2"/>
            <w:shd w:val="clear" w:color="auto" w:fill="CCCCCC" w:themeFill="text1" w:themeFillTint="33"/>
          </w:tcPr>
          <w:p w14:paraId="14E63435" w14:textId="77777777" w:rsidR="008464FF" w:rsidRDefault="00BD2008">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在投資過程中會有輕微機會損失大部分的資產（縱使不能保證）。在一段短時間內，預期會有輕微的價值波動。</w:t>
            </w:r>
          </w:p>
        </w:tc>
      </w:tr>
      <w:tr w:rsidR="008464FF" w14:paraId="375279A4" w14:textId="77777777" w:rsidTr="008464FF">
        <w:trPr>
          <w:trHeight w:val="404"/>
        </w:trPr>
        <w:tc>
          <w:tcPr>
            <w:cnfStyle w:val="001000000000" w:firstRow="0" w:lastRow="0" w:firstColumn="1" w:lastColumn="0" w:oddVBand="0" w:evenVBand="0" w:oddHBand="0" w:evenHBand="0" w:firstRowFirstColumn="0" w:firstRowLastColumn="0" w:lastRowFirstColumn="0" w:lastRowLastColumn="0"/>
            <w:tcW w:w="972" w:type="pct"/>
          </w:tcPr>
          <w:p w14:paraId="2B541D69" w14:textId="77777777" w:rsidR="008464FF" w:rsidRDefault="00BD2008">
            <w:pPr>
              <w:spacing w:after="0" w:line="330" w:lineRule="atLeast"/>
              <w:jc w:val="both"/>
              <w:rPr>
                <w:rFonts w:ascii="FangSong" w:eastAsia="FangSong" w:hAnsi="FangSong"/>
                <w:bCs w:val="0"/>
                <w:color w:val="000000"/>
                <w:sz w:val="24"/>
                <w:szCs w:val="24"/>
              </w:rPr>
            </w:pPr>
            <w:r>
              <w:rPr>
                <w:rFonts w:ascii="FangSong" w:eastAsia="FangSong" w:hAnsi="FangSong" w:cs="PMingLiU"/>
                <w:b w:val="0"/>
                <w:color w:val="000000"/>
                <w:sz w:val="24"/>
                <w:szCs w:val="24"/>
              </w:rPr>
              <w:t>9分 ~ 16分</w:t>
            </w:r>
          </w:p>
        </w:tc>
        <w:tc>
          <w:tcPr>
            <w:tcW w:w="1138" w:type="pct"/>
          </w:tcPr>
          <w:p w14:paraId="54F8FED7" w14:textId="77777777" w:rsidR="008464FF" w:rsidRDefault="00BD2008">
            <w:pPr>
              <w:spacing w:after="0" w:line="330" w:lineRule="atLeast"/>
              <w:jc w:val="center"/>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中低風險</w:t>
            </w:r>
          </w:p>
        </w:tc>
        <w:tc>
          <w:tcPr>
            <w:tcW w:w="2890" w:type="pct"/>
            <w:gridSpan w:val="2"/>
          </w:tcPr>
          <w:p w14:paraId="6F5552B2" w14:textId="77777777" w:rsidR="008464FF" w:rsidRDefault="00BD2008">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在投資過程中會有低機會損失大部分的資產（縱使不能保證）。在一段短時間內，預期會有適度低程度的價值波動。</w:t>
            </w:r>
          </w:p>
        </w:tc>
      </w:tr>
      <w:tr w:rsidR="008464FF" w14:paraId="087F8C57" w14:textId="77777777" w:rsidTr="008464FF">
        <w:trPr>
          <w:trHeight w:val="824"/>
        </w:trPr>
        <w:tc>
          <w:tcPr>
            <w:cnfStyle w:val="001000000000" w:firstRow="0" w:lastRow="0" w:firstColumn="1" w:lastColumn="0" w:oddVBand="0" w:evenVBand="0" w:oddHBand="0" w:evenHBand="0" w:firstRowFirstColumn="0" w:firstRowLastColumn="0" w:lastRowFirstColumn="0" w:lastRowLastColumn="0"/>
            <w:tcW w:w="972" w:type="pct"/>
            <w:shd w:val="clear" w:color="auto" w:fill="CCCCCC" w:themeFill="text1" w:themeFillTint="33"/>
          </w:tcPr>
          <w:p w14:paraId="72114F88" w14:textId="77777777" w:rsidR="008464FF" w:rsidRDefault="00BD2008">
            <w:pPr>
              <w:spacing w:after="0" w:line="330" w:lineRule="atLeast"/>
              <w:jc w:val="both"/>
              <w:rPr>
                <w:rFonts w:ascii="FangSong" w:eastAsia="FangSong" w:hAnsi="FangSong"/>
                <w:bCs w:val="0"/>
                <w:color w:val="000000"/>
                <w:sz w:val="24"/>
                <w:szCs w:val="24"/>
              </w:rPr>
            </w:pPr>
            <w:r>
              <w:rPr>
                <w:rFonts w:ascii="FangSong" w:eastAsia="FangSong" w:hAnsi="FangSong" w:cs="PMingLiU"/>
                <w:b w:val="0"/>
                <w:color w:val="000000"/>
                <w:sz w:val="24"/>
                <w:szCs w:val="24"/>
              </w:rPr>
              <w:t>17分 ~ 26分</w:t>
            </w:r>
          </w:p>
        </w:tc>
        <w:tc>
          <w:tcPr>
            <w:tcW w:w="1138" w:type="pct"/>
            <w:shd w:val="clear" w:color="auto" w:fill="CCCCCC" w:themeFill="text1" w:themeFillTint="33"/>
          </w:tcPr>
          <w:p w14:paraId="1D251523" w14:textId="77777777" w:rsidR="008464FF" w:rsidRDefault="00BD2008">
            <w:pPr>
              <w:pStyle w:val="aff1"/>
              <w:spacing w:after="0" w:line="330" w:lineRule="atLeast"/>
              <w:ind w:leftChars="0" w:left="0"/>
              <w:jc w:val="center"/>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中風險</w:t>
            </w:r>
          </w:p>
        </w:tc>
        <w:tc>
          <w:tcPr>
            <w:tcW w:w="2890" w:type="pct"/>
            <w:gridSpan w:val="2"/>
            <w:shd w:val="clear" w:color="auto" w:fill="CCCCCC" w:themeFill="text1" w:themeFillTint="33"/>
          </w:tcPr>
          <w:p w14:paraId="32A89597" w14:textId="77777777" w:rsidR="008464FF" w:rsidRDefault="00BD2008">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在投資過程中會有中度機會損失大部分的資產（縱使不能保證）。在一段短時間內，預期會有中度的價值波動。</w:t>
            </w:r>
          </w:p>
        </w:tc>
      </w:tr>
      <w:tr w:rsidR="008464FF" w14:paraId="189A9260" w14:textId="77777777" w:rsidTr="008464FF">
        <w:trPr>
          <w:trHeight w:val="434"/>
        </w:trPr>
        <w:tc>
          <w:tcPr>
            <w:cnfStyle w:val="001000000000" w:firstRow="0" w:lastRow="0" w:firstColumn="1" w:lastColumn="0" w:oddVBand="0" w:evenVBand="0" w:oddHBand="0" w:evenHBand="0" w:firstRowFirstColumn="0" w:firstRowLastColumn="0" w:lastRowFirstColumn="0" w:lastRowLastColumn="0"/>
            <w:tcW w:w="972" w:type="pct"/>
          </w:tcPr>
          <w:p w14:paraId="203787DA" w14:textId="77777777" w:rsidR="008464FF" w:rsidRDefault="00BD2008">
            <w:pPr>
              <w:spacing w:after="0" w:line="330" w:lineRule="atLeast"/>
              <w:jc w:val="both"/>
              <w:rPr>
                <w:rFonts w:ascii="FangSong" w:eastAsia="FangSong" w:hAnsi="FangSong"/>
                <w:b w:val="0"/>
                <w:bCs w:val="0"/>
                <w:color w:val="000000"/>
                <w:sz w:val="24"/>
                <w:szCs w:val="24"/>
              </w:rPr>
            </w:pPr>
            <w:r>
              <w:rPr>
                <w:rFonts w:ascii="FangSong" w:eastAsia="FangSong" w:hAnsi="FangSong" w:cs="PMingLiU"/>
                <w:b w:val="0"/>
                <w:color w:val="000000"/>
                <w:sz w:val="24"/>
                <w:szCs w:val="24"/>
              </w:rPr>
              <w:lastRenderedPageBreak/>
              <w:t>27分 ~ 38分</w:t>
            </w:r>
          </w:p>
        </w:tc>
        <w:tc>
          <w:tcPr>
            <w:tcW w:w="1138" w:type="pct"/>
          </w:tcPr>
          <w:p w14:paraId="0D636A0D" w14:textId="77777777" w:rsidR="008464FF" w:rsidRDefault="00BD2008">
            <w:pPr>
              <w:spacing w:after="0" w:line="330" w:lineRule="atLeast"/>
              <w:jc w:val="center"/>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中高風險</w:t>
            </w:r>
          </w:p>
        </w:tc>
        <w:tc>
          <w:tcPr>
            <w:tcW w:w="2890" w:type="pct"/>
            <w:gridSpan w:val="2"/>
          </w:tcPr>
          <w:p w14:paraId="39E81C83" w14:textId="77777777" w:rsidR="008464FF" w:rsidRDefault="00BD2008">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在投資過程中會有偏高度機會損失大部分的資產（縱使不能保證）。在一段短時間內，預期會有偏高度的價值波動。</w:t>
            </w:r>
          </w:p>
        </w:tc>
      </w:tr>
      <w:tr w:rsidR="008464FF" w14:paraId="1E27DAD1" w14:textId="77777777" w:rsidTr="008464FF">
        <w:trPr>
          <w:trHeight w:val="434"/>
        </w:trPr>
        <w:tc>
          <w:tcPr>
            <w:cnfStyle w:val="001000000000" w:firstRow="0" w:lastRow="0" w:firstColumn="1" w:lastColumn="0" w:oddVBand="0" w:evenVBand="0" w:oddHBand="0" w:evenHBand="0" w:firstRowFirstColumn="0" w:firstRowLastColumn="0" w:lastRowFirstColumn="0" w:lastRowLastColumn="0"/>
            <w:tcW w:w="972" w:type="pct"/>
            <w:shd w:val="clear" w:color="auto" w:fill="CCCCCC" w:themeFill="text1" w:themeFillTint="33"/>
          </w:tcPr>
          <w:p w14:paraId="7CEE3CF8" w14:textId="77777777" w:rsidR="008464FF" w:rsidRDefault="00BD2008">
            <w:pPr>
              <w:spacing w:after="0" w:line="330" w:lineRule="atLeast"/>
              <w:jc w:val="both"/>
              <w:rPr>
                <w:rFonts w:ascii="FangSong" w:eastAsia="FangSong" w:hAnsi="FangSong"/>
                <w:bCs w:val="0"/>
                <w:color w:val="000000"/>
                <w:sz w:val="24"/>
                <w:szCs w:val="24"/>
              </w:rPr>
            </w:pPr>
            <w:r>
              <w:rPr>
                <w:rFonts w:ascii="FangSong" w:eastAsia="FangSong" w:hAnsi="FangSong"/>
                <w:b w:val="0"/>
                <w:color w:val="000000"/>
                <w:sz w:val="24"/>
                <w:szCs w:val="24"/>
              </w:rPr>
              <w:t>39分或以上</w:t>
            </w:r>
          </w:p>
        </w:tc>
        <w:tc>
          <w:tcPr>
            <w:tcW w:w="1138" w:type="pct"/>
            <w:shd w:val="clear" w:color="auto" w:fill="CCCCCC" w:themeFill="text1" w:themeFillTint="33"/>
          </w:tcPr>
          <w:p w14:paraId="5AA5FCF7" w14:textId="77777777" w:rsidR="008464FF" w:rsidRDefault="00BD2008">
            <w:pPr>
              <w:spacing w:after="0" w:line="330" w:lineRule="atLeast"/>
              <w:jc w:val="center"/>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高風險</w:t>
            </w:r>
          </w:p>
        </w:tc>
        <w:tc>
          <w:tcPr>
            <w:tcW w:w="2890" w:type="pct"/>
            <w:gridSpan w:val="2"/>
            <w:shd w:val="clear" w:color="auto" w:fill="CCCCCC" w:themeFill="text1" w:themeFillTint="33"/>
          </w:tcPr>
          <w:p w14:paraId="2CE667C6" w14:textId="77777777" w:rsidR="008464FF" w:rsidRDefault="00BD2008">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在投資過程中會有高機會損失大部分的資產。在一段短時間內，預期會有高程度的價值波動。</w:t>
            </w:r>
          </w:p>
        </w:tc>
      </w:tr>
    </w:tbl>
    <w:p w14:paraId="7A024D21" w14:textId="77777777" w:rsidR="008464FF" w:rsidRDefault="008464FF">
      <w:pPr>
        <w:spacing w:before="0" w:after="0"/>
        <w:rPr>
          <w:rFonts w:ascii="FangSong" w:eastAsia="FangSong" w:hAnsi="FangSong" w:cs="Times New Roman"/>
          <w:b/>
          <w:color w:val="000000"/>
          <w:sz w:val="24"/>
          <w:szCs w:val="24"/>
        </w:rPr>
      </w:pPr>
    </w:p>
    <w:p w14:paraId="4555D696" w14:textId="77777777" w:rsidR="008464FF" w:rsidRDefault="00BD2008">
      <w:pPr>
        <w:spacing w:before="0" w:after="0" w:line="500" w:lineRule="exact"/>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風險評分 :</w:t>
      </w:r>
    </w:p>
    <w:tbl>
      <w:tblPr>
        <w:tblStyle w:val="af6"/>
        <w:tblW w:w="0" w:type="auto"/>
        <w:tblBorders>
          <w:top w:val="none" w:sz="0" w:space="0" w:color="auto"/>
          <w:left w:val="none" w:sz="0" w:space="0" w:color="auto"/>
          <w:right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2022"/>
        <w:gridCol w:w="4797"/>
      </w:tblGrid>
      <w:tr w:rsidR="008464FF" w14:paraId="6B01F3CB" w14:textId="77777777">
        <w:trPr>
          <w:trHeight w:val="511"/>
        </w:trPr>
        <w:tc>
          <w:tcPr>
            <w:tcW w:w="2022" w:type="dxa"/>
            <w:tcBorders>
              <w:top w:val="nil"/>
              <w:left w:val="nil"/>
              <w:bottom w:val="nil"/>
              <w:right w:val="nil"/>
            </w:tcBorders>
            <w:shd w:val="clear" w:color="auto" w:fill="FFFFFF" w:themeFill="background1"/>
            <w:tcMar>
              <w:top w:w="0" w:type="dxa"/>
              <w:left w:w="0" w:type="dxa"/>
              <w:bottom w:w="0" w:type="dxa"/>
              <w:right w:w="0" w:type="dxa"/>
            </w:tcMar>
            <w:vAlign w:val="bottom"/>
          </w:tcPr>
          <w:p w14:paraId="09160C0A" w14:textId="77777777" w:rsidR="008464FF" w:rsidRDefault="00BD2008">
            <w:pPr>
              <w:spacing w:before="0" w:after="0" w:line="500" w:lineRule="exact"/>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總分為：</w:t>
            </w:r>
          </w:p>
        </w:tc>
        <w:tc>
          <w:tcPr>
            <w:tcW w:w="4797" w:type="dxa"/>
            <w:tcBorders>
              <w:left w:val="nil"/>
              <w:tl2br w:val="nil"/>
              <w:tr2bl w:val="nil"/>
            </w:tcBorders>
            <w:shd w:val="clear" w:color="auto" w:fill="FFFFFF" w:themeFill="background1"/>
            <w:tcMar>
              <w:top w:w="0" w:type="dxa"/>
              <w:left w:w="0" w:type="dxa"/>
              <w:bottom w:w="0" w:type="dxa"/>
              <w:right w:w="0" w:type="dxa"/>
            </w:tcMar>
            <w:vAlign w:val="bottom"/>
          </w:tcPr>
          <w:p w14:paraId="2DD8A36A" w14:textId="77777777" w:rsidR="008464FF" w:rsidRDefault="00BD2008">
            <w:pPr>
              <w:spacing w:before="0" w:after="0" w:line="240" w:lineRule="atLeast"/>
              <w:jc w:val="center"/>
              <w:rPr>
                <w:rFonts w:ascii="FangSong" w:eastAsia="FangSong" w:hAnsi="FangSong" w:cs="Times New Roman"/>
                <w:b/>
                <w:color w:val="000000"/>
                <w:sz w:val="24"/>
                <w:szCs w:val="24"/>
                <w:lang w:eastAsia="zh-CN"/>
              </w:rPr>
            </w:pPr>
            <w:r>
              <w:rPr>
                <w:rFonts w:ascii="FangSong" w:eastAsia="FangSong" w:hAnsi="FangSong" w:cs="Times New Roman" w:hint="eastAsia"/>
                <w:b/>
                <w:color w:val="000000"/>
                <w:sz w:val="24"/>
                <w:szCs w:val="24"/>
                <w:lang w:eastAsia="zh-CN"/>
              </w:rPr>
              <w:t>14</w:t>
            </w:r>
          </w:p>
        </w:tc>
      </w:tr>
      <w:tr w:rsidR="008464FF" w14:paraId="4579658E" w14:textId="77777777">
        <w:trPr>
          <w:trHeight w:val="531"/>
        </w:trPr>
        <w:tc>
          <w:tcPr>
            <w:tcW w:w="2022" w:type="dxa"/>
            <w:tcBorders>
              <w:top w:val="nil"/>
              <w:bottom w:val="nil"/>
            </w:tcBorders>
            <w:shd w:val="clear" w:color="auto" w:fill="FFFFFF" w:themeFill="background1"/>
            <w:tcMar>
              <w:top w:w="0" w:type="dxa"/>
              <w:left w:w="0" w:type="dxa"/>
              <w:bottom w:w="0" w:type="dxa"/>
              <w:right w:w="0" w:type="dxa"/>
            </w:tcMar>
            <w:vAlign w:val="bottom"/>
          </w:tcPr>
          <w:p w14:paraId="44F2AE3A" w14:textId="77777777" w:rsidR="008464FF" w:rsidRDefault="00BD2008">
            <w:pPr>
              <w:spacing w:before="0" w:after="0" w:line="500" w:lineRule="exact"/>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風險評級為：</w:t>
            </w:r>
          </w:p>
        </w:tc>
        <w:tc>
          <w:tcPr>
            <w:tcW w:w="4797" w:type="dxa"/>
            <w:tcBorders>
              <w:tl2br w:val="nil"/>
              <w:tr2bl w:val="nil"/>
            </w:tcBorders>
            <w:shd w:val="clear" w:color="auto" w:fill="FFFFFF" w:themeFill="background1"/>
            <w:tcMar>
              <w:top w:w="0" w:type="dxa"/>
              <w:left w:w="0" w:type="dxa"/>
              <w:bottom w:w="0" w:type="dxa"/>
              <w:right w:w="0" w:type="dxa"/>
            </w:tcMar>
            <w:vAlign w:val="bottom"/>
          </w:tcPr>
          <w:p w14:paraId="2D12CE19" w14:textId="181DC361" w:rsidR="008464FF" w:rsidRDefault="00BD2008">
            <w:pPr>
              <w:spacing w:before="0" w:after="0" w:line="500" w:lineRule="exact"/>
              <w:jc w:val="center"/>
              <w:rPr>
                <w:rFonts w:ascii="FangSong" w:eastAsia="FangSong" w:hAnsi="FangSong" w:cs="Times New Roman"/>
                <w:b/>
                <w:color w:val="000000"/>
                <w:sz w:val="24"/>
                <w:szCs w:val="24"/>
              </w:rPr>
            </w:pPr>
            <w:r>
              <w:rPr>
                <w:rFonts w:ascii="FangSong" w:eastAsia="FangSong" w:hAnsi="FangSong" w:cs="Times New Roman" w:hint="eastAsia"/>
                <w:b/>
                <w:color w:val="000000"/>
                <w:sz w:val="24"/>
                <w:szCs w:val="24"/>
                <w:lang w:eastAsia="zh-CN"/>
              </w:rPr>
              <w:t>低</w:t>
            </w:r>
            <w:r w:rsidRPr="00BD2008">
              <w:rPr>
                <w:rFonts w:ascii="FangSong" w:eastAsia="PMingLiU" w:hAnsi="FangSong" w:cs="Times New Roman" w:hint="eastAsia"/>
                <w:b/>
                <w:color w:val="000000"/>
                <w:sz w:val="24"/>
                <w:szCs w:val="24"/>
              </w:rPr>
              <w:t>風險</w:t>
            </w:r>
            <w:r>
              <w:rPr>
                <w:rFonts w:ascii="FangSong" w:eastAsia="FangSong" w:hAnsi="FangSong" w:cs="Times New Roman"/>
                <w:b/>
                <w:color w:val="000000"/>
                <w:sz w:val="24"/>
                <w:szCs w:val="24"/>
                <w:lang w:eastAsia="zh-CN"/>
              </w:rPr>
              <w:t>*</w:t>
            </w:r>
          </w:p>
        </w:tc>
      </w:tr>
    </w:tbl>
    <w:p w14:paraId="42B40DA2" w14:textId="41AD5257" w:rsidR="00BD2008" w:rsidRDefault="00BD2008" w:rsidP="00BD2008">
      <w:pPr>
        <w:shd w:val="clear" w:color="auto" w:fill="FFFFFF"/>
        <w:spacing w:before="0" w:after="0" w:line="500" w:lineRule="exact"/>
        <w:rPr>
          <w:rFonts w:ascii="FangSong" w:eastAsia="FangSong" w:hAnsi="FangSong" w:cs="Calibri"/>
          <w:b/>
          <w:color w:val="000000"/>
          <w:sz w:val="24"/>
          <w:szCs w:val="24"/>
          <w:u w:val="single"/>
        </w:rPr>
      </w:pPr>
      <w:r w:rsidRPr="00A15EF5">
        <w:rPr>
          <w:rFonts w:ascii="FangSong" w:eastAsia="PMingLiU" w:hAnsi="FangSong" w:cs="Calibri"/>
          <w:b/>
          <w:color w:val="000000"/>
          <w:sz w:val="24"/>
          <w:szCs w:val="24"/>
          <w:u w:val="single"/>
        </w:rPr>
        <w:t>*</w:t>
      </w:r>
      <w:r w:rsidRPr="00A15EF5">
        <w:rPr>
          <w:rFonts w:ascii="FangSong" w:eastAsia="PMingLiU" w:hAnsi="FangSong" w:cs="Calibri" w:hint="eastAsia"/>
          <w:b/>
          <w:color w:val="000000"/>
          <w:sz w:val="24"/>
          <w:szCs w:val="24"/>
          <w:u w:val="single"/>
        </w:rPr>
        <w:t>考慮到該基金為香港證監會認可並受其監管的貨幣市場基金，其底層資產主要為淨值波動較小的短期銀行存款以及優質的貨幣市場工具如投資級別的債券、商業票據等，另外此類公募基金受到證監會嚴格監管且對於其投資組合的加權平均到期日、加權平均有效期等投資組合期限有嚴格的限制，故此類公募基金價值下行風險低，建議將此貨幣市場基金手動調整為“低風險”</w:t>
      </w:r>
    </w:p>
    <w:p w14:paraId="5D39D592" w14:textId="107BE755" w:rsidR="008464FF" w:rsidRDefault="008464FF">
      <w:pPr>
        <w:shd w:val="clear" w:color="auto" w:fill="FFFFFF"/>
        <w:spacing w:before="0" w:after="0" w:line="20" w:lineRule="exact"/>
        <w:rPr>
          <w:rFonts w:ascii="FangSong" w:eastAsia="FangSong" w:hAnsi="FangSong" w:cs="Times New Roman"/>
          <w:b/>
          <w:color w:val="000000"/>
          <w:sz w:val="24"/>
          <w:szCs w:val="24"/>
          <w:u w:val="single"/>
        </w:rPr>
      </w:pPr>
    </w:p>
    <w:sectPr w:rsidR="008464FF">
      <w:headerReference w:type="default" r:id="rId17"/>
      <w:footerReference w:type="default" r:id="rId18"/>
      <w:pgSz w:w="11906" w:h="16838"/>
      <w:pgMar w:top="1008" w:right="720" w:bottom="720" w:left="720" w:header="283"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4C580" w14:textId="77777777" w:rsidR="008464FF" w:rsidRDefault="00BD2008">
      <w:pPr>
        <w:spacing w:line="240" w:lineRule="auto"/>
      </w:pPr>
      <w:r>
        <w:separator/>
      </w:r>
    </w:p>
  </w:endnote>
  <w:endnote w:type="continuationSeparator" w:id="0">
    <w:p w14:paraId="7312D7E8" w14:textId="77777777" w:rsidR="008464FF" w:rsidRDefault="00BD20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FKai-SB">
    <w:altName w:val="SimSun"/>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Lucida Grande">
    <w:altName w:val="Courier New"/>
    <w:charset w:val="00"/>
    <w:family w:val="swiss"/>
    <w:pitch w:val="default"/>
    <w:sig w:usb0="E1000AEF" w:usb1="5000A1FF" w:usb2="00000000" w:usb3="00000000" w:csb0="200001BF" w:csb1="4F010000"/>
  </w:font>
  <w:font w:name="Helvetica">
    <w:panose1 w:val="020B0604020202020204"/>
    <w:charset w:val="00"/>
    <w:family w:val="swiss"/>
    <w:pitch w:val="variable"/>
    <w:sig w:usb0="E0002EFF" w:usb1="C000785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7B67D" w14:textId="77777777" w:rsidR="008464FF" w:rsidRDefault="00BD2008">
    <w:pPr>
      <w:pStyle w:val="ac"/>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lang w:val="zh-TW"/>
      </w:rPr>
      <w:t xml:space="preserve"> </w:t>
    </w:r>
  </w:p>
  <w:p w14:paraId="06609CB3" w14:textId="77777777" w:rsidR="008464FF" w:rsidRDefault="008464FF">
    <w:pPr>
      <w:pStyle w:val="ac"/>
      <w:rPr>
        <w:sz w:val="16"/>
        <w:szCs w:val="16"/>
      </w:rPr>
    </w:pPr>
  </w:p>
  <w:p w14:paraId="436836D9" w14:textId="77777777" w:rsidR="008464FF" w:rsidRDefault="00BD2008">
    <w:pPr>
      <w:jc w:val="right"/>
    </w:pPr>
    <w:r>
      <w:t>Jan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64A55" w14:textId="77777777" w:rsidR="008464FF" w:rsidRDefault="00BD2008">
      <w:pPr>
        <w:spacing w:before="0" w:after="0"/>
      </w:pPr>
      <w:r>
        <w:separator/>
      </w:r>
    </w:p>
  </w:footnote>
  <w:footnote w:type="continuationSeparator" w:id="0">
    <w:p w14:paraId="7E095F07" w14:textId="77777777" w:rsidR="008464FF" w:rsidRDefault="00BD200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5CB8D" w14:textId="6E5E5A51" w:rsidR="00670090" w:rsidRDefault="00670090">
    <w:pPr>
      <w:pStyle w:val="ae"/>
    </w:pPr>
    <w:r>
      <w:rPr>
        <w:rFonts w:hint="eastAsia"/>
        <w:noProof/>
        <w:lang w:eastAsia="zh-CN"/>
      </w:rPr>
      <w:drawing>
        <wp:inline distT="0" distB="0" distL="114300" distR="114300" wp14:anchorId="34BBC033" wp14:editId="21C93839">
          <wp:extent cx="1830705" cy="563245"/>
          <wp:effectExtent l="0" t="0" r="0" b="20955"/>
          <wp:docPr id="6" name="图片 6" descr="defaul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efault-logo"/>
                  <pic:cNvPicPr>
                    <a:picLocks noChangeAspect="1"/>
                  </pic:cNvPicPr>
                </pic:nvPicPr>
                <pic:blipFill>
                  <a:blip r:embed="rId1"/>
                  <a:stretch>
                    <a:fillRect/>
                  </a:stretch>
                </pic:blipFill>
                <pic:spPr>
                  <a:xfrm>
                    <a:off x="0" y="0"/>
                    <a:ext cx="1830705" cy="5632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F3093"/>
    <w:multiLevelType w:val="multilevel"/>
    <w:tmpl w:val="0D0F3093"/>
    <w:lvl w:ilvl="0">
      <w:start w:val="1"/>
      <w:numFmt w:val="decimal"/>
      <w:lvlText w:val="(%1)"/>
      <w:lvlJc w:val="left"/>
      <w:pPr>
        <w:ind w:left="360" w:hanging="360"/>
      </w:pPr>
      <w:rPr>
        <w:rFonts w:ascii="Calibri" w:hAnsi="Calibri" w:hint="default"/>
        <w:b/>
      </w:rPr>
    </w:lvl>
    <w:lvl w:ilvl="1">
      <w:start w:val="1"/>
      <w:numFmt w:val="decimal"/>
      <w:lvlText w:val="%2."/>
      <w:lvlJc w:val="left"/>
      <w:pPr>
        <w:ind w:left="840" w:hanging="360"/>
      </w:pPr>
      <w:rPr>
        <w:rFonts w:ascii="Calibri" w:hAnsi="Calibri"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E1149D0"/>
    <w:multiLevelType w:val="multilevel"/>
    <w:tmpl w:val="0E1149D0"/>
    <w:lvl w:ilvl="0">
      <w:start w:val="1"/>
      <w:numFmt w:val="lowerRoman"/>
      <w:lvlText w:val="(%1)"/>
      <w:lvlJc w:val="left"/>
      <w:pPr>
        <w:ind w:left="720" w:hanging="720"/>
      </w:pPr>
      <w:rPr>
        <w:rFonts w:ascii="Calibri" w:hAnsi="Calibri"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5E412854"/>
    <w:multiLevelType w:val="multilevel"/>
    <w:tmpl w:val="5E412854"/>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27B59AB"/>
    <w:multiLevelType w:val="multilevel"/>
    <w:tmpl w:val="627B59AB"/>
    <w:lvl w:ilvl="0">
      <w:start w:val="6"/>
      <w:numFmt w:val="bullet"/>
      <w:lvlText w:val="-"/>
      <w:lvlJc w:val="left"/>
      <w:pPr>
        <w:ind w:left="360" w:hanging="360"/>
      </w:pPr>
      <w:rPr>
        <w:rFonts w:ascii="Calibri" w:eastAsia="DFKai-SB" w:hAnsi="Calibri" w:cs="Arial"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num w:numId="1" w16cid:durableId="94832939">
    <w:abstractNumId w:val="2"/>
  </w:num>
  <w:num w:numId="2" w16cid:durableId="833571064">
    <w:abstractNumId w:val="0"/>
  </w:num>
  <w:num w:numId="3" w16cid:durableId="1588690462">
    <w:abstractNumId w:val="3"/>
  </w:num>
  <w:num w:numId="4" w16cid:durableId="533233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compressPunctuation"/>
  <w:hdrShapeDefaults>
    <o:shapedefaults v:ext="edit" spidmax="614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VmODUwMDljY2ZkMzY3ODQ0YTVmMTE2MjZiYTg0NmEifQ=="/>
  </w:docVars>
  <w:rsids>
    <w:rsidRoot w:val="006A22DD"/>
    <w:rsid w:val="000001A2"/>
    <w:rsid w:val="00000937"/>
    <w:rsid w:val="00000F4D"/>
    <w:rsid w:val="000039C1"/>
    <w:rsid w:val="0001071C"/>
    <w:rsid w:val="00011B93"/>
    <w:rsid w:val="000126A4"/>
    <w:rsid w:val="000222EA"/>
    <w:rsid w:val="00022E9D"/>
    <w:rsid w:val="00022F2B"/>
    <w:rsid w:val="00023CE0"/>
    <w:rsid w:val="00027180"/>
    <w:rsid w:val="0003012A"/>
    <w:rsid w:val="00033A4A"/>
    <w:rsid w:val="000367B3"/>
    <w:rsid w:val="00036D12"/>
    <w:rsid w:val="00040A8C"/>
    <w:rsid w:val="0004133E"/>
    <w:rsid w:val="00046FE1"/>
    <w:rsid w:val="000506EF"/>
    <w:rsid w:val="000508EF"/>
    <w:rsid w:val="00053AE9"/>
    <w:rsid w:val="000566D1"/>
    <w:rsid w:val="00060225"/>
    <w:rsid w:val="00067090"/>
    <w:rsid w:val="00076495"/>
    <w:rsid w:val="00077C85"/>
    <w:rsid w:val="00077E8C"/>
    <w:rsid w:val="0008510D"/>
    <w:rsid w:val="000874A3"/>
    <w:rsid w:val="00087A20"/>
    <w:rsid w:val="00093078"/>
    <w:rsid w:val="00093383"/>
    <w:rsid w:val="0009527D"/>
    <w:rsid w:val="00097F15"/>
    <w:rsid w:val="000A1F29"/>
    <w:rsid w:val="000A4AD8"/>
    <w:rsid w:val="000A5D11"/>
    <w:rsid w:val="000A618A"/>
    <w:rsid w:val="000A7FF4"/>
    <w:rsid w:val="000B003A"/>
    <w:rsid w:val="000B2F9E"/>
    <w:rsid w:val="000B5EA5"/>
    <w:rsid w:val="000B67DC"/>
    <w:rsid w:val="000C2A9D"/>
    <w:rsid w:val="000C2E8A"/>
    <w:rsid w:val="000C7BDC"/>
    <w:rsid w:val="000D0AC6"/>
    <w:rsid w:val="000D1453"/>
    <w:rsid w:val="000D3AE3"/>
    <w:rsid w:val="000D4770"/>
    <w:rsid w:val="000D58D0"/>
    <w:rsid w:val="000E0D55"/>
    <w:rsid w:val="000E13B0"/>
    <w:rsid w:val="000E23E8"/>
    <w:rsid w:val="000E5CEA"/>
    <w:rsid w:val="000F088B"/>
    <w:rsid w:val="000F0C7B"/>
    <w:rsid w:val="000F48DC"/>
    <w:rsid w:val="000F564C"/>
    <w:rsid w:val="00101088"/>
    <w:rsid w:val="0010123E"/>
    <w:rsid w:val="00101811"/>
    <w:rsid w:val="001036BD"/>
    <w:rsid w:val="00106411"/>
    <w:rsid w:val="00106A3E"/>
    <w:rsid w:val="00110115"/>
    <w:rsid w:val="00113F17"/>
    <w:rsid w:val="0012235E"/>
    <w:rsid w:val="00122EC3"/>
    <w:rsid w:val="00124201"/>
    <w:rsid w:val="001245ED"/>
    <w:rsid w:val="00127A4D"/>
    <w:rsid w:val="001303AC"/>
    <w:rsid w:val="0013091E"/>
    <w:rsid w:val="00130D5E"/>
    <w:rsid w:val="00131B42"/>
    <w:rsid w:val="001329F4"/>
    <w:rsid w:val="001339DF"/>
    <w:rsid w:val="00134727"/>
    <w:rsid w:val="001348C1"/>
    <w:rsid w:val="00135C56"/>
    <w:rsid w:val="001367BC"/>
    <w:rsid w:val="00136826"/>
    <w:rsid w:val="00150921"/>
    <w:rsid w:val="001521FB"/>
    <w:rsid w:val="00153164"/>
    <w:rsid w:val="00154EEB"/>
    <w:rsid w:val="001575A8"/>
    <w:rsid w:val="00160A1B"/>
    <w:rsid w:val="00160F60"/>
    <w:rsid w:val="001677CD"/>
    <w:rsid w:val="00167A2D"/>
    <w:rsid w:val="00170667"/>
    <w:rsid w:val="0017087B"/>
    <w:rsid w:val="00172D88"/>
    <w:rsid w:val="0017458B"/>
    <w:rsid w:val="001829E7"/>
    <w:rsid w:val="00185AEA"/>
    <w:rsid w:val="00185DA5"/>
    <w:rsid w:val="00186870"/>
    <w:rsid w:val="00186DA9"/>
    <w:rsid w:val="0018776A"/>
    <w:rsid w:val="00187AFD"/>
    <w:rsid w:val="001912D9"/>
    <w:rsid w:val="00195B19"/>
    <w:rsid w:val="00195F7E"/>
    <w:rsid w:val="001A06B3"/>
    <w:rsid w:val="001A0ABE"/>
    <w:rsid w:val="001A0FEA"/>
    <w:rsid w:val="001A1C5C"/>
    <w:rsid w:val="001A36CC"/>
    <w:rsid w:val="001A38A8"/>
    <w:rsid w:val="001A60AB"/>
    <w:rsid w:val="001A6625"/>
    <w:rsid w:val="001A7200"/>
    <w:rsid w:val="001A78C8"/>
    <w:rsid w:val="001A7D8C"/>
    <w:rsid w:val="001B415E"/>
    <w:rsid w:val="001B4409"/>
    <w:rsid w:val="001B75BE"/>
    <w:rsid w:val="001C4FEA"/>
    <w:rsid w:val="001D2B97"/>
    <w:rsid w:val="001D3FBD"/>
    <w:rsid w:val="001D7102"/>
    <w:rsid w:val="001D78FD"/>
    <w:rsid w:val="001E00F4"/>
    <w:rsid w:val="001E0B21"/>
    <w:rsid w:val="001E39D3"/>
    <w:rsid w:val="001E4240"/>
    <w:rsid w:val="001F0AD1"/>
    <w:rsid w:val="001F13E7"/>
    <w:rsid w:val="001F19A1"/>
    <w:rsid w:val="001F53A2"/>
    <w:rsid w:val="001F6895"/>
    <w:rsid w:val="001F6E42"/>
    <w:rsid w:val="001F6F61"/>
    <w:rsid w:val="001F79EF"/>
    <w:rsid w:val="00200C19"/>
    <w:rsid w:val="00202698"/>
    <w:rsid w:val="0020284B"/>
    <w:rsid w:val="002061DC"/>
    <w:rsid w:val="00210107"/>
    <w:rsid w:val="00210F2A"/>
    <w:rsid w:val="00210F7A"/>
    <w:rsid w:val="00211DF9"/>
    <w:rsid w:val="0021272F"/>
    <w:rsid w:val="00214174"/>
    <w:rsid w:val="002147F4"/>
    <w:rsid w:val="00214D57"/>
    <w:rsid w:val="00217E88"/>
    <w:rsid w:val="00221C05"/>
    <w:rsid w:val="00222493"/>
    <w:rsid w:val="00226BA9"/>
    <w:rsid w:val="002300A0"/>
    <w:rsid w:val="00231470"/>
    <w:rsid w:val="00236514"/>
    <w:rsid w:val="00236865"/>
    <w:rsid w:val="00240FE9"/>
    <w:rsid w:val="00241AA3"/>
    <w:rsid w:val="00245342"/>
    <w:rsid w:val="00245E64"/>
    <w:rsid w:val="0025043E"/>
    <w:rsid w:val="002512A1"/>
    <w:rsid w:val="0025229B"/>
    <w:rsid w:val="00253F74"/>
    <w:rsid w:val="002544C0"/>
    <w:rsid w:val="00257038"/>
    <w:rsid w:val="00263604"/>
    <w:rsid w:val="002651AD"/>
    <w:rsid w:val="002666BC"/>
    <w:rsid w:val="002709C2"/>
    <w:rsid w:val="002726AE"/>
    <w:rsid w:val="00272BF4"/>
    <w:rsid w:val="0027496B"/>
    <w:rsid w:val="002841BA"/>
    <w:rsid w:val="00285DF9"/>
    <w:rsid w:val="002862F2"/>
    <w:rsid w:val="00291169"/>
    <w:rsid w:val="002946F3"/>
    <w:rsid w:val="0029534D"/>
    <w:rsid w:val="00295FD8"/>
    <w:rsid w:val="00296228"/>
    <w:rsid w:val="00297901"/>
    <w:rsid w:val="00297E30"/>
    <w:rsid w:val="002A163C"/>
    <w:rsid w:val="002A2941"/>
    <w:rsid w:val="002A4A96"/>
    <w:rsid w:val="002A527A"/>
    <w:rsid w:val="002A7A87"/>
    <w:rsid w:val="002B2E48"/>
    <w:rsid w:val="002B2F2E"/>
    <w:rsid w:val="002B304B"/>
    <w:rsid w:val="002B3367"/>
    <w:rsid w:val="002B543E"/>
    <w:rsid w:val="002B6FA4"/>
    <w:rsid w:val="002B7C2E"/>
    <w:rsid w:val="002C0002"/>
    <w:rsid w:val="002C1598"/>
    <w:rsid w:val="002C1C52"/>
    <w:rsid w:val="002C25E5"/>
    <w:rsid w:val="002C6028"/>
    <w:rsid w:val="002C677A"/>
    <w:rsid w:val="002C6B41"/>
    <w:rsid w:val="002D050A"/>
    <w:rsid w:val="002D142D"/>
    <w:rsid w:val="002D2E97"/>
    <w:rsid w:val="002D3397"/>
    <w:rsid w:val="002D396C"/>
    <w:rsid w:val="002D4C48"/>
    <w:rsid w:val="002E0143"/>
    <w:rsid w:val="002E04FB"/>
    <w:rsid w:val="002E0F0E"/>
    <w:rsid w:val="002E18EC"/>
    <w:rsid w:val="002E73D8"/>
    <w:rsid w:val="002F34E3"/>
    <w:rsid w:val="002F5022"/>
    <w:rsid w:val="002F5577"/>
    <w:rsid w:val="002F587A"/>
    <w:rsid w:val="00302969"/>
    <w:rsid w:val="00303ADF"/>
    <w:rsid w:val="003061F8"/>
    <w:rsid w:val="0030687E"/>
    <w:rsid w:val="003077D8"/>
    <w:rsid w:val="00307E54"/>
    <w:rsid w:val="00310048"/>
    <w:rsid w:val="00311A24"/>
    <w:rsid w:val="00316769"/>
    <w:rsid w:val="00316934"/>
    <w:rsid w:val="00320058"/>
    <w:rsid w:val="00321CB6"/>
    <w:rsid w:val="00322F66"/>
    <w:rsid w:val="00325448"/>
    <w:rsid w:val="00327A03"/>
    <w:rsid w:val="00330314"/>
    <w:rsid w:val="00330522"/>
    <w:rsid w:val="00330715"/>
    <w:rsid w:val="00330ED1"/>
    <w:rsid w:val="00334084"/>
    <w:rsid w:val="00336169"/>
    <w:rsid w:val="003372D3"/>
    <w:rsid w:val="0034046C"/>
    <w:rsid w:val="00341968"/>
    <w:rsid w:val="00343036"/>
    <w:rsid w:val="0034533C"/>
    <w:rsid w:val="00350749"/>
    <w:rsid w:val="00350F2C"/>
    <w:rsid w:val="00352E96"/>
    <w:rsid w:val="003538C1"/>
    <w:rsid w:val="003543CE"/>
    <w:rsid w:val="00354AC6"/>
    <w:rsid w:val="003560E3"/>
    <w:rsid w:val="00356230"/>
    <w:rsid w:val="003601F8"/>
    <w:rsid w:val="00360D41"/>
    <w:rsid w:val="003618EB"/>
    <w:rsid w:val="00362EC6"/>
    <w:rsid w:val="00367A41"/>
    <w:rsid w:val="0037340D"/>
    <w:rsid w:val="00374128"/>
    <w:rsid w:val="0037498D"/>
    <w:rsid w:val="00375108"/>
    <w:rsid w:val="003754F4"/>
    <w:rsid w:val="00376657"/>
    <w:rsid w:val="00381110"/>
    <w:rsid w:val="00381137"/>
    <w:rsid w:val="00381F93"/>
    <w:rsid w:val="00382AE4"/>
    <w:rsid w:val="00384A49"/>
    <w:rsid w:val="00384B99"/>
    <w:rsid w:val="00385265"/>
    <w:rsid w:val="003913F5"/>
    <w:rsid w:val="00392402"/>
    <w:rsid w:val="0039505F"/>
    <w:rsid w:val="00395148"/>
    <w:rsid w:val="003955E1"/>
    <w:rsid w:val="00397BC9"/>
    <w:rsid w:val="003A0D61"/>
    <w:rsid w:val="003A3034"/>
    <w:rsid w:val="003A5957"/>
    <w:rsid w:val="003B0911"/>
    <w:rsid w:val="003B0EA0"/>
    <w:rsid w:val="003B3525"/>
    <w:rsid w:val="003B55C9"/>
    <w:rsid w:val="003B6BBA"/>
    <w:rsid w:val="003B731B"/>
    <w:rsid w:val="003B75F1"/>
    <w:rsid w:val="003B7939"/>
    <w:rsid w:val="003C09D0"/>
    <w:rsid w:val="003C1999"/>
    <w:rsid w:val="003C448B"/>
    <w:rsid w:val="003C4D56"/>
    <w:rsid w:val="003C52B6"/>
    <w:rsid w:val="003D29D8"/>
    <w:rsid w:val="003D4AF0"/>
    <w:rsid w:val="003D66E8"/>
    <w:rsid w:val="003E1E7F"/>
    <w:rsid w:val="003E26CF"/>
    <w:rsid w:val="003E38EF"/>
    <w:rsid w:val="003E632E"/>
    <w:rsid w:val="003E68D7"/>
    <w:rsid w:val="003E6A43"/>
    <w:rsid w:val="003E747B"/>
    <w:rsid w:val="003E7E28"/>
    <w:rsid w:val="003F3496"/>
    <w:rsid w:val="003F3C05"/>
    <w:rsid w:val="003F3FF3"/>
    <w:rsid w:val="003F56CA"/>
    <w:rsid w:val="0040014B"/>
    <w:rsid w:val="004007C2"/>
    <w:rsid w:val="004008BA"/>
    <w:rsid w:val="00401B2B"/>
    <w:rsid w:val="00401E03"/>
    <w:rsid w:val="0040308C"/>
    <w:rsid w:val="00403808"/>
    <w:rsid w:val="0040635E"/>
    <w:rsid w:val="00412F2C"/>
    <w:rsid w:val="004137AB"/>
    <w:rsid w:val="00414AFF"/>
    <w:rsid w:val="00414DD5"/>
    <w:rsid w:val="004161BE"/>
    <w:rsid w:val="004202EC"/>
    <w:rsid w:val="004204EA"/>
    <w:rsid w:val="0042081D"/>
    <w:rsid w:val="0042309E"/>
    <w:rsid w:val="00424377"/>
    <w:rsid w:val="00427AEC"/>
    <w:rsid w:val="004375D8"/>
    <w:rsid w:val="00437B31"/>
    <w:rsid w:val="00441704"/>
    <w:rsid w:val="0044292C"/>
    <w:rsid w:val="004526C5"/>
    <w:rsid w:val="0045333E"/>
    <w:rsid w:val="00456D8A"/>
    <w:rsid w:val="004607AD"/>
    <w:rsid w:val="00461097"/>
    <w:rsid w:val="00464C0C"/>
    <w:rsid w:val="00466F19"/>
    <w:rsid w:val="00472330"/>
    <w:rsid w:val="004736CF"/>
    <w:rsid w:val="0047568E"/>
    <w:rsid w:val="00475D09"/>
    <w:rsid w:val="00475ECA"/>
    <w:rsid w:val="004760FF"/>
    <w:rsid w:val="00477073"/>
    <w:rsid w:val="0048040E"/>
    <w:rsid w:val="00486C6E"/>
    <w:rsid w:val="00491910"/>
    <w:rsid w:val="00493DBD"/>
    <w:rsid w:val="004A3AA8"/>
    <w:rsid w:val="004A4378"/>
    <w:rsid w:val="004A5586"/>
    <w:rsid w:val="004A617C"/>
    <w:rsid w:val="004A66CD"/>
    <w:rsid w:val="004A69E1"/>
    <w:rsid w:val="004A727D"/>
    <w:rsid w:val="004B24C8"/>
    <w:rsid w:val="004B2C24"/>
    <w:rsid w:val="004B3A96"/>
    <w:rsid w:val="004B595C"/>
    <w:rsid w:val="004C205A"/>
    <w:rsid w:val="004D2A31"/>
    <w:rsid w:val="004D56D3"/>
    <w:rsid w:val="004D74FE"/>
    <w:rsid w:val="004E20EF"/>
    <w:rsid w:val="004E2117"/>
    <w:rsid w:val="004E2DD9"/>
    <w:rsid w:val="004E3843"/>
    <w:rsid w:val="004E5048"/>
    <w:rsid w:val="004E706E"/>
    <w:rsid w:val="004E7FA5"/>
    <w:rsid w:val="004F30A3"/>
    <w:rsid w:val="004F4429"/>
    <w:rsid w:val="004F5466"/>
    <w:rsid w:val="00504100"/>
    <w:rsid w:val="00504315"/>
    <w:rsid w:val="0050783F"/>
    <w:rsid w:val="005103FE"/>
    <w:rsid w:val="0051524E"/>
    <w:rsid w:val="00516506"/>
    <w:rsid w:val="0052030D"/>
    <w:rsid w:val="005206CF"/>
    <w:rsid w:val="00526674"/>
    <w:rsid w:val="00526F25"/>
    <w:rsid w:val="005275C2"/>
    <w:rsid w:val="00527D64"/>
    <w:rsid w:val="0053038D"/>
    <w:rsid w:val="00530513"/>
    <w:rsid w:val="005308A5"/>
    <w:rsid w:val="00530DCD"/>
    <w:rsid w:val="00531080"/>
    <w:rsid w:val="00532E50"/>
    <w:rsid w:val="005343FC"/>
    <w:rsid w:val="00535438"/>
    <w:rsid w:val="0053563A"/>
    <w:rsid w:val="00536B39"/>
    <w:rsid w:val="00540595"/>
    <w:rsid w:val="00542AF6"/>
    <w:rsid w:val="005433B6"/>
    <w:rsid w:val="00544220"/>
    <w:rsid w:val="005444EB"/>
    <w:rsid w:val="00547883"/>
    <w:rsid w:val="00554221"/>
    <w:rsid w:val="00555390"/>
    <w:rsid w:val="00555AB5"/>
    <w:rsid w:val="00564A29"/>
    <w:rsid w:val="00564D1E"/>
    <w:rsid w:val="00564FEC"/>
    <w:rsid w:val="00565684"/>
    <w:rsid w:val="00566693"/>
    <w:rsid w:val="0057313F"/>
    <w:rsid w:val="0057468B"/>
    <w:rsid w:val="0057547A"/>
    <w:rsid w:val="0057604F"/>
    <w:rsid w:val="00582882"/>
    <w:rsid w:val="00584065"/>
    <w:rsid w:val="00585FD6"/>
    <w:rsid w:val="005871C0"/>
    <w:rsid w:val="00587928"/>
    <w:rsid w:val="005903FA"/>
    <w:rsid w:val="00591105"/>
    <w:rsid w:val="00592A26"/>
    <w:rsid w:val="00593DD3"/>
    <w:rsid w:val="005A3E9C"/>
    <w:rsid w:val="005A6952"/>
    <w:rsid w:val="005A6E6B"/>
    <w:rsid w:val="005B137A"/>
    <w:rsid w:val="005B2513"/>
    <w:rsid w:val="005B54D7"/>
    <w:rsid w:val="005B63D6"/>
    <w:rsid w:val="005B74C4"/>
    <w:rsid w:val="005B7DD7"/>
    <w:rsid w:val="005C088E"/>
    <w:rsid w:val="005C1C12"/>
    <w:rsid w:val="005C2249"/>
    <w:rsid w:val="005C353F"/>
    <w:rsid w:val="005C361F"/>
    <w:rsid w:val="005C44EA"/>
    <w:rsid w:val="005C4722"/>
    <w:rsid w:val="005C4F18"/>
    <w:rsid w:val="005C68F3"/>
    <w:rsid w:val="005C6E76"/>
    <w:rsid w:val="005D13BE"/>
    <w:rsid w:val="005D3AC2"/>
    <w:rsid w:val="005D5038"/>
    <w:rsid w:val="005D66B1"/>
    <w:rsid w:val="005E1066"/>
    <w:rsid w:val="005E2619"/>
    <w:rsid w:val="005E46FE"/>
    <w:rsid w:val="005E5C33"/>
    <w:rsid w:val="005F1B26"/>
    <w:rsid w:val="005F320D"/>
    <w:rsid w:val="005F32CC"/>
    <w:rsid w:val="005F6413"/>
    <w:rsid w:val="005F6CDB"/>
    <w:rsid w:val="00601086"/>
    <w:rsid w:val="0060159F"/>
    <w:rsid w:val="00602017"/>
    <w:rsid w:val="0060241E"/>
    <w:rsid w:val="00602D31"/>
    <w:rsid w:val="00604331"/>
    <w:rsid w:val="00606674"/>
    <w:rsid w:val="006079EE"/>
    <w:rsid w:val="006102C4"/>
    <w:rsid w:val="00610AFC"/>
    <w:rsid w:val="0061167B"/>
    <w:rsid w:val="00613298"/>
    <w:rsid w:val="00615BD1"/>
    <w:rsid w:val="006160AC"/>
    <w:rsid w:val="00616E83"/>
    <w:rsid w:val="006173C2"/>
    <w:rsid w:val="00617415"/>
    <w:rsid w:val="00620AE7"/>
    <w:rsid w:val="00620BD6"/>
    <w:rsid w:val="0062300F"/>
    <w:rsid w:val="0062582E"/>
    <w:rsid w:val="0062738E"/>
    <w:rsid w:val="006277C7"/>
    <w:rsid w:val="00627CE3"/>
    <w:rsid w:val="006303BC"/>
    <w:rsid w:val="006336BD"/>
    <w:rsid w:val="00634337"/>
    <w:rsid w:val="00634653"/>
    <w:rsid w:val="00635F01"/>
    <w:rsid w:val="0063619B"/>
    <w:rsid w:val="00636808"/>
    <w:rsid w:val="00643754"/>
    <w:rsid w:val="00644CB9"/>
    <w:rsid w:val="00646686"/>
    <w:rsid w:val="006466DC"/>
    <w:rsid w:val="00650939"/>
    <w:rsid w:val="00652913"/>
    <w:rsid w:val="006608C4"/>
    <w:rsid w:val="006612A9"/>
    <w:rsid w:val="00661AA8"/>
    <w:rsid w:val="00662A33"/>
    <w:rsid w:val="00664261"/>
    <w:rsid w:val="00667C16"/>
    <w:rsid w:val="00670090"/>
    <w:rsid w:val="00670C15"/>
    <w:rsid w:val="0067737E"/>
    <w:rsid w:val="00677A48"/>
    <w:rsid w:val="006800FA"/>
    <w:rsid w:val="00681AB2"/>
    <w:rsid w:val="00681E08"/>
    <w:rsid w:val="00684FE5"/>
    <w:rsid w:val="00686877"/>
    <w:rsid w:val="00686A26"/>
    <w:rsid w:val="00687127"/>
    <w:rsid w:val="00687733"/>
    <w:rsid w:val="00691EFA"/>
    <w:rsid w:val="00693BC7"/>
    <w:rsid w:val="00696B32"/>
    <w:rsid w:val="006A0862"/>
    <w:rsid w:val="006A1814"/>
    <w:rsid w:val="006A22DD"/>
    <w:rsid w:val="006A701B"/>
    <w:rsid w:val="006A7559"/>
    <w:rsid w:val="006A7F86"/>
    <w:rsid w:val="006A7F87"/>
    <w:rsid w:val="006B1DEC"/>
    <w:rsid w:val="006B311E"/>
    <w:rsid w:val="006B427B"/>
    <w:rsid w:val="006B43F3"/>
    <w:rsid w:val="006B485E"/>
    <w:rsid w:val="006B656B"/>
    <w:rsid w:val="006C7F01"/>
    <w:rsid w:val="006D2B36"/>
    <w:rsid w:val="006D6368"/>
    <w:rsid w:val="006D67FB"/>
    <w:rsid w:val="006E1CF5"/>
    <w:rsid w:val="006E285F"/>
    <w:rsid w:val="006E57A8"/>
    <w:rsid w:val="006E6165"/>
    <w:rsid w:val="006E68F4"/>
    <w:rsid w:val="006F14F8"/>
    <w:rsid w:val="006F285A"/>
    <w:rsid w:val="006F660F"/>
    <w:rsid w:val="006F7210"/>
    <w:rsid w:val="007012FA"/>
    <w:rsid w:val="00701BDA"/>
    <w:rsid w:val="00701ED7"/>
    <w:rsid w:val="00704C90"/>
    <w:rsid w:val="00706958"/>
    <w:rsid w:val="00713D85"/>
    <w:rsid w:val="00714276"/>
    <w:rsid w:val="00715E48"/>
    <w:rsid w:val="007177B2"/>
    <w:rsid w:val="00717A4C"/>
    <w:rsid w:val="00720371"/>
    <w:rsid w:val="00720B6E"/>
    <w:rsid w:val="007228AC"/>
    <w:rsid w:val="00722D0F"/>
    <w:rsid w:val="00722F1D"/>
    <w:rsid w:val="007240A1"/>
    <w:rsid w:val="00724E5B"/>
    <w:rsid w:val="00724E78"/>
    <w:rsid w:val="00725755"/>
    <w:rsid w:val="007261B9"/>
    <w:rsid w:val="007273EE"/>
    <w:rsid w:val="0073470D"/>
    <w:rsid w:val="00735B8D"/>
    <w:rsid w:val="00735CAA"/>
    <w:rsid w:val="00737484"/>
    <w:rsid w:val="00740D88"/>
    <w:rsid w:val="00743CC0"/>
    <w:rsid w:val="007447F3"/>
    <w:rsid w:val="00744EDE"/>
    <w:rsid w:val="00745BD4"/>
    <w:rsid w:val="00750431"/>
    <w:rsid w:val="00751AA3"/>
    <w:rsid w:val="00751FE0"/>
    <w:rsid w:val="00754E32"/>
    <w:rsid w:val="00761EDE"/>
    <w:rsid w:val="00765175"/>
    <w:rsid w:val="0076651B"/>
    <w:rsid w:val="00767173"/>
    <w:rsid w:val="00767840"/>
    <w:rsid w:val="00767D6C"/>
    <w:rsid w:val="0077592A"/>
    <w:rsid w:val="007778D5"/>
    <w:rsid w:val="00780543"/>
    <w:rsid w:val="0078102A"/>
    <w:rsid w:val="007832DB"/>
    <w:rsid w:val="00786B5D"/>
    <w:rsid w:val="00786C33"/>
    <w:rsid w:val="00786FB1"/>
    <w:rsid w:val="007907F6"/>
    <w:rsid w:val="00794633"/>
    <w:rsid w:val="0079566C"/>
    <w:rsid w:val="007A1AD0"/>
    <w:rsid w:val="007A1D9E"/>
    <w:rsid w:val="007A305A"/>
    <w:rsid w:val="007A3ABF"/>
    <w:rsid w:val="007A4F85"/>
    <w:rsid w:val="007A506B"/>
    <w:rsid w:val="007A5F24"/>
    <w:rsid w:val="007A6066"/>
    <w:rsid w:val="007A68AC"/>
    <w:rsid w:val="007B0ADD"/>
    <w:rsid w:val="007B0F6E"/>
    <w:rsid w:val="007B483F"/>
    <w:rsid w:val="007B5AA3"/>
    <w:rsid w:val="007B5C8C"/>
    <w:rsid w:val="007B62A2"/>
    <w:rsid w:val="007C0EF6"/>
    <w:rsid w:val="007C1C6B"/>
    <w:rsid w:val="007C3364"/>
    <w:rsid w:val="007C384B"/>
    <w:rsid w:val="007C69D7"/>
    <w:rsid w:val="007D1E69"/>
    <w:rsid w:val="007D2008"/>
    <w:rsid w:val="007D21D3"/>
    <w:rsid w:val="007D31C9"/>
    <w:rsid w:val="007D335D"/>
    <w:rsid w:val="007D6BBD"/>
    <w:rsid w:val="007E03F8"/>
    <w:rsid w:val="007E23ED"/>
    <w:rsid w:val="007E3B2C"/>
    <w:rsid w:val="007E5908"/>
    <w:rsid w:val="007E613F"/>
    <w:rsid w:val="007F0B1E"/>
    <w:rsid w:val="007F3287"/>
    <w:rsid w:val="007F3E3B"/>
    <w:rsid w:val="007F464B"/>
    <w:rsid w:val="007F5B3A"/>
    <w:rsid w:val="007F7A03"/>
    <w:rsid w:val="007F7ED1"/>
    <w:rsid w:val="00802176"/>
    <w:rsid w:val="00804280"/>
    <w:rsid w:val="008052D6"/>
    <w:rsid w:val="0080563B"/>
    <w:rsid w:val="008062E9"/>
    <w:rsid w:val="00807473"/>
    <w:rsid w:val="008116E8"/>
    <w:rsid w:val="008146B3"/>
    <w:rsid w:val="00814BF0"/>
    <w:rsid w:val="00816D80"/>
    <w:rsid w:val="0082224C"/>
    <w:rsid w:val="008233CD"/>
    <w:rsid w:val="00823472"/>
    <w:rsid w:val="00823785"/>
    <w:rsid w:val="00826CDE"/>
    <w:rsid w:val="00826E51"/>
    <w:rsid w:val="008304A6"/>
    <w:rsid w:val="00830EE8"/>
    <w:rsid w:val="00831725"/>
    <w:rsid w:val="00831904"/>
    <w:rsid w:val="00832A8A"/>
    <w:rsid w:val="00832C9D"/>
    <w:rsid w:val="00834E60"/>
    <w:rsid w:val="00845B30"/>
    <w:rsid w:val="008464FF"/>
    <w:rsid w:val="008504CF"/>
    <w:rsid w:val="00850897"/>
    <w:rsid w:val="00854D58"/>
    <w:rsid w:val="0085795D"/>
    <w:rsid w:val="00857A3F"/>
    <w:rsid w:val="00860C3D"/>
    <w:rsid w:val="00860E82"/>
    <w:rsid w:val="0086400D"/>
    <w:rsid w:val="008651C5"/>
    <w:rsid w:val="00866F6F"/>
    <w:rsid w:val="0087013F"/>
    <w:rsid w:val="00872F10"/>
    <w:rsid w:val="00873A30"/>
    <w:rsid w:val="00873BC5"/>
    <w:rsid w:val="0087426C"/>
    <w:rsid w:val="00876EFA"/>
    <w:rsid w:val="00881B8A"/>
    <w:rsid w:val="00890AAF"/>
    <w:rsid w:val="0089107C"/>
    <w:rsid w:val="0089241A"/>
    <w:rsid w:val="00892C46"/>
    <w:rsid w:val="00896D06"/>
    <w:rsid w:val="008A096A"/>
    <w:rsid w:val="008A0E7D"/>
    <w:rsid w:val="008A2CA7"/>
    <w:rsid w:val="008A3E83"/>
    <w:rsid w:val="008A6049"/>
    <w:rsid w:val="008A651D"/>
    <w:rsid w:val="008A7C02"/>
    <w:rsid w:val="008B3C4B"/>
    <w:rsid w:val="008B3F94"/>
    <w:rsid w:val="008B5F21"/>
    <w:rsid w:val="008B659D"/>
    <w:rsid w:val="008C435A"/>
    <w:rsid w:val="008C524D"/>
    <w:rsid w:val="008C6176"/>
    <w:rsid w:val="008C74AA"/>
    <w:rsid w:val="008D374D"/>
    <w:rsid w:val="008D516A"/>
    <w:rsid w:val="008D52D6"/>
    <w:rsid w:val="008D55F4"/>
    <w:rsid w:val="008D6498"/>
    <w:rsid w:val="008D6A83"/>
    <w:rsid w:val="008D749C"/>
    <w:rsid w:val="008E261A"/>
    <w:rsid w:val="008E3FC3"/>
    <w:rsid w:val="008E7BEA"/>
    <w:rsid w:val="008F2F3F"/>
    <w:rsid w:val="008F6C37"/>
    <w:rsid w:val="008F72A5"/>
    <w:rsid w:val="00900D48"/>
    <w:rsid w:val="009048DC"/>
    <w:rsid w:val="009107C8"/>
    <w:rsid w:val="00913451"/>
    <w:rsid w:val="009151E8"/>
    <w:rsid w:val="00915A3A"/>
    <w:rsid w:val="009170A1"/>
    <w:rsid w:val="00922AF9"/>
    <w:rsid w:val="009241BB"/>
    <w:rsid w:val="009249FF"/>
    <w:rsid w:val="00931A7D"/>
    <w:rsid w:val="00936871"/>
    <w:rsid w:val="0093781A"/>
    <w:rsid w:val="00937A0A"/>
    <w:rsid w:val="00944084"/>
    <w:rsid w:val="00944FCB"/>
    <w:rsid w:val="00945607"/>
    <w:rsid w:val="00945E71"/>
    <w:rsid w:val="0094622A"/>
    <w:rsid w:val="009473BD"/>
    <w:rsid w:val="00947B9A"/>
    <w:rsid w:val="0095044F"/>
    <w:rsid w:val="009505EF"/>
    <w:rsid w:val="0095219D"/>
    <w:rsid w:val="00952355"/>
    <w:rsid w:val="00952709"/>
    <w:rsid w:val="009552E9"/>
    <w:rsid w:val="00962727"/>
    <w:rsid w:val="009667AD"/>
    <w:rsid w:val="00976248"/>
    <w:rsid w:val="00976ABA"/>
    <w:rsid w:val="009772B8"/>
    <w:rsid w:val="00977729"/>
    <w:rsid w:val="00977C09"/>
    <w:rsid w:val="009854D7"/>
    <w:rsid w:val="009875E4"/>
    <w:rsid w:val="00991827"/>
    <w:rsid w:val="00993214"/>
    <w:rsid w:val="00994E42"/>
    <w:rsid w:val="0099594F"/>
    <w:rsid w:val="009959CE"/>
    <w:rsid w:val="00996500"/>
    <w:rsid w:val="009970F0"/>
    <w:rsid w:val="00997471"/>
    <w:rsid w:val="00997B50"/>
    <w:rsid w:val="00997C87"/>
    <w:rsid w:val="009A0540"/>
    <w:rsid w:val="009A0F62"/>
    <w:rsid w:val="009A3C5D"/>
    <w:rsid w:val="009A4B7B"/>
    <w:rsid w:val="009A6ED3"/>
    <w:rsid w:val="009B1BF5"/>
    <w:rsid w:val="009B3438"/>
    <w:rsid w:val="009B3AA2"/>
    <w:rsid w:val="009B5EC8"/>
    <w:rsid w:val="009C2272"/>
    <w:rsid w:val="009C3DA6"/>
    <w:rsid w:val="009C61EC"/>
    <w:rsid w:val="009D1926"/>
    <w:rsid w:val="009D4E67"/>
    <w:rsid w:val="009D72CB"/>
    <w:rsid w:val="009E50C8"/>
    <w:rsid w:val="009E7018"/>
    <w:rsid w:val="009E7AB5"/>
    <w:rsid w:val="009F2118"/>
    <w:rsid w:val="009F256A"/>
    <w:rsid w:val="009F2648"/>
    <w:rsid w:val="009F535E"/>
    <w:rsid w:val="009F54FD"/>
    <w:rsid w:val="009F595E"/>
    <w:rsid w:val="009F6DD4"/>
    <w:rsid w:val="009F7172"/>
    <w:rsid w:val="009F7B3B"/>
    <w:rsid w:val="00A00CAC"/>
    <w:rsid w:val="00A03747"/>
    <w:rsid w:val="00A04EDD"/>
    <w:rsid w:val="00A10772"/>
    <w:rsid w:val="00A15A2D"/>
    <w:rsid w:val="00A222F6"/>
    <w:rsid w:val="00A240B9"/>
    <w:rsid w:val="00A24719"/>
    <w:rsid w:val="00A26FC1"/>
    <w:rsid w:val="00A273D2"/>
    <w:rsid w:val="00A31614"/>
    <w:rsid w:val="00A325C5"/>
    <w:rsid w:val="00A34E79"/>
    <w:rsid w:val="00A37938"/>
    <w:rsid w:val="00A40042"/>
    <w:rsid w:val="00A41539"/>
    <w:rsid w:val="00A42A64"/>
    <w:rsid w:val="00A4380F"/>
    <w:rsid w:val="00A45B6C"/>
    <w:rsid w:val="00A4649F"/>
    <w:rsid w:val="00A51181"/>
    <w:rsid w:val="00A511BB"/>
    <w:rsid w:val="00A51CF8"/>
    <w:rsid w:val="00A55FEA"/>
    <w:rsid w:val="00A56F1C"/>
    <w:rsid w:val="00A62E8C"/>
    <w:rsid w:val="00A65378"/>
    <w:rsid w:val="00A65E93"/>
    <w:rsid w:val="00A736D9"/>
    <w:rsid w:val="00A75917"/>
    <w:rsid w:val="00A76181"/>
    <w:rsid w:val="00A77E7D"/>
    <w:rsid w:val="00A8118A"/>
    <w:rsid w:val="00A83E2F"/>
    <w:rsid w:val="00A904BB"/>
    <w:rsid w:val="00A9091B"/>
    <w:rsid w:val="00A91F7A"/>
    <w:rsid w:val="00A92AD2"/>
    <w:rsid w:val="00A94B48"/>
    <w:rsid w:val="00A95591"/>
    <w:rsid w:val="00A95EBB"/>
    <w:rsid w:val="00A97735"/>
    <w:rsid w:val="00AA019D"/>
    <w:rsid w:val="00AA1245"/>
    <w:rsid w:val="00AA37D3"/>
    <w:rsid w:val="00AA58EB"/>
    <w:rsid w:val="00AA66EC"/>
    <w:rsid w:val="00AA7640"/>
    <w:rsid w:val="00AA7919"/>
    <w:rsid w:val="00AB0242"/>
    <w:rsid w:val="00AB1D0D"/>
    <w:rsid w:val="00AB2E5F"/>
    <w:rsid w:val="00AB36C6"/>
    <w:rsid w:val="00AB37B5"/>
    <w:rsid w:val="00AB5C76"/>
    <w:rsid w:val="00AB7FC3"/>
    <w:rsid w:val="00AC04B5"/>
    <w:rsid w:val="00AC0BC4"/>
    <w:rsid w:val="00AC552A"/>
    <w:rsid w:val="00AC5B18"/>
    <w:rsid w:val="00AD1D2D"/>
    <w:rsid w:val="00AD3736"/>
    <w:rsid w:val="00AD4769"/>
    <w:rsid w:val="00AD6956"/>
    <w:rsid w:val="00AD7212"/>
    <w:rsid w:val="00AD744A"/>
    <w:rsid w:val="00AD74E3"/>
    <w:rsid w:val="00AE0041"/>
    <w:rsid w:val="00AE0265"/>
    <w:rsid w:val="00AE5730"/>
    <w:rsid w:val="00AE6878"/>
    <w:rsid w:val="00AE6EB4"/>
    <w:rsid w:val="00AE6EF0"/>
    <w:rsid w:val="00AF0E56"/>
    <w:rsid w:val="00AF60A9"/>
    <w:rsid w:val="00AF68EC"/>
    <w:rsid w:val="00AF73F1"/>
    <w:rsid w:val="00AF79CD"/>
    <w:rsid w:val="00B00BD1"/>
    <w:rsid w:val="00B03EF2"/>
    <w:rsid w:val="00B04553"/>
    <w:rsid w:val="00B131B4"/>
    <w:rsid w:val="00B17C21"/>
    <w:rsid w:val="00B20319"/>
    <w:rsid w:val="00B23502"/>
    <w:rsid w:val="00B2570D"/>
    <w:rsid w:val="00B25EA3"/>
    <w:rsid w:val="00B31BB5"/>
    <w:rsid w:val="00B3403C"/>
    <w:rsid w:val="00B35795"/>
    <w:rsid w:val="00B377D3"/>
    <w:rsid w:val="00B40B88"/>
    <w:rsid w:val="00B45CD4"/>
    <w:rsid w:val="00B477B2"/>
    <w:rsid w:val="00B50005"/>
    <w:rsid w:val="00B52399"/>
    <w:rsid w:val="00B53BC8"/>
    <w:rsid w:val="00B5619E"/>
    <w:rsid w:val="00B56FBD"/>
    <w:rsid w:val="00B57F5D"/>
    <w:rsid w:val="00B61AEC"/>
    <w:rsid w:val="00B61C1F"/>
    <w:rsid w:val="00B632D8"/>
    <w:rsid w:val="00B66E6C"/>
    <w:rsid w:val="00B674BF"/>
    <w:rsid w:val="00B70377"/>
    <w:rsid w:val="00B70FE8"/>
    <w:rsid w:val="00B712D0"/>
    <w:rsid w:val="00B714F5"/>
    <w:rsid w:val="00B71518"/>
    <w:rsid w:val="00B717B4"/>
    <w:rsid w:val="00B72773"/>
    <w:rsid w:val="00B73F78"/>
    <w:rsid w:val="00B74659"/>
    <w:rsid w:val="00B77344"/>
    <w:rsid w:val="00B818D7"/>
    <w:rsid w:val="00B828FF"/>
    <w:rsid w:val="00B83516"/>
    <w:rsid w:val="00B87A16"/>
    <w:rsid w:val="00B90FC1"/>
    <w:rsid w:val="00B92F43"/>
    <w:rsid w:val="00B95C7A"/>
    <w:rsid w:val="00B96AED"/>
    <w:rsid w:val="00B97B1E"/>
    <w:rsid w:val="00B97B7D"/>
    <w:rsid w:val="00BA0420"/>
    <w:rsid w:val="00BA0CC3"/>
    <w:rsid w:val="00BA0F26"/>
    <w:rsid w:val="00BA462B"/>
    <w:rsid w:val="00BA4D40"/>
    <w:rsid w:val="00BA65F8"/>
    <w:rsid w:val="00BA6BF3"/>
    <w:rsid w:val="00BA6E3F"/>
    <w:rsid w:val="00BA7327"/>
    <w:rsid w:val="00BA7B2F"/>
    <w:rsid w:val="00BB13A0"/>
    <w:rsid w:val="00BB1779"/>
    <w:rsid w:val="00BB2265"/>
    <w:rsid w:val="00BB43F6"/>
    <w:rsid w:val="00BB7E44"/>
    <w:rsid w:val="00BC0770"/>
    <w:rsid w:val="00BC3383"/>
    <w:rsid w:val="00BC4649"/>
    <w:rsid w:val="00BC6938"/>
    <w:rsid w:val="00BC6AB6"/>
    <w:rsid w:val="00BD0BD2"/>
    <w:rsid w:val="00BD2008"/>
    <w:rsid w:val="00BD42BF"/>
    <w:rsid w:val="00BD49DC"/>
    <w:rsid w:val="00BD4C12"/>
    <w:rsid w:val="00BD6D37"/>
    <w:rsid w:val="00BD7E7C"/>
    <w:rsid w:val="00BE327C"/>
    <w:rsid w:val="00BE415D"/>
    <w:rsid w:val="00BE4205"/>
    <w:rsid w:val="00BE6911"/>
    <w:rsid w:val="00BF0606"/>
    <w:rsid w:val="00BF4D87"/>
    <w:rsid w:val="00BF5F72"/>
    <w:rsid w:val="00BF7127"/>
    <w:rsid w:val="00BF73E4"/>
    <w:rsid w:val="00BF752D"/>
    <w:rsid w:val="00BF7B02"/>
    <w:rsid w:val="00C05127"/>
    <w:rsid w:val="00C12371"/>
    <w:rsid w:val="00C12BF3"/>
    <w:rsid w:val="00C145F2"/>
    <w:rsid w:val="00C14E01"/>
    <w:rsid w:val="00C1729B"/>
    <w:rsid w:val="00C174CB"/>
    <w:rsid w:val="00C23065"/>
    <w:rsid w:val="00C25842"/>
    <w:rsid w:val="00C25D0E"/>
    <w:rsid w:val="00C2628A"/>
    <w:rsid w:val="00C328CB"/>
    <w:rsid w:val="00C32933"/>
    <w:rsid w:val="00C33F29"/>
    <w:rsid w:val="00C356DB"/>
    <w:rsid w:val="00C3587D"/>
    <w:rsid w:val="00C372C9"/>
    <w:rsid w:val="00C41190"/>
    <w:rsid w:val="00C43A99"/>
    <w:rsid w:val="00C445C1"/>
    <w:rsid w:val="00C44F40"/>
    <w:rsid w:val="00C4605A"/>
    <w:rsid w:val="00C46B6B"/>
    <w:rsid w:val="00C46FA7"/>
    <w:rsid w:val="00C5333B"/>
    <w:rsid w:val="00C548ED"/>
    <w:rsid w:val="00C54DF7"/>
    <w:rsid w:val="00C60D33"/>
    <w:rsid w:val="00C6111F"/>
    <w:rsid w:val="00C615B8"/>
    <w:rsid w:val="00C674A7"/>
    <w:rsid w:val="00C701D9"/>
    <w:rsid w:val="00C70459"/>
    <w:rsid w:val="00C707E6"/>
    <w:rsid w:val="00C71090"/>
    <w:rsid w:val="00C716F2"/>
    <w:rsid w:val="00C72E93"/>
    <w:rsid w:val="00C73400"/>
    <w:rsid w:val="00C756AD"/>
    <w:rsid w:val="00C756BD"/>
    <w:rsid w:val="00C76D39"/>
    <w:rsid w:val="00C822C6"/>
    <w:rsid w:val="00C83442"/>
    <w:rsid w:val="00C83B2D"/>
    <w:rsid w:val="00C9038E"/>
    <w:rsid w:val="00C90B82"/>
    <w:rsid w:val="00C91604"/>
    <w:rsid w:val="00C918D0"/>
    <w:rsid w:val="00C9210F"/>
    <w:rsid w:val="00C92B39"/>
    <w:rsid w:val="00C92F00"/>
    <w:rsid w:val="00CA1CC9"/>
    <w:rsid w:val="00CA3FD2"/>
    <w:rsid w:val="00CA65DC"/>
    <w:rsid w:val="00CB1080"/>
    <w:rsid w:val="00CB113E"/>
    <w:rsid w:val="00CB149B"/>
    <w:rsid w:val="00CB1D1E"/>
    <w:rsid w:val="00CB3273"/>
    <w:rsid w:val="00CB42F1"/>
    <w:rsid w:val="00CC53E0"/>
    <w:rsid w:val="00CC614F"/>
    <w:rsid w:val="00CD2D51"/>
    <w:rsid w:val="00CD4FB1"/>
    <w:rsid w:val="00CD61D1"/>
    <w:rsid w:val="00CD7B24"/>
    <w:rsid w:val="00CE0B96"/>
    <w:rsid w:val="00CE3F28"/>
    <w:rsid w:val="00CE5A7E"/>
    <w:rsid w:val="00CE66EB"/>
    <w:rsid w:val="00CE7C12"/>
    <w:rsid w:val="00CF146E"/>
    <w:rsid w:val="00CF36E7"/>
    <w:rsid w:val="00CF3902"/>
    <w:rsid w:val="00CF53F2"/>
    <w:rsid w:val="00CF5C4E"/>
    <w:rsid w:val="00D00AD3"/>
    <w:rsid w:val="00D022BE"/>
    <w:rsid w:val="00D025F2"/>
    <w:rsid w:val="00D041A4"/>
    <w:rsid w:val="00D05AC0"/>
    <w:rsid w:val="00D07117"/>
    <w:rsid w:val="00D10617"/>
    <w:rsid w:val="00D109DC"/>
    <w:rsid w:val="00D112F7"/>
    <w:rsid w:val="00D14531"/>
    <w:rsid w:val="00D17669"/>
    <w:rsid w:val="00D2101A"/>
    <w:rsid w:val="00D23435"/>
    <w:rsid w:val="00D248FA"/>
    <w:rsid w:val="00D2514C"/>
    <w:rsid w:val="00D30BE3"/>
    <w:rsid w:val="00D3439B"/>
    <w:rsid w:val="00D349B8"/>
    <w:rsid w:val="00D41B8B"/>
    <w:rsid w:val="00D4321E"/>
    <w:rsid w:val="00D43967"/>
    <w:rsid w:val="00D450F6"/>
    <w:rsid w:val="00D46810"/>
    <w:rsid w:val="00D4764A"/>
    <w:rsid w:val="00D5099E"/>
    <w:rsid w:val="00D50DD1"/>
    <w:rsid w:val="00D55675"/>
    <w:rsid w:val="00D5612D"/>
    <w:rsid w:val="00D6385E"/>
    <w:rsid w:val="00D678AA"/>
    <w:rsid w:val="00D72151"/>
    <w:rsid w:val="00D7286B"/>
    <w:rsid w:val="00D7444F"/>
    <w:rsid w:val="00D75508"/>
    <w:rsid w:val="00D75EBB"/>
    <w:rsid w:val="00D80391"/>
    <w:rsid w:val="00D808E5"/>
    <w:rsid w:val="00D80C18"/>
    <w:rsid w:val="00D810A6"/>
    <w:rsid w:val="00D8201B"/>
    <w:rsid w:val="00D82030"/>
    <w:rsid w:val="00D82354"/>
    <w:rsid w:val="00D84BF0"/>
    <w:rsid w:val="00D85D28"/>
    <w:rsid w:val="00D902ED"/>
    <w:rsid w:val="00D9370F"/>
    <w:rsid w:val="00DA1853"/>
    <w:rsid w:val="00DA3B48"/>
    <w:rsid w:val="00DA4707"/>
    <w:rsid w:val="00DB099B"/>
    <w:rsid w:val="00DB170C"/>
    <w:rsid w:val="00DB72CA"/>
    <w:rsid w:val="00DB74B0"/>
    <w:rsid w:val="00DC103A"/>
    <w:rsid w:val="00DC1B74"/>
    <w:rsid w:val="00DC4AA9"/>
    <w:rsid w:val="00DC4E65"/>
    <w:rsid w:val="00DC718B"/>
    <w:rsid w:val="00DD0BDA"/>
    <w:rsid w:val="00DD0C90"/>
    <w:rsid w:val="00DD0F7D"/>
    <w:rsid w:val="00DD1F9C"/>
    <w:rsid w:val="00DD30BD"/>
    <w:rsid w:val="00DD5F39"/>
    <w:rsid w:val="00DD6653"/>
    <w:rsid w:val="00DD760D"/>
    <w:rsid w:val="00DD7CEE"/>
    <w:rsid w:val="00DE1DA4"/>
    <w:rsid w:val="00DE47CE"/>
    <w:rsid w:val="00DF1532"/>
    <w:rsid w:val="00DF244C"/>
    <w:rsid w:val="00DF2B00"/>
    <w:rsid w:val="00DF2DAE"/>
    <w:rsid w:val="00DF3FAE"/>
    <w:rsid w:val="00DF4170"/>
    <w:rsid w:val="00DF4DF6"/>
    <w:rsid w:val="00DF68C0"/>
    <w:rsid w:val="00E0503E"/>
    <w:rsid w:val="00E05EE2"/>
    <w:rsid w:val="00E073A6"/>
    <w:rsid w:val="00E11F54"/>
    <w:rsid w:val="00E14ADA"/>
    <w:rsid w:val="00E15796"/>
    <w:rsid w:val="00E202C5"/>
    <w:rsid w:val="00E2081F"/>
    <w:rsid w:val="00E24298"/>
    <w:rsid w:val="00E24560"/>
    <w:rsid w:val="00E25600"/>
    <w:rsid w:val="00E32DC9"/>
    <w:rsid w:val="00E36F62"/>
    <w:rsid w:val="00E42E80"/>
    <w:rsid w:val="00E44DC5"/>
    <w:rsid w:val="00E4574D"/>
    <w:rsid w:val="00E46D71"/>
    <w:rsid w:val="00E5160E"/>
    <w:rsid w:val="00E51873"/>
    <w:rsid w:val="00E53434"/>
    <w:rsid w:val="00E57A44"/>
    <w:rsid w:val="00E60E60"/>
    <w:rsid w:val="00E62FDF"/>
    <w:rsid w:val="00E643C8"/>
    <w:rsid w:val="00E66382"/>
    <w:rsid w:val="00E66448"/>
    <w:rsid w:val="00E66F59"/>
    <w:rsid w:val="00E700BC"/>
    <w:rsid w:val="00E72F09"/>
    <w:rsid w:val="00E75028"/>
    <w:rsid w:val="00E75FEE"/>
    <w:rsid w:val="00E81BCD"/>
    <w:rsid w:val="00E845FB"/>
    <w:rsid w:val="00E916C8"/>
    <w:rsid w:val="00E918EE"/>
    <w:rsid w:val="00E933C6"/>
    <w:rsid w:val="00E965EB"/>
    <w:rsid w:val="00EA06B0"/>
    <w:rsid w:val="00EA0AAE"/>
    <w:rsid w:val="00EA13E9"/>
    <w:rsid w:val="00EA1668"/>
    <w:rsid w:val="00EA26D2"/>
    <w:rsid w:val="00EA3047"/>
    <w:rsid w:val="00EA4056"/>
    <w:rsid w:val="00EA5113"/>
    <w:rsid w:val="00EA7818"/>
    <w:rsid w:val="00EA7978"/>
    <w:rsid w:val="00EB13E5"/>
    <w:rsid w:val="00EB3508"/>
    <w:rsid w:val="00EB470D"/>
    <w:rsid w:val="00EB6239"/>
    <w:rsid w:val="00EC1684"/>
    <w:rsid w:val="00EC1FB8"/>
    <w:rsid w:val="00EC27CE"/>
    <w:rsid w:val="00EC2AB7"/>
    <w:rsid w:val="00EC2C3B"/>
    <w:rsid w:val="00EC3405"/>
    <w:rsid w:val="00EC5BA8"/>
    <w:rsid w:val="00EC6EED"/>
    <w:rsid w:val="00EC6FF8"/>
    <w:rsid w:val="00ED0223"/>
    <w:rsid w:val="00ED1483"/>
    <w:rsid w:val="00ED74E9"/>
    <w:rsid w:val="00EE3818"/>
    <w:rsid w:val="00EE7886"/>
    <w:rsid w:val="00EF0B70"/>
    <w:rsid w:val="00EF1B07"/>
    <w:rsid w:val="00EF36EC"/>
    <w:rsid w:val="00EF5006"/>
    <w:rsid w:val="00EF6453"/>
    <w:rsid w:val="00EF6B3A"/>
    <w:rsid w:val="00EF7173"/>
    <w:rsid w:val="00F01B0B"/>
    <w:rsid w:val="00F07620"/>
    <w:rsid w:val="00F078BA"/>
    <w:rsid w:val="00F07D71"/>
    <w:rsid w:val="00F10276"/>
    <w:rsid w:val="00F1554C"/>
    <w:rsid w:val="00F21627"/>
    <w:rsid w:val="00F21F46"/>
    <w:rsid w:val="00F22A97"/>
    <w:rsid w:val="00F23DE0"/>
    <w:rsid w:val="00F26BFE"/>
    <w:rsid w:val="00F34A02"/>
    <w:rsid w:val="00F35F2A"/>
    <w:rsid w:val="00F370C9"/>
    <w:rsid w:val="00F410E7"/>
    <w:rsid w:val="00F41FD7"/>
    <w:rsid w:val="00F42AAA"/>
    <w:rsid w:val="00F45147"/>
    <w:rsid w:val="00F4545B"/>
    <w:rsid w:val="00F45AF7"/>
    <w:rsid w:val="00F50361"/>
    <w:rsid w:val="00F50F8F"/>
    <w:rsid w:val="00F512C2"/>
    <w:rsid w:val="00F51306"/>
    <w:rsid w:val="00F53DA5"/>
    <w:rsid w:val="00F54221"/>
    <w:rsid w:val="00F612DD"/>
    <w:rsid w:val="00F637F7"/>
    <w:rsid w:val="00F6613F"/>
    <w:rsid w:val="00F6711C"/>
    <w:rsid w:val="00F71B91"/>
    <w:rsid w:val="00F71E5A"/>
    <w:rsid w:val="00F7520B"/>
    <w:rsid w:val="00F82C86"/>
    <w:rsid w:val="00F84CD4"/>
    <w:rsid w:val="00F85024"/>
    <w:rsid w:val="00F869D4"/>
    <w:rsid w:val="00F87175"/>
    <w:rsid w:val="00F877A0"/>
    <w:rsid w:val="00F944E0"/>
    <w:rsid w:val="00F95ACD"/>
    <w:rsid w:val="00F9714C"/>
    <w:rsid w:val="00F975B5"/>
    <w:rsid w:val="00FA1FE7"/>
    <w:rsid w:val="00FA240D"/>
    <w:rsid w:val="00FA338F"/>
    <w:rsid w:val="00FA4B87"/>
    <w:rsid w:val="00FA5AAA"/>
    <w:rsid w:val="00FA5C8E"/>
    <w:rsid w:val="00FA5DE8"/>
    <w:rsid w:val="00FB38F2"/>
    <w:rsid w:val="00FB3AD0"/>
    <w:rsid w:val="00FB3AF8"/>
    <w:rsid w:val="00FB52BD"/>
    <w:rsid w:val="00FB564F"/>
    <w:rsid w:val="00FC00C3"/>
    <w:rsid w:val="00FC1FB3"/>
    <w:rsid w:val="00FC43D9"/>
    <w:rsid w:val="00FC587A"/>
    <w:rsid w:val="00FC6AA5"/>
    <w:rsid w:val="00FD3469"/>
    <w:rsid w:val="00FD4765"/>
    <w:rsid w:val="00FD7FB8"/>
    <w:rsid w:val="00FE03DE"/>
    <w:rsid w:val="00FE094F"/>
    <w:rsid w:val="00FE15EF"/>
    <w:rsid w:val="00FE2A80"/>
    <w:rsid w:val="00FE3418"/>
    <w:rsid w:val="00FE3D21"/>
    <w:rsid w:val="00FE4E4E"/>
    <w:rsid w:val="00FE4F29"/>
    <w:rsid w:val="00FE7A28"/>
    <w:rsid w:val="00FE7D24"/>
    <w:rsid w:val="00FF01B5"/>
    <w:rsid w:val="00FF5661"/>
    <w:rsid w:val="01B42948"/>
    <w:rsid w:val="01E4322D"/>
    <w:rsid w:val="029A1B3E"/>
    <w:rsid w:val="041F0982"/>
    <w:rsid w:val="06DA4F3A"/>
    <w:rsid w:val="06F56C04"/>
    <w:rsid w:val="074D2288"/>
    <w:rsid w:val="0758774A"/>
    <w:rsid w:val="07ED0962"/>
    <w:rsid w:val="0868040D"/>
    <w:rsid w:val="0A165F4E"/>
    <w:rsid w:val="0ACB31DC"/>
    <w:rsid w:val="0BC963DF"/>
    <w:rsid w:val="0E214EC1"/>
    <w:rsid w:val="0E9A4FA3"/>
    <w:rsid w:val="0EB126E9"/>
    <w:rsid w:val="10CB5118"/>
    <w:rsid w:val="11F37030"/>
    <w:rsid w:val="14E2600B"/>
    <w:rsid w:val="1504186D"/>
    <w:rsid w:val="15083D4B"/>
    <w:rsid w:val="16464112"/>
    <w:rsid w:val="16F14C2B"/>
    <w:rsid w:val="18402737"/>
    <w:rsid w:val="1BA335E9"/>
    <w:rsid w:val="1DE22563"/>
    <w:rsid w:val="1E1E141D"/>
    <w:rsid w:val="1E5866DD"/>
    <w:rsid w:val="1F046673"/>
    <w:rsid w:val="1F412B3E"/>
    <w:rsid w:val="20AA21D1"/>
    <w:rsid w:val="21EF55AB"/>
    <w:rsid w:val="240C31E5"/>
    <w:rsid w:val="246652F8"/>
    <w:rsid w:val="247A4883"/>
    <w:rsid w:val="24A3442A"/>
    <w:rsid w:val="254A0D4A"/>
    <w:rsid w:val="25A03144"/>
    <w:rsid w:val="25C56922"/>
    <w:rsid w:val="25C97EC1"/>
    <w:rsid w:val="26DE174A"/>
    <w:rsid w:val="26E22CCA"/>
    <w:rsid w:val="27677991"/>
    <w:rsid w:val="286F2FA1"/>
    <w:rsid w:val="29E654E5"/>
    <w:rsid w:val="2A364506"/>
    <w:rsid w:val="2C1047A7"/>
    <w:rsid w:val="2D197980"/>
    <w:rsid w:val="30AE7BC6"/>
    <w:rsid w:val="33FA04F6"/>
    <w:rsid w:val="362A0508"/>
    <w:rsid w:val="37EA299D"/>
    <w:rsid w:val="38145F52"/>
    <w:rsid w:val="39AB247D"/>
    <w:rsid w:val="3A4C2D90"/>
    <w:rsid w:val="3D2B3A1F"/>
    <w:rsid w:val="416A65A4"/>
    <w:rsid w:val="43BB6C43"/>
    <w:rsid w:val="4436276D"/>
    <w:rsid w:val="4441183E"/>
    <w:rsid w:val="45B8114E"/>
    <w:rsid w:val="45EC379D"/>
    <w:rsid w:val="467031B7"/>
    <w:rsid w:val="469F10C1"/>
    <w:rsid w:val="47750BF6"/>
    <w:rsid w:val="48E4595D"/>
    <w:rsid w:val="492C2801"/>
    <w:rsid w:val="495060B5"/>
    <w:rsid w:val="4B533C05"/>
    <w:rsid w:val="4BA2770C"/>
    <w:rsid w:val="4C417F01"/>
    <w:rsid w:val="4D297313"/>
    <w:rsid w:val="4DD947C2"/>
    <w:rsid w:val="4F6A776F"/>
    <w:rsid w:val="50321687"/>
    <w:rsid w:val="53332C9A"/>
    <w:rsid w:val="569752EE"/>
    <w:rsid w:val="570C644B"/>
    <w:rsid w:val="589046EA"/>
    <w:rsid w:val="5A7B6085"/>
    <w:rsid w:val="5B6A7475"/>
    <w:rsid w:val="5C855BE8"/>
    <w:rsid w:val="5E8347DF"/>
    <w:rsid w:val="5E9A1E1F"/>
    <w:rsid w:val="5F6D598C"/>
    <w:rsid w:val="61A46B11"/>
    <w:rsid w:val="61D5316E"/>
    <w:rsid w:val="620F042E"/>
    <w:rsid w:val="624831BC"/>
    <w:rsid w:val="628174C5"/>
    <w:rsid w:val="63626C83"/>
    <w:rsid w:val="642F6192"/>
    <w:rsid w:val="66A6332B"/>
    <w:rsid w:val="67453BE5"/>
    <w:rsid w:val="69D4743D"/>
    <w:rsid w:val="6B0A1F18"/>
    <w:rsid w:val="6C0F0C37"/>
    <w:rsid w:val="6C593CD1"/>
    <w:rsid w:val="6C766355"/>
    <w:rsid w:val="6CD04C5E"/>
    <w:rsid w:val="6CFEF521"/>
    <w:rsid w:val="6DB75505"/>
    <w:rsid w:val="70B36D70"/>
    <w:rsid w:val="711931E4"/>
    <w:rsid w:val="748663A5"/>
    <w:rsid w:val="76050C77"/>
    <w:rsid w:val="768259EA"/>
    <w:rsid w:val="7BDB4852"/>
    <w:rsid w:val="7BE51663"/>
    <w:rsid w:val="7C594C70"/>
    <w:rsid w:val="7C8A4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fillcolor="white">
      <v:fill color="white"/>
    </o:shapedefaults>
    <o:shapelayout v:ext="edit">
      <o:idmap v:ext="edit" data="1"/>
    </o:shapelayout>
  </w:shapeDefaults>
  <w:decimalSymbol w:val="."/>
  <w:listSeparator w:val=","/>
  <w14:docId w14:val="3DC83C6B"/>
  <w15:docId w15:val="{07A97035-48EA-464F-945F-595CBD10D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00" w:after="200" w:line="276" w:lineRule="auto"/>
    </w:pPr>
    <w:rPr>
      <w:rFonts w:asciiTheme="minorHAnsi" w:eastAsiaTheme="minorEastAsia" w:hAnsiTheme="minorHAnsi" w:cstheme="minorBidi"/>
      <w:lang w:val="en-US" w:eastAsia="zh-TW"/>
    </w:rPr>
  </w:style>
  <w:style w:type="paragraph" w:styleId="1">
    <w:name w:val="heading 1"/>
    <w:basedOn w:val="a"/>
    <w:next w:val="a"/>
    <w:link w:val="10"/>
    <w:uiPriority w:val="9"/>
    <w:qFormat/>
    <w:pPr>
      <w:pBdr>
        <w:top w:val="single" w:sz="24" w:space="0" w:color="F09415" w:themeColor="accent1"/>
        <w:left w:val="single" w:sz="24" w:space="0" w:color="F09415" w:themeColor="accent1"/>
        <w:bottom w:val="single" w:sz="24" w:space="0" w:color="F09415" w:themeColor="accent1"/>
        <w:right w:val="single" w:sz="24" w:space="0" w:color="F09415" w:themeColor="accent1"/>
      </w:pBdr>
      <w:shd w:val="clear" w:color="auto" w:fill="F09415" w:themeFill="accent1"/>
      <w:spacing w:after="0"/>
      <w:outlineLvl w:val="0"/>
    </w:pPr>
    <w:rPr>
      <w:caps/>
      <w:color w:val="FFFFFF" w:themeColor="background1"/>
      <w:spacing w:val="15"/>
      <w:sz w:val="22"/>
      <w:szCs w:val="22"/>
    </w:rPr>
  </w:style>
  <w:style w:type="paragraph" w:styleId="2">
    <w:name w:val="heading 2"/>
    <w:basedOn w:val="a"/>
    <w:next w:val="a"/>
    <w:link w:val="20"/>
    <w:uiPriority w:val="9"/>
    <w:unhideWhenUsed/>
    <w:qFormat/>
    <w:pPr>
      <w:pBdr>
        <w:top w:val="single" w:sz="24" w:space="0" w:color="FCE9D0" w:themeColor="accent1" w:themeTint="33"/>
        <w:left w:val="single" w:sz="24" w:space="0" w:color="FCE9D0" w:themeColor="accent1" w:themeTint="33"/>
        <w:bottom w:val="single" w:sz="24" w:space="0" w:color="FCE9D0" w:themeColor="accent1" w:themeTint="33"/>
        <w:right w:val="single" w:sz="24" w:space="0" w:color="FCE9D0" w:themeColor="accent1" w:themeTint="33"/>
      </w:pBdr>
      <w:shd w:val="clear" w:color="auto" w:fill="FCE9D0" w:themeFill="accent1" w:themeFillTint="33"/>
      <w:spacing w:after="0"/>
      <w:outlineLvl w:val="1"/>
    </w:pPr>
    <w:rPr>
      <w:caps/>
      <w:spacing w:val="15"/>
    </w:rPr>
  </w:style>
  <w:style w:type="paragraph" w:styleId="3">
    <w:name w:val="heading 3"/>
    <w:basedOn w:val="a"/>
    <w:next w:val="a"/>
    <w:link w:val="30"/>
    <w:uiPriority w:val="9"/>
    <w:unhideWhenUsed/>
    <w:qFormat/>
    <w:pPr>
      <w:pBdr>
        <w:top w:val="single" w:sz="6" w:space="2" w:color="F09415" w:themeColor="accent1"/>
      </w:pBdr>
      <w:spacing w:before="300" w:after="0"/>
      <w:outlineLvl w:val="2"/>
    </w:pPr>
    <w:rPr>
      <w:caps/>
      <w:color w:val="7B4A08" w:themeColor="accent1" w:themeShade="80"/>
      <w:spacing w:val="15"/>
    </w:rPr>
  </w:style>
  <w:style w:type="paragraph" w:styleId="4">
    <w:name w:val="heading 4"/>
    <w:basedOn w:val="a"/>
    <w:next w:val="a"/>
    <w:link w:val="40"/>
    <w:uiPriority w:val="9"/>
    <w:unhideWhenUsed/>
    <w:qFormat/>
    <w:pPr>
      <w:pBdr>
        <w:top w:val="dotted" w:sz="6" w:space="2" w:color="F09415" w:themeColor="accent1"/>
      </w:pBdr>
      <w:spacing w:before="200" w:after="0"/>
      <w:outlineLvl w:val="3"/>
    </w:pPr>
    <w:rPr>
      <w:caps/>
      <w:color w:val="B76E0B" w:themeColor="accent1" w:themeShade="BF"/>
      <w:spacing w:val="10"/>
    </w:rPr>
  </w:style>
  <w:style w:type="paragraph" w:styleId="5">
    <w:name w:val="heading 5"/>
    <w:basedOn w:val="a"/>
    <w:next w:val="a"/>
    <w:link w:val="50"/>
    <w:uiPriority w:val="9"/>
    <w:semiHidden/>
    <w:unhideWhenUsed/>
    <w:qFormat/>
    <w:pPr>
      <w:pBdr>
        <w:bottom w:val="single" w:sz="6" w:space="1" w:color="F09415" w:themeColor="accent1"/>
      </w:pBdr>
      <w:spacing w:before="200" w:after="0"/>
      <w:outlineLvl w:val="4"/>
    </w:pPr>
    <w:rPr>
      <w:caps/>
      <w:color w:val="B76E0B" w:themeColor="accent1" w:themeShade="BF"/>
      <w:spacing w:val="10"/>
    </w:rPr>
  </w:style>
  <w:style w:type="paragraph" w:styleId="6">
    <w:name w:val="heading 6"/>
    <w:basedOn w:val="a"/>
    <w:next w:val="a"/>
    <w:link w:val="60"/>
    <w:uiPriority w:val="9"/>
    <w:semiHidden/>
    <w:unhideWhenUsed/>
    <w:qFormat/>
    <w:pPr>
      <w:pBdr>
        <w:bottom w:val="dotted" w:sz="6" w:space="1" w:color="F09415" w:themeColor="accent1"/>
      </w:pBdr>
      <w:spacing w:before="200" w:after="0"/>
      <w:outlineLvl w:val="5"/>
    </w:pPr>
    <w:rPr>
      <w:caps/>
      <w:color w:val="B76E0B" w:themeColor="accent1" w:themeShade="BF"/>
      <w:spacing w:val="10"/>
    </w:rPr>
  </w:style>
  <w:style w:type="paragraph" w:styleId="7">
    <w:name w:val="heading 7"/>
    <w:basedOn w:val="a"/>
    <w:next w:val="a"/>
    <w:link w:val="70"/>
    <w:uiPriority w:val="9"/>
    <w:semiHidden/>
    <w:unhideWhenUsed/>
    <w:qFormat/>
    <w:pPr>
      <w:spacing w:before="200" w:after="0"/>
      <w:outlineLvl w:val="6"/>
    </w:pPr>
    <w:rPr>
      <w:caps/>
      <w:color w:val="B76E0B" w:themeColor="accent1" w:themeShade="BF"/>
      <w:spacing w:val="10"/>
    </w:rPr>
  </w:style>
  <w:style w:type="paragraph" w:styleId="8">
    <w:name w:val="heading 8"/>
    <w:basedOn w:val="a"/>
    <w:next w:val="a"/>
    <w:link w:val="80"/>
    <w:uiPriority w:val="9"/>
    <w:semiHidden/>
    <w:unhideWhenUsed/>
    <w:qFormat/>
    <w:pPr>
      <w:spacing w:before="200" w:after="0"/>
      <w:outlineLvl w:val="7"/>
    </w:pPr>
    <w:rPr>
      <w:caps/>
      <w:spacing w:val="10"/>
      <w:sz w:val="18"/>
      <w:szCs w:val="18"/>
    </w:rPr>
  </w:style>
  <w:style w:type="paragraph" w:styleId="9">
    <w:name w:val="heading 9"/>
    <w:basedOn w:val="a"/>
    <w:next w:val="a"/>
    <w:link w:val="90"/>
    <w:uiPriority w:val="9"/>
    <w:semiHidden/>
    <w:unhideWhenUsed/>
    <w:qFormat/>
    <w:pPr>
      <w:spacing w:before="200" w:after="0"/>
      <w:outlineLvl w:val="8"/>
    </w:pPr>
    <w:rPr>
      <w:i/>
      <w:iCs/>
      <w:caps/>
      <w:spacing w:val="10"/>
      <w:sz w:val="18"/>
      <w:szCs w:val="1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b/>
      <w:bCs/>
      <w:color w:val="B76E0B" w:themeColor="accent1" w:themeShade="BF"/>
      <w:sz w:val="16"/>
      <w:szCs w:val="16"/>
    </w:rPr>
  </w:style>
  <w:style w:type="paragraph" w:styleId="a4">
    <w:name w:val="annotation text"/>
    <w:basedOn w:val="a"/>
    <w:link w:val="a5"/>
    <w:unhideWhenUsed/>
    <w:qFormat/>
    <w:pPr>
      <w:spacing w:line="240" w:lineRule="auto"/>
    </w:pPr>
  </w:style>
  <w:style w:type="paragraph" w:styleId="a6">
    <w:name w:val="Salutation"/>
    <w:basedOn w:val="a"/>
    <w:next w:val="a"/>
    <w:link w:val="a7"/>
    <w:uiPriority w:val="99"/>
    <w:unhideWhenUsed/>
    <w:qFormat/>
    <w:rPr>
      <w:rFonts w:ascii="PMingLiU" w:eastAsia="PMingLiU" w:hAnsi="PMingLiU" w:cs="PMingLiU"/>
      <w:b/>
      <w:color w:val="484848"/>
      <w:sz w:val="18"/>
      <w:szCs w:val="18"/>
    </w:rPr>
  </w:style>
  <w:style w:type="paragraph" w:styleId="a8">
    <w:name w:val="Closing"/>
    <w:basedOn w:val="a"/>
    <w:link w:val="a9"/>
    <w:uiPriority w:val="99"/>
    <w:unhideWhenUsed/>
    <w:qFormat/>
    <w:pPr>
      <w:ind w:leftChars="1800" w:left="100"/>
    </w:pPr>
    <w:rPr>
      <w:rFonts w:ascii="PMingLiU" w:eastAsia="PMingLiU" w:hAnsi="PMingLiU" w:cs="PMingLiU"/>
      <w:b/>
      <w:color w:val="484848"/>
      <w:sz w:val="18"/>
      <w:szCs w:val="18"/>
    </w:rPr>
  </w:style>
  <w:style w:type="paragraph" w:styleId="aa">
    <w:name w:val="Balloon Text"/>
    <w:basedOn w:val="a"/>
    <w:link w:val="ab"/>
    <w:uiPriority w:val="99"/>
    <w:semiHidden/>
    <w:unhideWhenUsed/>
    <w:qFormat/>
    <w:pPr>
      <w:spacing w:before="0" w:after="0" w:line="240" w:lineRule="auto"/>
    </w:pPr>
    <w:rPr>
      <w:rFonts w:ascii="Lucida Grande" w:hAnsi="Lucida Grande" w:cs="Lucida Grande"/>
      <w:sz w:val="18"/>
      <w:szCs w:val="18"/>
    </w:rPr>
  </w:style>
  <w:style w:type="paragraph" w:styleId="ac">
    <w:name w:val="footer"/>
    <w:basedOn w:val="a"/>
    <w:link w:val="ad"/>
    <w:uiPriority w:val="99"/>
    <w:unhideWhenUsed/>
    <w:qFormat/>
    <w:pPr>
      <w:tabs>
        <w:tab w:val="center" w:pos="4153"/>
        <w:tab w:val="right" w:pos="8306"/>
      </w:tabs>
      <w:snapToGrid w:val="0"/>
    </w:pPr>
  </w:style>
  <w:style w:type="paragraph" w:styleId="ae">
    <w:name w:val="header"/>
    <w:basedOn w:val="a"/>
    <w:link w:val="af"/>
    <w:uiPriority w:val="99"/>
    <w:unhideWhenUsed/>
    <w:qFormat/>
    <w:pPr>
      <w:tabs>
        <w:tab w:val="center" w:pos="4153"/>
        <w:tab w:val="right" w:pos="8306"/>
      </w:tabs>
      <w:snapToGrid w:val="0"/>
    </w:pPr>
  </w:style>
  <w:style w:type="paragraph" w:styleId="af0">
    <w:name w:val="Subtitle"/>
    <w:basedOn w:val="a"/>
    <w:next w:val="a"/>
    <w:link w:val="af1"/>
    <w:uiPriority w:val="11"/>
    <w:qFormat/>
    <w:pPr>
      <w:spacing w:before="0" w:after="500" w:line="240" w:lineRule="auto"/>
    </w:pPr>
    <w:rPr>
      <w:caps/>
      <w:color w:val="595959" w:themeColor="text1" w:themeTint="A6"/>
      <w:spacing w:val="10"/>
      <w:sz w:val="21"/>
      <w:szCs w:val="21"/>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hint="eastAsia"/>
      <w:sz w:val="24"/>
      <w:szCs w:val="24"/>
      <w:lang w:eastAsia="zh-CN"/>
    </w:rPr>
  </w:style>
  <w:style w:type="paragraph" w:styleId="Web">
    <w:name w:val="Normal (Web)"/>
    <w:basedOn w:val="a"/>
    <w:uiPriority w:val="99"/>
    <w:unhideWhenUsed/>
    <w:qFormat/>
    <w:pPr>
      <w:spacing w:beforeAutospacing="1" w:after="100" w:afterAutospacing="1" w:line="240" w:lineRule="auto"/>
    </w:pPr>
    <w:rPr>
      <w:rFonts w:ascii="Times New Roman" w:eastAsia="Times New Roman" w:hAnsi="Times New Roman" w:cs="Times New Roman"/>
      <w:sz w:val="24"/>
      <w:szCs w:val="24"/>
    </w:rPr>
  </w:style>
  <w:style w:type="paragraph" w:styleId="af2">
    <w:name w:val="Title"/>
    <w:basedOn w:val="a"/>
    <w:next w:val="a"/>
    <w:link w:val="af3"/>
    <w:uiPriority w:val="10"/>
    <w:qFormat/>
    <w:pPr>
      <w:spacing w:before="0" w:after="0"/>
    </w:pPr>
    <w:rPr>
      <w:rFonts w:asciiTheme="majorHAnsi" w:eastAsiaTheme="majorEastAsia" w:hAnsiTheme="majorHAnsi" w:cstheme="majorBidi"/>
      <w:caps/>
      <w:color w:val="F09415" w:themeColor="accent1"/>
      <w:spacing w:val="10"/>
      <w:sz w:val="52"/>
      <w:szCs w:val="52"/>
    </w:rPr>
  </w:style>
  <w:style w:type="paragraph" w:styleId="af4">
    <w:name w:val="annotation subject"/>
    <w:basedOn w:val="a4"/>
    <w:next w:val="a4"/>
    <w:link w:val="af5"/>
    <w:uiPriority w:val="99"/>
    <w:semiHidden/>
    <w:unhideWhenUsed/>
    <w:qFormat/>
    <w:rPr>
      <w:b/>
      <w:bCs/>
    </w:rPr>
  </w:style>
  <w:style w:type="table" w:styleId="a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uiPriority w:val="22"/>
    <w:qFormat/>
    <w:rPr>
      <w:b/>
      <w:bCs/>
    </w:rPr>
  </w:style>
  <w:style w:type="character" w:styleId="af8">
    <w:name w:val="Emphasis"/>
    <w:uiPriority w:val="20"/>
    <w:qFormat/>
    <w:rPr>
      <w:caps/>
      <w:color w:val="7B4A08" w:themeColor="accent1" w:themeShade="80"/>
      <w:spacing w:val="5"/>
    </w:rPr>
  </w:style>
  <w:style w:type="character" w:styleId="af9">
    <w:name w:val="Hyperlink"/>
    <w:basedOn w:val="a0"/>
    <w:uiPriority w:val="99"/>
    <w:unhideWhenUsed/>
    <w:qFormat/>
    <w:rPr>
      <w:color w:val="0000FF"/>
      <w:u w:val="single"/>
    </w:rPr>
  </w:style>
  <w:style w:type="character" w:styleId="afa">
    <w:name w:val="annotation reference"/>
    <w:basedOn w:val="a0"/>
    <w:uiPriority w:val="99"/>
    <w:semiHidden/>
    <w:unhideWhenUsed/>
    <w:qFormat/>
    <w:rPr>
      <w:sz w:val="16"/>
      <w:szCs w:val="16"/>
    </w:rPr>
  </w:style>
  <w:style w:type="character" w:customStyle="1" w:styleId="10">
    <w:name w:val="標題 1 字元"/>
    <w:basedOn w:val="a0"/>
    <w:link w:val="1"/>
    <w:uiPriority w:val="9"/>
    <w:qFormat/>
    <w:rPr>
      <w:caps/>
      <w:color w:val="FFFFFF" w:themeColor="background1"/>
      <w:spacing w:val="15"/>
      <w:sz w:val="22"/>
      <w:szCs w:val="22"/>
      <w:shd w:val="clear" w:color="auto" w:fill="F09415" w:themeFill="accent1"/>
    </w:rPr>
  </w:style>
  <w:style w:type="character" w:customStyle="1" w:styleId="20">
    <w:name w:val="標題 2 字元"/>
    <w:basedOn w:val="a0"/>
    <w:link w:val="2"/>
    <w:uiPriority w:val="9"/>
    <w:qFormat/>
    <w:rPr>
      <w:caps/>
      <w:spacing w:val="15"/>
      <w:shd w:val="clear" w:color="auto" w:fill="FCE9D0" w:themeFill="accent1" w:themeFillTint="33"/>
    </w:rPr>
  </w:style>
  <w:style w:type="character" w:customStyle="1" w:styleId="30">
    <w:name w:val="標題 3 字元"/>
    <w:basedOn w:val="a0"/>
    <w:link w:val="3"/>
    <w:uiPriority w:val="9"/>
    <w:qFormat/>
    <w:rPr>
      <w:caps/>
      <w:color w:val="7B4A08" w:themeColor="accent1" w:themeShade="80"/>
      <w:spacing w:val="15"/>
    </w:rPr>
  </w:style>
  <w:style w:type="character" w:customStyle="1" w:styleId="40">
    <w:name w:val="標題 4 字元"/>
    <w:basedOn w:val="a0"/>
    <w:link w:val="4"/>
    <w:uiPriority w:val="9"/>
    <w:semiHidden/>
    <w:qFormat/>
    <w:rPr>
      <w:caps/>
      <w:color w:val="B76E0B" w:themeColor="accent1" w:themeShade="BF"/>
      <w:spacing w:val="10"/>
    </w:rPr>
  </w:style>
  <w:style w:type="character" w:customStyle="1" w:styleId="50">
    <w:name w:val="標題 5 字元"/>
    <w:basedOn w:val="a0"/>
    <w:link w:val="5"/>
    <w:uiPriority w:val="9"/>
    <w:semiHidden/>
    <w:qFormat/>
    <w:rPr>
      <w:caps/>
      <w:color w:val="B76E0B" w:themeColor="accent1" w:themeShade="BF"/>
      <w:spacing w:val="10"/>
    </w:rPr>
  </w:style>
  <w:style w:type="character" w:customStyle="1" w:styleId="60">
    <w:name w:val="標題 6 字元"/>
    <w:basedOn w:val="a0"/>
    <w:link w:val="6"/>
    <w:uiPriority w:val="9"/>
    <w:semiHidden/>
    <w:qFormat/>
    <w:rPr>
      <w:caps/>
      <w:color w:val="B76E0B" w:themeColor="accent1" w:themeShade="BF"/>
      <w:spacing w:val="10"/>
    </w:rPr>
  </w:style>
  <w:style w:type="character" w:customStyle="1" w:styleId="70">
    <w:name w:val="標題 7 字元"/>
    <w:basedOn w:val="a0"/>
    <w:link w:val="7"/>
    <w:uiPriority w:val="9"/>
    <w:semiHidden/>
    <w:qFormat/>
    <w:rPr>
      <w:caps/>
      <w:color w:val="B76E0B" w:themeColor="accent1" w:themeShade="BF"/>
      <w:spacing w:val="10"/>
    </w:rPr>
  </w:style>
  <w:style w:type="character" w:customStyle="1" w:styleId="80">
    <w:name w:val="標題 8 字元"/>
    <w:basedOn w:val="a0"/>
    <w:link w:val="8"/>
    <w:uiPriority w:val="9"/>
    <w:semiHidden/>
    <w:qFormat/>
    <w:rPr>
      <w:caps/>
      <w:spacing w:val="10"/>
      <w:sz w:val="18"/>
      <w:szCs w:val="18"/>
    </w:rPr>
  </w:style>
  <w:style w:type="character" w:customStyle="1" w:styleId="90">
    <w:name w:val="標題 9 字元"/>
    <w:basedOn w:val="a0"/>
    <w:link w:val="9"/>
    <w:uiPriority w:val="9"/>
    <w:semiHidden/>
    <w:qFormat/>
    <w:rPr>
      <w:i/>
      <w:iCs/>
      <w:caps/>
      <w:spacing w:val="10"/>
      <w:sz w:val="18"/>
      <w:szCs w:val="18"/>
    </w:rPr>
  </w:style>
  <w:style w:type="character" w:customStyle="1" w:styleId="af3">
    <w:name w:val="標題 字元"/>
    <w:basedOn w:val="a0"/>
    <w:link w:val="af2"/>
    <w:uiPriority w:val="10"/>
    <w:qFormat/>
    <w:rPr>
      <w:rFonts w:asciiTheme="majorHAnsi" w:eastAsiaTheme="majorEastAsia" w:hAnsiTheme="majorHAnsi" w:cstheme="majorBidi"/>
      <w:caps/>
      <w:color w:val="F09415" w:themeColor="accent1"/>
      <w:spacing w:val="10"/>
      <w:sz w:val="52"/>
      <w:szCs w:val="52"/>
    </w:rPr>
  </w:style>
  <w:style w:type="character" w:customStyle="1" w:styleId="af1">
    <w:name w:val="副標題 字元"/>
    <w:basedOn w:val="a0"/>
    <w:link w:val="af0"/>
    <w:uiPriority w:val="11"/>
    <w:qFormat/>
    <w:rPr>
      <w:caps/>
      <w:color w:val="595959" w:themeColor="text1" w:themeTint="A6"/>
      <w:spacing w:val="10"/>
      <w:sz w:val="21"/>
      <w:szCs w:val="21"/>
    </w:rPr>
  </w:style>
  <w:style w:type="paragraph" w:styleId="afb">
    <w:name w:val="No Spacing"/>
    <w:uiPriority w:val="1"/>
    <w:qFormat/>
    <w:pPr>
      <w:spacing w:before="100"/>
    </w:pPr>
    <w:rPr>
      <w:rFonts w:asciiTheme="minorHAnsi" w:eastAsiaTheme="minorEastAsia" w:hAnsiTheme="minorHAnsi" w:cstheme="minorBidi"/>
      <w:lang w:val="en-US" w:eastAsia="zh-TW"/>
    </w:rPr>
  </w:style>
  <w:style w:type="paragraph" w:styleId="afc">
    <w:name w:val="Quote"/>
    <w:basedOn w:val="a"/>
    <w:next w:val="a"/>
    <w:link w:val="afd"/>
    <w:uiPriority w:val="29"/>
    <w:qFormat/>
    <w:rPr>
      <w:i/>
      <w:iCs/>
      <w:sz w:val="24"/>
      <w:szCs w:val="24"/>
    </w:rPr>
  </w:style>
  <w:style w:type="character" w:customStyle="1" w:styleId="afd">
    <w:name w:val="引文 字元"/>
    <w:basedOn w:val="a0"/>
    <w:link w:val="afc"/>
    <w:uiPriority w:val="29"/>
    <w:qFormat/>
    <w:rPr>
      <w:i/>
      <w:iCs/>
      <w:sz w:val="24"/>
      <w:szCs w:val="24"/>
    </w:rPr>
  </w:style>
  <w:style w:type="paragraph" w:styleId="afe">
    <w:name w:val="Intense Quote"/>
    <w:basedOn w:val="a"/>
    <w:next w:val="a"/>
    <w:link w:val="aff"/>
    <w:uiPriority w:val="30"/>
    <w:qFormat/>
    <w:pPr>
      <w:spacing w:before="240" w:after="240" w:line="240" w:lineRule="auto"/>
      <w:ind w:left="1080" w:right="1080"/>
      <w:jc w:val="center"/>
    </w:pPr>
    <w:rPr>
      <w:color w:val="F09415" w:themeColor="accent1"/>
      <w:sz w:val="24"/>
      <w:szCs w:val="24"/>
    </w:rPr>
  </w:style>
  <w:style w:type="character" w:customStyle="1" w:styleId="aff">
    <w:name w:val="鮮明引文 字元"/>
    <w:basedOn w:val="a0"/>
    <w:link w:val="afe"/>
    <w:uiPriority w:val="30"/>
    <w:qFormat/>
    <w:rPr>
      <w:color w:val="F09415" w:themeColor="accent1"/>
      <w:sz w:val="24"/>
      <w:szCs w:val="24"/>
    </w:rPr>
  </w:style>
  <w:style w:type="character" w:customStyle="1" w:styleId="SubtleEmphasis1">
    <w:name w:val="Subtle Emphasis1"/>
    <w:uiPriority w:val="19"/>
    <w:qFormat/>
    <w:rPr>
      <w:i/>
      <w:iCs/>
      <w:color w:val="7B4A08" w:themeColor="accent1" w:themeShade="80"/>
    </w:rPr>
  </w:style>
  <w:style w:type="character" w:customStyle="1" w:styleId="IntenseEmphasis1">
    <w:name w:val="Intense Emphasis1"/>
    <w:uiPriority w:val="21"/>
    <w:qFormat/>
    <w:rPr>
      <w:b/>
      <w:bCs/>
      <w:caps/>
      <w:color w:val="7B4A08" w:themeColor="accent1" w:themeShade="80"/>
      <w:spacing w:val="10"/>
    </w:rPr>
  </w:style>
  <w:style w:type="character" w:customStyle="1" w:styleId="SubtleReference1">
    <w:name w:val="Subtle Reference1"/>
    <w:uiPriority w:val="31"/>
    <w:qFormat/>
    <w:rPr>
      <w:b/>
      <w:bCs/>
      <w:color w:val="F09415" w:themeColor="accent1"/>
    </w:rPr>
  </w:style>
  <w:style w:type="character" w:customStyle="1" w:styleId="IntenseReference1">
    <w:name w:val="Intense Reference1"/>
    <w:uiPriority w:val="32"/>
    <w:qFormat/>
    <w:rPr>
      <w:b/>
      <w:bCs/>
      <w:i/>
      <w:iCs/>
      <w:caps/>
      <w:color w:val="F09415" w:themeColor="accent1"/>
    </w:rPr>
  </w:style>
  <w:style w:type="character" w:customStyle="1" w:styleId="BookTitle1">
    <w:name w:val="Book Title1"/>
    <w:uiPriority w:val="33"/>
    <w:qFormat/>
    <w:rPr>
      <w:b/>
      <w:bCs/>
      <w:i/>
      <w:iCs/>
      <w:spacing w:val="0"/>
    </w:rPr>
  </w:style>
  <w:style w:type="paragraph" w:customStyle="1" w:styleId="TOCHeading1">
    <w:name w:val="TOC Heading1"/>
    <w:basedOn w:val="1"/>
    <w:next w:val="a"/>
    <w:uiPriority w:val="39"/>
    <w:semiHidden/>
    <w:unhideWhenUsed/>
    <w:qFormat/>
    <w:pPr>
      <w:outlineLvl w:val="9"/>
    </w:pPr>
  </w:style>
  <w:style w:type="character" w:customStyle="1" w:styleId="af">
    <w:name w:val="頁首 字元"/>
    <w:basedOn w:val="a0"/>
    <w:link w:val="ae"/>
    <w:uiPriority w:val="99"/>
    <w:qFormat/>
  </w:style>
  <w:style w:type="character" w:customStyle="1" w:styleId="ad">
    <w:name w:val="頁尾 字元"/>
    <w:basedOn w:val="a0"/>
    <w:link w:val="ac"/>
    <w:uiPriority w:val="99"/>
    <w:qFormat/>
  </w:style>
  <w:style w:type="table" w:customStyle="1" w:styleId="1-11">
    <w:name w:val="格線表格 1 淺色 - 輔色 11"/>
    <w:basedOn w:val="a1"/>
    <w:uiPriority w:val="46"/>
    <w:qFormat/>
    <w:tblPr>
      <w:tblBorders>
        <w:top w:val="single" w:sz="4" w:space="0" w:color="F9D3A1" w:themeColor="accent1" w:themeTint="66"/>
        <w:left w:val="single" w:sz="4" w:space="0" w:color="F9D3A1" w:themeColor="accent1" w:themeTint="66"/>
        <w:bottom w:val="single" w:sz="4" w:space="0" w:color="F9D3A1" w:themeColor="accent1" w:themeTint="66"/>
        <w:right w:val="single" w:sz="4" w:space="0" w:color="F9D3A1" w:themeColor="accent1" w:themeTint="66"/>
        <w:insideH w:val="single" w:sz="4" w:space="0" w:color="F9D3A1" w:themeColor="accent1" w:themeTint="66"/>
        <w:insideV w:val="single" w:sz="4" w:space="0" w:color="F9D3A1" w:themeColor="accent1" w:themeTint="66"/>
      </w:tblBorders>
    </w:tblPr>
    <w:tblStylePr w:type="firstRow">
      <w:rPr>
        <w:b/>
        <w:bCs/>
      </w:rPr>
      <w:tblPr/>
      <w:tcPr>
        <w:tcBorders>
          <w:bottom w:val="single" w:sz="12" w:space="0" w:color="F6BE72" w:themeColor="accent1" w:themeTint="99"/>
        </w:tcBorders>
      </w:tcPr>
    </w:tblStylePr>
    <w:tblStylePr w:type="lastRow">
      <w:rPr>
        <w:b/>
        <w:bCs/>
      </w:rPr>
      <w:tblPr/>
      <w:tcPr>
        <w:tcBorders>
          <w:top w:val="double" w:sz="2" w:space="0" w:color="F6BE72" w:themeColor="accent1" w:themeTint="99"/>
        </w:tcBorders>
      </w:tcPr>
    </w:tblStylePr>
    <w:tblStylePr w:type="firstCol">
      <w:rPr>
        <w:b/>
        <w:bCs/>
      </w:rPr>
    </w:tblStylePr>
    <w:tblStylePr w:type="lastCol">
      <w:rPr>
        <w:b/>
        <w:bCs/>
      </w:rPr>
    </w:tblStylePr>
  </w:style>
  <w:style w:type="table" w:customStyle="1" w:styleId="1-61">
    <w:name w:val="格線表格 1 淺色 - 輔色 61"/>
    <w:basedOn w:val="a1"/>
    <w:uiPriority w:val="46"/>
    <w:qFormat/>
    <w:tblPr>
      <w:tblBorders>
        <w:top w:val="single" w:sz="4" w:space="0" w:color="FDCBBD" w:themeColor="accent6" w:themeTint="66"/>
        <w:left w:val="single" w:sz="4" w:space="0" w:color="FDCBBD" w:themeColor="accent6" w:themeTint="66"/>
        <w:bottom w:val="single" w:sz="4" w:space="0" w:color="FDCBBD" w:themeColor="accent6" w:themeTint="66"/>
        <w:right w:val="single" w:sz="4" w:space="0" w:color="FDCBBD" w:themeColor="accent6" w:themeTint="66"/>
        <w:insideH w:val="single" w:sz="4" w:space="0" w:color="FDCBBD" w:themeColor="accent6" w:themeTint="66"/>
        <w:insideV w:val="single" w:sz="4" w:space="0" w:color="FDCBBD" w:themeColor="accent6" w:themeTint="66"/>
      </w:tblBorders>
    </w:tblPr>
    <w:tblStylePr w:type="firstRow">
      <w:rPr>
        <w:b/>
        <w:bCs/>
      </w:rPr>
      <w:tblPr/>
      <w:tcPr>
        <w:tcBorders>
          <w:bottom w:val="single" w:sz="12" w:space="0" w:color="FCB19D" w:themeColor="accent6" w:themeTint="99"/>
        </w:tcBorders>
      </w:tcPr>
    </w:tblStylePr>
    <w:tblStylePr w:type="lastRow">
      <w:rPr>
        <w:b/>
        <w:bCs/>
      </w:rPr>
      <w:tblPr/>
      <w:tcPr>
        <w:tcBorders>
          <w:top w:val="double" w:sz="2" w:space="0" w:color="FCB19D" w:themeColor="accent6" w:themeTint="99"/>
        </w:tcBorders>
      </w:tcPr>
    </w:tblStylePr>
    <w:tblStylePr w:type="firstCol">
      <w:rPr>
        <w:b/>
        <w:bCs/>
      </w:rPr>
    </w:tblStylePr>
    <w:tblStylePr w:type="lastCol">
      <w:rPr>
        <w:b/>
        <w:bCs/>
      </w:rPr>
    </w:tblStylePr>
  </w:style>
  <w:style w:type="table" w:customStyle="1" w:styleId="1-51">
    <w:name w:val="格線表格 1 淺色 - 輔色 51"/>
    <w:basedOn w:val="a1"/>
    <w:uiPriority w:val="46"/>
    <w:qFormat/>
    <w:tblPr>
      <w:tblBorders>
        <w:top w:val="single" w:sz="4" w:space="0" w:color="ECCAFC" w:themeColor="accent5" w:themeTint="66"/>
        <w:left w:val="single" w:sz="4" w:space="0" w:color="ECCAFC" w:themeColor="accent5" w:themeTint="66"/>
        <w:bottom w:val="single" w:sz="4" w:space="0" w:color="ECCAFC" w:themeColor="accent5" w:themeTint="66"/>
        <w:right w:val="single" w:sz="4" w:space="0" w:color="ECCAFC" w:themeColor="accent5" w:themeTint="66"/>
        <w:insideH w:val="single" w:sz="4" w:space="0" w:color="ECCAFC" w:themeColor="accent5" w:themeTint="66"/>
        <w:insideV w:val="single" w:sz="4" w:space="0" w:color="ECCAFC" w:themeColor="accent5" w:themeTint="66"/>
      </w:tblBorders>
    </w:tblPr>
    <w:tblStylePr w:type="firstRow">
      <w:rPr>
        <w:b/>
        <w:bCs/>
      </w:rPr>
      <w:tblPr/>
      <w:tcPr>
        <w:tcBorders>
          <w:bottom w:val="single" w:sz="12" w:space="0" w:color="E3B0FB" w:themeColor="accent5" w:themeTint="99"/>
        </w:tcBorders>
      </w:tcPr>
    </w:tblStylePr>
    <w:tblStylePr w:type="lastRow">
      <w:rPr>
        <w:b/>
        <w:bCs/>
      </w:rPr>
      <w:tblPr/>
      <w:tcPr>
        <w:tcBorders>
          <w:top w:val="double" w:sz="2" w:space="0" w:color="E3B0FB" w:themeColor="accent5" w:themeTint="99"/>
        </w:tcBorders>
      </w:tcPr>
    </w:tblStylePr>
    <w:tblStylePr w:type="firstCol">
      <w:rPr>
        <w:b/>
        <w:bCs/>
      </w:rPr>
    </w:tblStylePr>
    <w:tblStylePr w:type="lastCol">
      <w:rPr>
        <w:b/>
        <w:bCs/>
      </w:rPr>
    </w:tblStylePr>
  </w:style>
  <w:style w:type="table" w:customStyle="1" w:styleId="51">
    <w:name w:val="純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f0">
    <w:name w:val="Placeholder Text"/>
    <w:basedOn w:val="a0"/>
    <w:uiPriority w:val="99"/>
    <w:semiHidden/>
    <w:qFormat/>
    <w:rPr>
      <w:color w:val="808080"/>
    </w:rPr>
  </w:style>
  <w:style w:type="character" w:customStyle="1" w:styleId="ab">
    <w:name w:val="註解方塊文字 字元"/>
    <w:basedOn w:val="a0"/>
    <w:link w:val="aa"/>
    <w:uiPriority w:val="99"/>
    <w:semiHidden/>
    <w:qFormat/>
    <w:rPr>
      <w:rFonts w:ascii="Lucida Grande" w:hAnsi="Lucida Grande" w:cs="Lucida Grande"/>
      <w:sz w:val="18"/>
      <w:szCs w:val="18"/>
    </w:rPr>
  </w:style>
  <w:style w:type="paragraph" w:styleId="aff1">
    <w:name w:val="List Paragraph"/>
    <w:basedOn w:val="a"/>
    <w:uiPriority w:val="34"/>
    <w:qFormat/>
    <w:pPr>
      <w:ind w:leftChars="200" w:left="480"/>
    </w:pPr>
  </w:style>
  <w:style w:type="character" w:customStyle="1" w:styleId="st">
    <w:name w:val="st"/>
    <w:basedOn w:val="a0"/>
    <w:qFormat/>
  </w:style>
  <w:style w:type="table" w:customStyle="1" w:styleId="4-11">
    <w:name w:val="格線表格 4 - 輔色 11"/>
    <w:basedOn w:val="a1"/>
    <w:uiPriority w:val="49"/>
    <w:qFormat/>
    <w:tblPr>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insideV w:val="single" w:sz="4" w:space="0" w:color="F6BE72" w:themeColor="accent1" w:themeTint="99"/>
      </w:tblBorders>
    </w:tblPr>
    <w:tblStylePr w:type="firstRow">
      <w:rPr>
        <w:b/>
        <w:bCs/>
        <w:color w:val="FFFFFF" w:themeColor="background1"/>
      </w:rPr>
      <w:tblPr/>
      <w:tcPr>
        <w:tcBorders>
          <w:top w:val="single" w:sz="4" w:space="0" w:color="F09415" w:themeColor="accent1"/>
          <w:left w:val="single" w:sz="4" w:space="0" w:color="F09415" w:themeColor="accent1"/>
          <w:bottom w:val="single" w:sz="4" w:space="0" w:color="F09415" w:themeColor="accent1"/>
          <w:right w:val="single" w:sz="4" w:space="0" w:color="F09415" w:themeColor="accent1"/>
          <w:insideH w:val="nil"/>
          <w:insideV w:val="nil"/>
        </w:tcBorders>
        <w:shd w:val="clear" w:color="auto" w:fill="F09415" w:themeFill="accent1"/>
      </w:tcPr>
    </w:tblStylePr>
    <w:tblStylePr w:type="lastRow">
      <w:rPr>
        <w:b/>
        <w:bCs/>
      </w:rPr>
      <w:tblPr/>
      <w:tcPr>
        <w:tcBorders>
          <w:top w:val="double" w:sz="4" w:space="0" w:color="F09415" w:themeColor="accent1"/>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character" w:customStyle="1" w:styleId="apple-converted-space">
    <w:name w:val="apple-converted-space"/>
    <w:basedOn w:val="a0"/>
    <w:qFormat/>
  </w:style>
  <w:style w:type="table" w:customStyle="1" w:styleId="1-12">
    <w:name w:val="格線表格 1 淺色 - 輔色 12"/>
    <w:basedOn w:val="a1"/>
    <w:uiPriority w:val="46"/>
    <w:qFormat/>
    <w:tblPr>
      <w:tblBorders>
        <w:top w:val="single" w:sz="4" w:space="0" w:color="F9D3A1" w:themeColor="accent1" w:themeTint="66"/>
        <w:left w:val="single" w:sz="4" w:space="0" w:color="F9D3A1" w:themeColor="accent1" w:themeTint="66"/>
        <w:bottom w:val="single" w:sz="4" w:space="0" w:color="F9D3A1" w:themeColor="accent1" w:themeTint="66"/>
        <w:right w:val="single" w:sz="4" w:space="0" w:color="F9D3A1" w:themeColor="accent1" w:themeTint="66"/>
        <w:insideH w:val="single" w:sz="4" w:space="0" w:color="F9D3A1" w:themeColor="accent1" w:themeTint="66"/>
        <w:insideV w:val="single" w:sz="4" w:space="0" w:color="F9D3A1" w:themeColor="accent1" w:themeTint="66"/>
      </w:tblBorders>
    </w:tblPr>
    <w:tblStylePr w:type="firstRow">
      <w:rPr>
        <w:b/>
        <w:bCs/>
      </w:rPr>
      <w:tblPr/>
      <w:tcPr>
        <w:tcBorders>
          <w:bottom w:val="single" w:sz="12" w:space="0" w:color="F6BE72" w:themeColor="accent1" w:themeTint="99"/>
        </w:tcBorders>
      </w:tcPr>
    </w:tblStylePr>
    <w:tblStylePr w:type="lastRow">
      <w:rPr>
        <w:b/>
        <w:bCs/>
      </w:rPr>
      <w:tblPr/>
      <w:tcPr>
        <w:tcBorders>
          <w:top w:val="double" w:sz="2" w:space="0" w:color="F6BE72" w:themeColor="accent1" w:themeTint="99"/>
        </w:tcBorders>
      </w:tcPr>
    </w:tblStylePr>
    <w:tblStylePr w:type="firstCol">
      <w:rPr>
        <w:b/>
        <w:bCs/>
      </w:rPr>
    </w:tblStylePr>
    <w:tblStylePr w:type="lastCol">
      <w:rPr>
        <w:b/>
        <w:bCs/>
      </w:rPr>
    </w:tblStylePr>
  </w:style>
  <w:style w:type="character" w:customStyle="1" w:styleId="a7">
    <w:name w:val="問候 字元"/>
    <w:basedOn w:val="a0"/>
    <w:link w:val="a6"/>
    <w:uiPriority w:val="99"/>
    <w:qFormat/>
    <w:rPr>
      <w:rFonts w:ascii="PMingLiU" w:eastAsia="PMingLiU" w:hAnsi="PMingLiU" w:cs="PMingLiU"/>
      <w:b/>
      <w:color w:val="484848"/>
      <w:sz w:val="18"/>
      <w:szCs w:val="18"/>
    </w:rPr>
  </w:style>
  <w:style w:type="character" w:customStyle="1" w:styleId="a9">
    <w:name w:val="結語 字元"/>
    <w:basedOn w:val="a0"/>
    <w:link w:val="a8"/>
    <w:uiPriority w:val="99"/>
    <w:qFormat/>
    <w:rPr>
      <w:rFonts w:ascii="PMingLiU" w:eastAsia="PMingLiU" w:hAnsi="PMingLiU" w:cs="PMingLiU"/>
      <w:b/>
      <w:color w:val="484848"/>
      <w:sz w:val="18"/>
      <w:szCs w:val="18"/>
    </w:rPr>
  </w:style>
  <w:style w:type="table" w:customStyle="1" w:styleId="3-11">
    <w:name w:val="清單表格 3 - 輔色 11"/>
    <w:basedOn w:val="a1"/>
    <w:uiPriority w:val="48"/>
    <w:qFormat/>
    <w:tblPr>
      <w:tblBorders>
        <w:top w:val="single" w:sz="4" w:space="0" w:color="F09415" w:themeColor="accent1"/>
        <w:left w:val="single" w:sz="4" w:space="0" w:color="F09415" w:themeColor="accent1"/>
        <w:bottom w:val="single" w:sz="4" w:space="0" w:color="F09415" w:themeColor="accent1"/>
        <w:right w:val="single" w:sz="4" w:space="0" w:color="F09415" w:themeColor="accent1"/>
      </w:tblBorders>
    </w:tblPr>
    <w:tblStylePr w:type="firstRow">
      <w:rPr>
        <w:b/>
        <w:bCs/>
        <w:color w:val="FFFFFF" w:themeColor="background1"/>
      </w:rPr>
      <w:tblPr/>
      <w:tcPr>
        <w:shd w:val="clear" w:color="auto" w:fill="F09415" w:themeFill="accent1"/>
      </w:tcPr>
    </w:tblStylePr>
    <w:tblStylePr w:type="lastRow">
      <w:rPr>
        <w:b/>
        <w:bCs/>
      </w:rPr>
      <w:tblPr/>
      <w:tcPr>
        <w:tcBorders>
          <w:top w:val="double" w:sz="4" w:space="0" w:color="F0941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9415" w:themeColor="accent1"/>
          <w:right w:val="single" w:sz="4" w:space="0" w:color="F09415" w:themeColor="accent1"/>
        </w:tcBorders>
      </w:tcPr>
    </w:tblStylePr>
    <w:tblStylePr w:type="band1Horz">
      <w:tblPr/>
      <w:tcPr>
        <w:tcBorders>
          <w:top w:val="single" w:sz="4" w:space="0" w:color="F09415" w:themeColor="accent1"/>
          <w:bottom w:val="single" w:sz="4" w:space="0" w:color="F0941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9415" w:themeColor="accent1"/>
          <w:left w:val="nil"/>
        </w:tcBorders>
      </w:tcPr>
    </w:tblStylePr>
    <w:tblStylePr w:type="swCell">
      <w:tblPr/>
      <w:tcPr>
        <w:tcBorders>
          <w:top w:val="double" w:sz="4" w:space="0" w:color="F09415" w:themeColor="accent1"/>
          <w:right w:val="nil"/>
        </w:tcBorders>
      </w:tcPr>
    </w:tblStylePr>
  </w:style>
  <w:style w:type="table" w:customStyle="1" w:styleId="7-11">
    <w:name w:val="清單表格 7 彩色 - 輔色 11"/>
    <w:basedOn w:val="a1"/>
    <w:uiPriority w:val="52"/>
    <w:qFormat/>
    <w:rPr>
      <w:color w:val="B76E0B" w:themeColor="accent1" w:themeShade="BF"/>
    </w:rPr>
    <w:tblPr/>
    <w:tblStylePr w:type="firstRow">
      <w:rPr>
        <w:rFonts w:asciiTheme="majorHAnsi" w:eastAsiaTheme="majorEastAsia" w:hAnsiTheme="majorHAnsi" w:cstheme="majorBidi"/>
        <w:i/>
        <w:iCs/>
        <w:sz w:val="26"/>
      </w:rPr>
      <w:tblPr/>
      <w:tcPr>
        <w:tcBorders>
          <w:bottom w:val="single" w:sz="4" w:space="0" w:color="F0941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941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941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9415" w:themeColor="accent1"/>
        </w:tcBorders>
        <w:shd w:val="clear" w:color="auto" w:fill="FFFFFF" w:themeFill="background1"/>
      </w:tcPr>
    </w:tblStylePr>
    <w:tblStylePr w:type="band1Vert">
      <w:tblPr/>
      <w:tcPr>
        <w:shd w:val="clear" w:color="auto" w:fill="FCE9D0" w:themeFill="accent1" w:themeFillTint="33"/>
      </w:tcPr>
    </w:tblStylePr>
    <w:tblStylePr w:type="band1Horz">
      <w:tblPr/>
      <w:tcPr>
        <w:shd w:val="clear" w:color="auto" w:fill="FCE9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3-110">
    <w:name w:val="格線表格 3 - 輔色 11"/>
    <w:basedOn w:val="a1"/>
    <w:uiPriority w:val="48"/>
    <w:qFormat/>
    <w:tblPr>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insideV w:val="single" w:sz="4" w:space="0" w:color="F6BE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9D0" w:themeFill="accent1" w:themeFillTint="33"/>
      </w:tcPr>
    </w:tblStylePr>
    <w:tblStylePr w:type="band1Horz">
      <w:tblPr/>
      <w:tcPr>
        <w:shd w:val="clear" w:color="auto" w:fill="FCE9D0" w:themeFill="accent1" w:themeFillTint="33"/>
      </w:tcPr>
    </w:tblStylePr>
    <w:tblStylePr w:type="neCell">
      <w:tblPr/>
      <w:tcPr>
        <w:tcBorders>
          <w:bottom w:val="single" w:sz="4" w:space="0" w:color="F6BE72" w:themeColor="accent1" w:themeTint="99"/>
        </w:tcBorders>
      </w:tcPr>
    </w:tblStylePr>
    <w:tblStylePr w:type="nwCell">
      <w:tblPr/>
      <w:tcPr>
        <w:tcBorders>
          <w:bottom w:val="single" w:sz="4" w:space="0" w:color="F6BE72" w:themeColor="accent1" w:themeTint="99"/>
        </w:tcBorders>
      </w:tcPr>
    </w:tblStylePr>
    <w:tblStylePr w:type="seCell">
      <w:tblPr/>
      <w:tcPr>
        <w:tcBorders>
          <w:top w:val="single" w:sz="4" w:space="0" w:color="F6BE72" w:themeColor="accent1" w:themeTint="99"/>
        </w:tcBorders>
      </w:tcPr>
    </w:tblStylePr>
    <w:tblStylePr w:type="swCell">
      <w:tblPr/>
      <w:tcPr>
        <w:tcBorders>
          <w:top w:val="single" w:sz="4" w:space="0" w:color="F6BE72" w:themeColor="accent1" w:themeTint="99"/>
        </w:tcBorders>
      </w:tcPr>
    </w:tblStylePr>
  </w:style>
  <w:style w:type="table" w:customStyle="1" w:styleId="5-11">
    <w:name w:val="格線表格 5 深色 - 輔色 1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9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941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941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941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9415" w:themeFill="accent1"/>
      </w:tcPr>
    </w:tblStylePr>
    <w:tblStylePr w:type="band1Vert">
      <w:tblPr/>
      <w:tcPr>
        <w:shd w:val="clear" w:color="auto" w:fill="F9D3A1" w:themeFill="accent1" w:themeFillTint="66"/>
      </w:tcPr>
    </w:tblStylePr>
    <w:tblStylePr w:type="band1Horz">
      <w:tblPr/>
      <w:tcPr>
        <w:shd w:val="clear" w:color="auto" w:fill="F9D3A1" w:themeFill="accent1" w:themeFillTint="66"/>
      </w:tcPr>
    </w:tblStylePr>
  </w:style>
  <w:style w:type="table" w:customStyle="1" w:styleId="4-61">
    <w:name w:val="格線表格 4 - 輔色 61"/>
    <w:basedOn w:val="a1"/>
    <w:uiPriority w:val="49"/>
    <w:qFormat/>
    <w:tblPr>
      <w:tblBorders>
        <w:top w:val="single" w:sz="4" w:space="0" w:color="FCB19D" w:themeColor="accent6" w:themeTint="99"/>
        <w:left w:val="single" w:sz="4" w:space="0" w:color="FCB19D" w:themeColor="accent6" w:themeTint="99"/>
        <w:bottom w:val="single" w:sz="4" w:space="0" w:color="FCB19D" w:themeColor="accent6" w:themeTint="99"/>
        <w:right w:val="single" w:sz="4" w:space="0" w:color="FCB19D" w:themeColor="accent6" w:themeTint="99"/>
        <w:insideH w:val="single" w:sz="4" w:space="0" w:color="FCB19D" w:themeColor="accent6" w:themeTint="99"/>
        <w:insideV w:val="single" w:sz="4" w:space="0" w:color="FCB19D" w:themeColor="accent6" w:themeTint="99"/>
      </w:tblBorders>
    </w:tblPr>
    <w:tblStylePr w:type="firstRow">
      <w:rPr>
        <w:b/>
        <w:bCs/>
        <w:color w:val="FFFFFF" w:themeColor="background1"/>
      </w:rPr>
      <w:tblPr/>
      <w:tcPr>
        <w:tcBorders>
          <w:top w:val="single" w:sz="4" w:space="0" w:color="FA7E5C" w:themeColor="accent6"/>
          <w:left w:val="single" w:sz="4" w:space="0" w:color="FA7E5C" w:themeColor="accent6"/>
          <w:bottom w:val="single" w:sz="4" w:space="0" w:color="FA7E5C" w:themeColor="accent6"/>
          <w:right w:val="single" w:sz="4" w:space="0" w:color="FA7E5C" w:themeColor="accent6"/>
          <w:insideH w:val="nil"/>
          <w:insideV w:val="nil"/>
        </w:tcBorders>
        <w:shd w:val="clear" w:color="auto" w:fill="FA7E5C" w:themeFill="accent6"/>
      </w:tcPr>
    </w:tblStylePr>
    <w:tblStylePr w:type="lastRow">
      <w:rPr>
        <w:b/>
        <w:bCs/>
      </w:rPr>
      <w:tblPr/>
      <w:tcPr>
        <w:tcBorders>
          <w:top w:val="double" w:sz="4" w:space="0" w:color="FA7E5C" w:themeColor="accent6"/>
        </w:tcBorders>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character" w:customStyle="1" w:styleId="content1">
    <w:name w:val="content1"/>
    <w:basedOn w:val="a0"/>
    <w:qFormat/>
    <w:rPr>
      <w:rFonts w:ascii="Arial" w:hAnsi="Arial" w:cs="Arial" w:hint="default"/>
      <w:color w:val="000000"/>
      <w:sz w:val="21"/>
      <w:szCs w:val="21"/>
      <w:u w:val="none"/>
    </w:rPr>
  </w:style>
  <w:style w:type="character" w:customStyle="1" w:styleId="qstockcodeblue1">
    <w:name w:val="q_stock_code_blue1"/>
    <w:basedOn w:val="a0"/>
    <w:qFormat/>
    <w:rPr>
      <w:rFonts w:ascii="Helvetica" w:hAnsi="Helvetica" w:cs="Helvetica" w:hint="default"/>
      <w:color w:val="003366"/>
      <w:sz w:val="17"/>
      <w:szCs w:val="17"/>
      <w:u w:val="none"/>
    </w:rPr>
  </w:style>
  <w:style w:type="table" w:customStyle="1" w:styleId="4-21">
    <w:name w:val="格線表格 4 - 輔色 21"/>
    <w:basedOn w:val="a1"/>
    <w:uiPriority w:val="49"/>
    <w:qFormat/>
    <w:rPr>
      <w:kern w:val="2"/>
      <w:sz w:val="24"/>
      <w:szCs w:val="22"/>
    </w:rPr>
    <w:tblPr>
      <w:tblBorders>
        <w:top w:val="single" w:sz="4" w:space="0" w:color="D9D2A6" w:themeColor="accent2" w:themeTint="99"/>
        <w:left w:val="single" w:sz="4" w:space="0" w:color="D9D2A6" w:themeColor="accent2" w:themeTint="99"/>
        <w:bottom w:val="single" w:sz="4" w:space="0" w:color="D9D2A6" w:themeColor="accent2" w:themeTint="99"/>
        <w:right w:val="single" w:sz="4" w:space="0" w:color="D9D2A6" w:themeColor="accent2" w:themeTint="99"/>
        <w:insideH w:val="single" w:sz="4" w:space="0" w:color="D9D2A6" w:themeColor="accent2" w:themeTint="99"/>
        <w:insideV w:val="single" w:sz="4" w:space="0" w:color="D9D2A6" w:themeColor="accent2" w:themeTint="99"/>
      </w:tblBorders>
    </w:tblPr>
    <w:tblStylePr w:type="firstRow">
      <w:rPr>
        <w:b/>
        <w:bCs/>
        <w:color w:val="FFFFFF" w:themeColor="background1"/>
      </w:rPr>
      <w:tblPr/>
      <w:tcPr>
        <w:tcBorders>
          <w:top w:val="single" w:sz="4" w:space="0" w:color="C1B56B" w:themeColor="accent2"/>
          <w:left w:val="single" w:sz="4" w:space="0" w:color="C1B56B" w:themeColor="accent2"/>
          <w:bottom w:val="single" w:sz="4" w:space="0" w:color="C1B56B" w:themeColor="accent2"/>
          <w:right w:val="single" w:sz="4" w:space="0" w:color="C1B56B" w:themeColor="accent2"/>
          <w:insideH w:val="nil"/>
          <w:insideV w:val="nil"/>
        </w:tcBorders>
        <w:shd w:val="clear" w:color="auto" w:fill="C1B56B" w:themeFill="accent2"/>
      </w:tcPr>
    </w:tblStylePr>
    <w:tblStylePr w:type="lastRow">
      <w:rPr>
        <w:b/>
        <w:bCs/>
      </w:rPr>
      <w:tblPr/>
      <w:tcPr>
        <w:tcBorders>
          <w:top w:val="double" w:sz="4" w:space="0" w:color="C1B56B" w:themeColor="accent2"/>
        </w:tcBorders>
      </w:tcPr>
    </w:tblStylePr>
    <w:tblStylePr w:type="firstCol">
      <w:rPr>
        <w:b/>
        <w:bCs/>
      </w:rPr>
    </w:tblStylePr>
    <w:tblStylePr w:type="lastCol">
      <w:rPr>
        <w:b/>
        <w:bCs/>
      </w:rPr>
    </w:tblStylePr>
    <w:tblStylePr w:type="band1Vert">
      <w:tblPr/>
      <w:tcPr>
        <w:shd w:val="clear" w:color="auto" w:fill="F2F0E1" w:themeFill="accent2" w:themeFillTint="33"/>
      </w:tcPr>
    </w:tblStylePr>
    <w:tblStylePr w:type="band1Horz">
      <w:tblPr/>
      <w:tcPr>
        <w:shd w:val="clear" w:color="auto" w:fill="F2F0E1" w:themeFill="accent2" w:themeFillTint="33"/>
      </w:tcPr>
    </w:tblStylePr>
  </w:style>
  <w:style w:type="table" w:customStyle="1" w:styleId="5-21">
    <w:name w:val="格線表格 5 深色 - 輔色 21"/>
    <w:basedOn w:val="a1"/>
    <w:uiPriority w:val="50"/>
    <w:qFormat/>
    <w:rPr>
      <w:kern w:val="2"/>
      <w:sz w:val="24"/>
      <w:szCs w:val="22"/>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0E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B56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B56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B56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B56B" w:themeFill="accent2"/>
      </w:tcPr>
    </w:tblStylePr>
    <w:tblStylePr w:type="band1Vert">
      <w:tblPr/>
      <w:tcPr>
        <w:shd w:val="clear" w:color="auto" w:fill="E6E1C3" w:themeFill="accent2" w:themeFillTint="66"/>
      </w:tcPr>
    </w:tblStylePr>
    <w:tblStylePr w:type="band1Horz">
      <w:tblPr/>
      <w:tcPr>
        <w:shd w:val="clear" w:color="auto" w:fill="E6E1C3" w:themeFill="accent2" w:themeFillTint="66"/>
      </w:tcPr>
    </w:tblStylePr>
  </w:style>
  <w:style w:type="table" w:customStyle="1" w:styleId="2-11">
    <w:name w:val="清單表格 2 - 輔色 11"/>
    <w:basedOn w:val="a1"/>
    <w:uiPriority w:val="47"/>
    <w:qFormat/>
    <w:tblPr>
      <w:tblBorders>
        <w:top w:val="single" w:sz="4" w:space="0" w:color="F6BE72" w:themeColor="accent1" w:themeTint="99"/>
        <w:bottom w:val="single" w:sz="4" w:space="0" w:color="F6BE72" w:themeColor="accent1" w:themeTint="99"/>
        <w:insideH w:val="single" w:sz="4" w:space="0" w:color="F6BE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customStyle="1" w:styleId="4-110">
    <w:name w:val="清單表格 4 - 輔色 11"/>
    <w:basedOn w:val="a1"/>
    <w:uiPriority w:val="49"/>
    <w:qFormat/>
    <w:tblPr>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tblBorders>
    </w:tblPr>
    <w:tblStylePr w:type="firstRow">
      <w:rPr>
        <w:b/>
        <w:bCs/>
        <w:color w:val="FFFFFF" w:themeColor="background1"/>
      </w:rPr>
      <w:tblPr/>
      <w:tcPr>
        <w:tcBorders>
          <w:top w:val="single" w:sz="4" w:space="0" w:color="F09415" w:themeColor="accent1"/>
          <w:left w:val="single" w:sz="4" w:space="0" w:color="F09415" w:themeColor="accent1"/>
          <w:bottom w:val="single" w:sz="4" w:space="0" w:color="F09415" w:themeColor="accent1"/>
          <w:right w:val="single" w:sz="4" w:space="0" w:color="F09415" w:themeColor="accent1"/>
          <w:insideH w:val="nil"/>
        </w:tcBorders>
        <w:shd w:val="clear" w:color="auto" w:fill="F09415" w:themeFill="accent1"/>
      </w:tcPr>
    </w:tblStylePr>
    <w:tblStylePr w:type="lastRow">
      <w:rPr>
        <w:b/>
        <w:bCs/>
      </w:rPr>
      <w:tblPr/>
      <w:tcPr>
        <w:tcBorders>
          <w:top w:val="double" w:sz="4" w:space="0" w:color="F6BE72" w:themeColor="accent1" w:themeTint="99"/>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customStyle="1" w:styleId="GridTable31">
    <w:name w:val="Grid Table 31"/>
    <w:basedOn w:val="a1"/>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21">
    <w:name w:val="Grid Table 21"/>
    <w:basedOn w:val="a1"/>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a1"/>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1">
    <w:name w:val="Grid Table 41"/>
    <w:basedOn w:val="a1"/>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5">
    <w:name w:val="註解文字 字元"/>
    <w:basedOn w:val="a0"/>
    <w:link w:val="a4"/>
    <w:qFormat/>
  </w:style>
  <w:style w:type="character" w:customStyle="1" w:styleId="af5">
    <w:name w:val="註解主旨 字元"/>
    <w:basedOn w:val="a5"/>
    <w:link w:val="af4"/>
    <w:uiPriority w:val="99"/>
    <w:semiHidden/>
    <w:qFormat/>
    <w:rPr>
      <w:b/>
      <w:bCs/>
    </w:rPr>
  </w:style>
  <w:style w:type="paragraph" w:customStyle="1" w:styleId="Revision1">
    <w:name w:val="Revision1"/>
    <w:hidden/>
    <w:uiPriority w:val="99"/>
    <w:semiHidden/>
    <w:qFormat/>
    <w:rPr>
      <w:rFonts w:asciiTheme="minorHAnsi" w:eastAsiaTheme="minorEastAsia" w:hAnsiTheme="minorHAnsi" w:cstheme="minorBidi"/>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hkdata.stock.hexun.com.tw/company/08132.shtml" TargetMode="External"/><Relationship Id="rId13" Type="http://schemas.openxmlformats.org/officeDocument/2006/relationships/hyperlink" Target="https://www.sfc.hk/web/TC/files/Unauthorized%20funds%20flowchart.pdf"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hkdata.stock.hexun.com.tw/company/08132.s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sfc.hk/web/TC/rules-and-standards/suitability-requirement/non-complex-and-complex-products/list-of-specified-jurisdictions.html"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hkdata.stock.hexun.com.tw/company/08132.shtml" TargetMode="External"/><Relationship Id="rId14" Type="http://schemas.openxmlformats.org/officeDocument/2006/relationships/hyperlink" Target="https://www.sfc.hk/web/TC/rules-and-standards/suitability-requirement/non-complex-and-complex-produc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柏林">
  <a:themeElements>
    <a:clrScheme name="柏林">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柏林">
      <a:majorFont>
        <a:latin typeface="Trebuchet MS"/>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柏林">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13</Pages>
  <Words>1451</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yuna.ding</cp:lastModifiedBy>
  <cp:revision>7</cp:revision>
  <cp:lastPrinted>2017-05-23T12:03:00Z</cp:lastPrinted>
  <dcterms:created xsi:type="dcterms:W3CDTF">2024-09-16T09:38:00Z</dcterms:created>
  <dcterms:modified xsi:type="dcterms:W3CDTF">2026-02-03T03:30:00Z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8694090288894345A1A951422F1443C9</vt:lpwstr>
  </property>
  <property fmtid="{D5CDD505-2E9C-101B-9397-08002B2CF9AE}" pid="4" name="KSOTemplateDocerSaveRecord">
    <vt:lpwstr>eyJoZGlkIjoiYzE2ODgwMWRiZTk0NDVjMjJlNGNmNWM1OTJhMGZlMzUiLCJ1c2VySWQiOiI4NTgxNTQ1OTEifQ==</vt:lpwstr>
  </property>
</Properties>
</file>