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C32CE0">
      <w:pPr>
        <w:shd w:val="clear" w:color="auto" w:fill="FFFFFF"/>
        <w:spacing w:before="0" w:after="0" w:line="240" w:lineRule="auto"/>
        <w:jc w:val="center"/>
        <w:rPr>
          <w:rFonts w:ascii="仿宋" w:hAnsi="仿宋" w:eastAsia="仿宋"/>
          <w:b/>
          <w:sz w:val="24"/>
          <w:szCs w:val="24"/>
        </w:rPr>
      </w:pPr>
      <w:r>
        <w:rPr>
          <w:rFonts w:hint="eastAsia" w:ascii="仿宋" w:hAnsi="仿宋" w:eastAsia="仿宋"/>
          <w:b/>
          <w:sz w:val="24"/>
          <w:szCs w:val="24"/>
        </w:rPr>
        <w:t>星路金融有限公司</w:t>
      </w:r>
    </w:p>
    <w:p w14:paraId="2B9D3996">
      <w:pPr>
        <w:shd w:val="clear" w:color="auto" w:fill="FFFFFF"/>
        <w:spacing w:before="0" w:after="0" w:line="240" w:lineRule="auto"/>
        <w:jc w:val="center"/>
        <w:rPr>
          <w:rFonts w:ascii="仿宋" w:hAnsi="仿宋" w:eastAsia="仿宋"/>
          <w:b/>
          <w:sz w:val="24"/>
          <w:szCs w:val="24"/>
          <w:u w:val="single"/>
        </w:rPr>
      </w:pPr>
      <w:r>
        <w:rPr>
          <w:rFonts w:hint="eastAsia" w:ascii="仿宋" w:hAnsi="仿宋" w:eastAsia="仿宋"/>
          <w:b/>
          <w:sz w:val="24"/>
          <w:szCs w:val="24"/>
          <w:u w:val="single"/>
        </w:rPr>
        <w:t xml:space="preserve">投資產品評估報告 </w:t>
      </w:r>
      <w:r>
        <w:rPr>
          <w:rFonts w:ascii="仿宋" w:hAnsi="仿宋" w:eastAsia="仿宋"/>
          <w:b/>
          <w:sz w:val="24"/>
          <w:szCs w:val="24"/>
          <w:u w:val="single"/>
        </w:rPr>
        <w:t xml:space="preserve">– </w:t>
      </w:r>
      <w:r>
        <w:rPr>
          <w:rFonts w:hint="eastAsia" w:ascii="仿宋" w:hAnsi="仿宋" w:eastAsia="仿宋"/>
          <w:b/>
          <w:sz w:val="24"/>
          <w:szCs w:val="24"/>
          <w:u w:val="single"/>
        </w:rPr>
        <w:t>基金</w:t>
      </w:r>
    </w:p>
    <w:p w14:paraId="49B6E969">
      <w:pPr>
        <w:shd w:val="clear" w:color="auto" w:fill="FFFFFF"/>
        <w:spacing w:before="0" w:after="0" w:line="240" w:lineRule="auto"/>
        <w:jc w:val="center"/>
        <w:rPr>
          <w:rFonts w:ascii="仿宋" w:hAnsi="仿宋" w:eastAsia="仿宋"/>
          <w:b/>
          <w:i/>
          <w:sz w:val="24"/>
          <w:szCs w:val="24"/>
        </w:rPr>
      </w:pPr>
      <w:r>
        <w:rPr>
          <w:rFonts w:hint="eastAsia" w:ascii="仿宋" w:hAnsi="仿宋" w:eastAsia="仿宋"/>
          <w:b/>
          <w:i/>
          <w:sz w:val="24"/>
          <w:szCs w:val="24"/>
        </w:rPr>
        <w:t>(每只基金都必需備有一份產品評估報告)</w:t>
      </w:r>
    </w:p>
    <w:p w14:paraId="09254AA6">
      <w:pPr>
        <w:shd w:val="clear" w:color="auto" w:fill="FFFFFF"/>
        <w:spacing w:before="0" w:after="0" w:line="240" w:lineRule="auto"/>
        <w:jc w:val="center"/>
        <w:rPr>
          <w:rFonts w:ascii="仿宋" w:hAnsi="仿宋" w:eastAsia="仿宋" w:cs="Times New Roman"/>
          <w:b/>
          <w:color w:val="000000"/>
          <w:sz w:val="24"/>
          <w:szCs w:val="24"/>
          <w:u w:val="single"/>
        </w:rPr>
      </w:pPr>
    </w:p>
    <w:tbl>
      <w:tblPr>
        <w:tblStyle w:val="79"/>
        <w:tblW w:w="5000" w:type="pct"/>
        <w:tblInd w:w="0" w:type="dxa"/>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fixed"/>
        <w:tblCellMar>
          <w:top w:w="0" w:type="dxa"/>
          <w:left w:w="108" w:type="dxa"/>
          <w:bottom w:w="0" w:type="dxa"/>
          <w:right w:w="108" w:type="dxa"/>
        </w:tblCellMar>
      </w:tblPr>
      <w:tblGrid>
        <w:gridCol w:w="3327"/>
        <w:gridCol w:w="7434"/>
      </w:tblGrid>
      <w:tr w14:paraId="38FDBD0D">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90" w:hRule="atLeast"/>
        </w:trPr>
        <w:tc>
          <w:tcPr>
            <w:tcW w:w="4572" w:type="dxa"/>
            <w:tcBorders>
              <w:top w:val="single" w:color="auto" w:sz="4" w:space="0"/>
              <w:left w:val="single" w:color="auto" w:sz="4" w:space="0"/>
              <w:bottom w:val="single" w:color="auto" w:sz="4" w:space="0"/>
              <w:right w:val="nil"/>
              <w:insideV w:val="nil"/>
            </w:tcBorders>
            <w:shd w:val="clear" w:color="auto" w:fill="D0CECE" w:themeFill="background2" w:themeFillShade="E6"/>
            <w:vAlign w:val="top"/>
          </w:tcPr>
          <w:p w14:paraId="76AD6C30">
            <w:pPr>
              <w:spacing w:after="0" w:line="330" w:lineRule="atLeast"/>
              <w:rPr>
                <w:rFonts w:ascii="仿宋" w:hAnsi="仿宋" w:eastAsia="仿宋" w:cs="PMingLiU"/>
                <w:b w:val="0"/>
                <w:bCs w:val="0"/>
                <w:iCs/>
                <w:color w:val="000000"/>
                <w:sz w:val="24"/>
                <w:szCs w:val="24"/>
                <w:u w:val="single"/>
              </w:rPr>
            </w:pPr>
            <w:r>
              <w:rPr>
                <w:rFonts w:hint="eastAsia" w:ascii="仿宋" w:hAnsi="仿宋" w:eastAsia="仿宋" w:cs="Arial"/>
                <w:b/>
                <w:bCs/>
                <w:sz w:val="24"/>
                <w:szCs w:val="24"/>
              </w:rPr>
              <w:t>基金產品名稱</w:t>
            </w:r>
          </w:p>
        </w:tc>
        <w:tc>
          <w:tcPr>
            <w:tcW w:w="4572" w:type="dxa"/>
            <w:tcBorders>
              <w:top w:val="single" w:color="auto" w:sz="4" w:space="0"/>
              <w:left w:val="single" w:color="auto" w:sz="4" w:space="0"/>
              <w:bottom w:val="single" w:color="auto" w:sz="4" w:space="0"/>
              <w:right w:val="single" w:color="auto" w:sz="4" w:space="0"/>
              <w:insideV w:val="nil"/>
            </w:tcBorders>
            <w:shd w:val="clear" w:color="auto" w:fill="FFFFFF" w:themeFill="background1"/>
            <w:vAlign w:val="top"/>
          </w:tcPr>
          <w:p>
            <w:r>
              <w:t>大成貨幣市場基金</w:t>
            </w:r>
          </w:p>
        </w:tc>
      </w:tr>
      <w:tr w14:paraId="361E759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794A6E5E">
            <w:pPr>
              <w:spacing w:after="0" w:line="330" w:lineRule="atLeast"/>
              <w:rPr>
                <w:rFonts w:ascii="仿宋" w:hAnsi="仿宋" w:eastAsia="仿宋" w:cs="PMingLiU"/>
                <w:b w:val="0"/>
                <w:bCs w:val="0"/>
                <w:iCs/>
                <w:color w:val="000000"/>
                <w:sz w:val="24"/>
                <w:szCs w:val="24"/>
              </w:rPr>
            </w:pPr>
            <w:r>
              <w:rPr>
                <w:rFonts w:ascii="仿宋" w:hAnsi="仿宋" w:eastAsia="仿宋" w:cs="Calibri"/>
                <w:b/>
                <w:bCs/>
                <w:iCs/>
                <w:color w:val="000000"/>
                <w:sz w:val="24"/>
                <w:szCs w:val="24"/>
              </w:rPr>
              <w:t>ISIN</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r>
              <w:t>A类美元单位ISIN为HK0000477056。</w:t>
            </w:r>
          </w:p>
        </w:tc>
      </w:tr>
      <w:tr w14:paraId="2DC014B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4991B3B0">
            <w:pPr>
              <w:spacing w:after="0" w:line="330" w:lineRule="atLeast"/>
              <w:rPr>
                <w:rFonts w:ascii="仿宋" w:hAnsi="仿宋" w:eastAsia="仿宋" w:cs="PMingLiU"/>
                <w:b w:val="0"/>
                <w:bCs/>
                <w:iCs/>
                <w:color w:val="000000"/>
                <w:sz w:val="24"/>
                <w:szCs w:val="24"/>
              </w:rPr>
            </w:pPr>
            <w:r>
              <w:rPr>
                <w:rFonts w:hint="eastAsia" w:ascii="仿宋" w:hAnsi="仿宋" w:eastAsia="仿宋" w:cs="PMingLiU"/>
                <w:b/>
                <w:bCs w:val="0"/>
                <w:iCs/>
                <w:color w:val="000000"/>
                <w:sz w:val="24"/>
                <w:szCs w:val="24"/>
              </w:rPr>
              <w:t>上次評級日期和風險 (如有)</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r>
              <w:t>资料未载明上次风险评估日期及当时的风险等级。</w:t>
            </w:r>
          </w:p>
        </w:tc>
      </w:tr>
      <w:tr w14:paraId="2B7387B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3CE72338">
            <w:pPr>
              <w:spacing w:after="0" w:line="330" w:lineRule="atLeast"/>
              <w:rPr>
                <w:rFonts w:ascii="仿宋" w:hAnsi="仿宋" w:eastAsia="仿宋" w:cs="Calibri"/>
                <w:b w:val="0"/>
                <w:bCs w:val="0"/>
                <w:iCs/>
                <w:color w:val="000000"/>
                <w:sz w:val="24"/>
                <w:szCs w:val="24"/>
              </w:rPr>
            </w:pPr>
            <w:r>
              <w:rPr>
                <w:rFonts w:hint="eastAsia" w:ascii="仿宋" w:hAnsi="仿宋" w:eastAsia="仿宋" w:cs="Calibri"/>
                <w:b/>
                <w:bCs/>
                <w:iCs/>
                <w:color w:val="000000"/>
                <w:sz w:val="24"/>
                <w:szCs w:val="24"/>
              </w:rPr>
              <w:t xml:space="preserve">只可銷售予專業投資者 </w:t>
            </w:r>
            <w:r>
              <w:rPr>
                <w:rFonts w:ascii="仿宋" w:hAnsi="仿宋" w:eastAsia="仿宋" w:cs="Calibri"/>
                <w:b/>
                <w:bCs/>
                <w:iCs/>
                <w:color w:val="000000"/>
                <w:sz w:val="24"/>
                <w:szCs w:val="24"/>
              </w:rPr>
              <w:t>(PI)</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r>
              <w:t>否（参考资料未载明仅销售予专业投资者，且提及可供零售投资者投资）。</w:t>
            </w:r>
          </w:p>
        </w:tc>
      </w:tr>
      <w:tr w14:paraId="795F9BA7">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0A29E833">
            <w:pPr>
              <w:spacing w:after="0" w:line="330" w:lineRule="atLeast"/>
              <w:rPr>
                <w:rFonts w:ascii="仿宋" w:hAnsi="仿宋" w:eastAsia="仿宋" w:cs="Calibri"/>
                <w:b w:val="0"/>
                <w:bCs w:val="0"/>
                <w:color w:val="000000" w:themeColor="text1"/>
                <w:sz w:val="24"/>
                <w:szCs w:val="24"/>
                <w14:textFill>
                  <w14:solidFill>
                    <w14:schemeClr w14:val="tx1"/>
                  </w14:solidFill>
                </w14:textFill>
              </w:rPr>
            </w:pPr>
            <w:r>
              <w:rPr>
                <w:rFonts w:hint="eastAsia" w:ascii="仿宋" w:hAnsi="仿宋" w:eastAsia="仿宋" w:cs="Calibri"/>
                <w:b/>
                <w:bCs/>
                <w:iCs/>
                <w:color w:val="000000"/>
                <w:sz w:val="24"/>
                <w:szCs w:val="24"/>
              </w:rPr>
              <w:t>是否衍生產品</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r>
              <w:t>否（资料载明衍生工具仅作对冲用途）</w:t>
            </w:r>
          </w:p>
        </w:tc>
      </w:tr>
      <w:tr w14:paraId="2DE4C43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63E355B8">
            <w:pPr>
              <w:spacing w:after="0" w:line="330" w:lineRule="atLeast"/>
              <w:rPr>
                <w:rFonts w:ascii="仿宋" w:hAnsi="仿宋" w:eastAsia="仿宋" w:cs="Calibri"/>
                <w:b w:val="0"/>
                <w:bCs w:val="0"/>
                <w:iCs/>
                <w:color w:val="000000"/>
                <w:sz w:val="24"/>
                <w:szCs w:val="24"/>
              </w:rPr>
            </w:pPr>
            <w:r>
              <w:rPr>
                <w:rFonts w:hint="eastAsia" w:ascii="仿宋" w:hAnsi="仿宋" w:eastAsia="仿宋" w:cs="Calibri"/>
                <w:b/>
                <w:bCs/>
                <w:iCs/>
                <w:color w:val="000000"/>
                <w:sz w:val="24"/>
                <w:szCs w:val="24"/>
              </w:rPr>
              <w:t xml:space="preserve">投資目標 </w:t>
            </w:r>
          </w:p>
          <w:p w14:paraId="235C5E05">
            <w:pPr>
              <w:spacing w:after="0" w:line="330" w:lineRule="atLeast"/>
              <w:rPr>
                <w:rFonts w:ascii="仿宋" w:hAnsi="仿宋" w:eastAsia="仿宋" w:cs="Calibri"/>
                <w:b w:val="0"/>
                <w:bCs w:val="0"/>
                <w:color w:val="000000" w:themeColor="text1"/>
                <w:sz w:val="24"/>
                <w:szCs w:val="24"/>
                <w14:textFill>
                  <w14:solidFill>
                    <w14:schemeClr w14:val="tx1"/>
                  </w14:solidFill>
                </w14:textFill>
              </w:rPr>
            </w:pP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298FA80E">
            <w:pPr>
              <w:spacing w:after="0" w:line="330" w:lineRule="atLeast"/>
              <w:ind w:firstLine="127"/>
              <w:rPr>
                <w:rFonts w:ascii="仿宋" w:hAnsi="仿宋" w:eastAsia="仿宋" w:cs="Calibri"/>
                <w:iCs/>
                <w:color w:val="000000"/>
                <w:sz w:val="24"/>
                <w:szCs w:val="24"/>
              </w:rPr>
            </w:pPr>
            <w:r>
              <w:rPr>
                <w:rFonts w:ascii="仿宋" w:hAnsi="仿宋" w:eastAsia="仿宋"/>
                <w:sz w:val="24"/>
              </w:rPr>
              <w:t xml:space="preserve">□ </w:t>
            </w:r>
            <w:r>
              <w:rPr>
                <w:rFonts w:hint="eastAsia" w:ascii="仿宋" w:hAnsi="仿宋" w:eastAsia="仿宋" w:cs="Calibri"/>
                <w:iCs/>
                <w:color w:val="000000"/>
                <w:sz w:val="24"/>
                <w:szCs w:val="24"/>
              </w:rPr>
              <w:t xml:space="preserve">保本為主 </w:t>
            </w:r>
            <w:r>
              <w:rPr>
                <w:rFonts w:ascii="仿宋" w:hAnsi="仿宋" w:eastAsia="仿宋" w:cs="Calibri"/>
                <w:iCs/>
                <w:color w:val="000000"/>
                <w:sz w:val="24"/>
                <w:szCs w:val="24"/>
              </w:rPr>
              <w:t xml:space="preserve">/ </w:t>
            </w:r>
            <w:r>
              <w:rPr>
                <w:rFonts w:hint="eastAsia" w:ascii="仿宋" w:hAnsi="仿宋" w:eastAsia="仿宋"/>
                <w:sz w:val="24"/>
                <w:lang w:eastAsia="zh-CN"/>
              </w:rPr>
              <w:t>□</w:t>
            </w:r>
            <w:r>
              <w:rPr>
                <w:rFonts w:ascii="仿宋" w:hAnsi="仿宋" w:eastAsia="仿宋"/>
                <w:sz w:val="24"/>
              </w:rPr>
              <w:t xml:space="preserve"> </w:t>
            </w:r>
            <w:r>
              <w:rPr>
                <w:rFonts w:hint="eastAsia" w:ascii="仿宋" w:hAnsi="仿宋" w:eastAsia="仿宋" w:cs="Calibri"/>
                <w:iCs/>
                <w:color w:val="000000"/>
                <w:sz w:val="24"/>
                <w:szCs w:val="24"/>
              </w:rPr>
              <w:t xml:space="preserve">收入主導 </w:t>
            </w:r>
            <w:r>
              <w:rPr>
                <w:rFonts w:ascii="仿宋" w:hAnsi="仿宋" w:eastAsia="仿宋" w:cs="Calibri"/>
                <w:iCs/>
                <w:color w:val="000000"/>
                <w:sz w:val="24"/>
                <w:szCs w:val="24"/>
              </w:rPr>
              <w:t xml:space="preserve">/ </w:t>
            </w:r>
            <w:r>
              <w:rPr>
                <w:rFonts w:ascii="仿宋" w:hAnsi="仿宋" w:eastAsia="仿宋"/>
                <w:sz w:val="24"/>
              </w:rPr>
              <w:t xml:space="preserve">□ </w:t>
            </w:r>
            <w:r>
              <w:rPr>
                <w:rFonts w:hint="eastAsia" w:ascii="仿宋" w:hAnsi="仿宋" w:eastAsia="仿宋" w:cs="Calibri"/>
                <w:iCs/>
                <w:color w:val="000000"/>
                <w:sz w:val="24"/>
                <w:szCs w:val="24"/>
              </w:rPr>
              <w:t>收入及增長</w:t>
            </w:r>
            <w:r>
              <w:rPr>
                <w:rFonts w:ascii="仿宋" w:hAnsi="仿宋" w:eastAsia="仿宋" w:cs="Calibri"/>
                <w:iCs/>
                <w:color w:val="000000"/>
                <w:sz w:val="24"/>
                <w:szCs w:val="24"/>
              </w:rPr>
              <w:t xml:space="preserve"> </w:t>
            </w:r>
          </w:p>
          <w:p w14:paraId="072EEA72">
            <w:pPr>
              <w:spacing w:after="0" w:line="330" w:lineRule="atLeast"/>
              <w:ind w:firstLine="127"/>
              <w:rPr>
                <w:rFonts w:ascii="仿宋" w:hAnsi="仿宋" w:eastAsia="仿宋" w:cs="Calibri"/>
                <w:color w:val="000000"/>
                <w:sz w:val="24"/>
                <w:szCs w:val="24"/>
              </w:rPr>
            </w:pPr>
            <w:r>
              <w:rPr>
                <w:rFonts w:ascii="仿宋" w:hAnsi="仿宋" w:eastAsia="仿宋"/>
                <w:sz w:val="24"/>
              </w:rPr>
              <w:t xml:space="preserve">□ </w:t>
            </w:r>
            <w:r>
              <w:rPr>
                <w:rFonts w:hint="eastAsia" w:ascii="仿宋" w:hAnsi="仿宋" w:eastAsia="仿宋" w:cs="Calibri"/>
                <w:iCs/>
                <w:color w:val="000000"/>
                <w:sz w:val="24"/>
                <w:szCs w:val="24"/>
              </w:rPr>
              <w:t xml:space="preserve">增長主導 </w:t>
            </w:r>
            <w:r>
              <w:rPr>
                <w:rFonts w:ascii="仿宋" w:hAnsi="仿宋" w:eastAsia="仿宋" w:cs="Calibri"/>
                <w:iCs/>
                <w:color w:val="000000"/>
                <w:sz w:val="24"/>
                <w:szCs w:val="24"/>
              </w:rPr>
              <w:t xml:space="preserve">/ </w:t>
            </w:r>
            <w:r>
              <w:rPr>
                <w:rFonts w:ascii="仿宋" w:hAnsi="仿宋" w:eastAsia="仿宋"/>
                <w:sz w:val="24"/>
              </w:rPr>
              <w:t xml:space="preserve">□ </w:t>
            </w:r>
            <w:r>
              <w:rPr>
                <w:rFonts w:hint="eastAsia" w:ascii="仿宋" w:hAnsi="仿宋" w:eastAsia="仿宋" w:cs="Calibri"/>
                <w:iCs/>
                <w:color w:val="000000"/>
                <w:sz w:val="24"/>
                <w:szCs w:val="24"/>
              </w:rPr>
              <w:t>積極增長</w:t>
            </w:r>
          </w:p>
        </w:tc>
      </w:tr>
      <w:tr w14:paraId="3E8B700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3C488A03">
            <w:pPr>
              <w:spacing w:after="0" w:line="330" w:lineRule="atLeast"/>
              <w:rPr>
                <w:rFonts w:ascii="仿宋" w:hAnsi="仿宋" w:eastAsia="仿宋" w:cs="Calibri"/>
                <w:b w:val="0"/>
                <w:bCs w:val="0"/>
                <w:iCs/>
                <w:color w:val="000000"/>
                <w:sz w:val="24"/>
                <w:szCs w:val="24"/>
              </w:rPr>
            </w:pPr>
            <w:r>
              <w:rPr>
                <w:rFonts w:hint="eastAsia" w:ascii="仿宋" w:hAnsi="仿宋" w:eastAsia="仿宋" w:cs="Calibri"/>
                <w:b/>
                <w:bCs/>
                <w:color w:val="000000" w:themeColor="text1"/>
                <w:sz w:val="24"/>
                <w:szCs w:val="24"/>
                <w14:textFill>
                  <w14:solidFill>
                    <w14:schemeClr w14:val="tx1"/>
                  </w14:solidFill>
                </w14:textFill>
              </w:rPr>
              <w:t>基金風險評估結果</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5E35D9F">
            <w:pPr>
              <w:pStyle w:val="60"/>
              <w:numPr>
                <w:ilvl w:val="0"/>
                <w:numId w:val="0"/>
              </w:numPr>
              <w:spacing w:after="0" w:line="330" w:lineRule="atLeast"/>
              <w:ind w:left="120" w:leftChars="0"/>
              <w:rPr>
                <w:rFonts w:ascii="仿宋" w:hAnsi="仿宋" w:eastAsia="仿宋" w:cs="Calibri"/>
                <w:iCs/>
                <w:color w:val="000000"/>
                <w:sz w:val="24"/>
                <w:szCs w:val="24"/>
              </w:rPr>
            </w:pPr>
            <w:r>
              <w:rPr>
                <w:rFonts w:ascii="仿宋" w:hAnsi="仿宋" w:eastAsia="仿宋"/>
                <w:sz w:val="24"/>
              </w:rPr>
              <w:t xml:space="preserve">□ </w:t>
            </w:r>
            <w:r>
              <w:rPr>
                <w:rFonts w:hint="eastAsia" w:ascii="仿宋" w:hAnsi="仿宋" w:eastAsia="仿宋" w:cs="Calibri"/>
                <w:color w:val="000000"/>
                <w:sz w:val="24"/>
                <w:szCs w:val="24"/>
              </w:rPr>
              <w:t>低風險</w:t>
            </w:r>
            <w:r>
              <w:rPr>
                <w:rFonts w:ascii="仿宋" w:hAnsi="仿宋" w:eastAsia="仿宋" w:cs="Calibri"/>
                <w:color w:val="000000"/>
                <w:sz w:val="24"/>
                <w:szCs w:val="24"/>
              </w:rPr>
              <w:t xml:space="preserve"> / </w:t>
            </w:r>
            <w:r>
              <w:rPr>
                <w:rFonts w:ascii="仿宋" w:hAnsi="仿宋" w:eastAsia="仿宋"/>
                <w:sz w:val="24"/>
              </w:rPr>
              <w:t xml:space="preserve">□ </w:t>
            </w:r>
            <w:r>
              <w:rPr>
                <w:rFonts w:hint="eastAsia" w:ascii="仿宋" w:hAnsi="仿宋" w:eastAsia="仿宋" w:cs="Calibri"/>
                <w:color w:val="000000"/>
                <w:sz w:val="24"/>
                <w:szCs w:val="24"/>
              </w:rPr>
              <w:t>中低風險</w:t>
            </w:r>
            <w:r>
              <w:rPr>
                <w:rFonts w:ascii="仿宋" w:hAnsi="仿宋" w:eastAsia="仿宋" w:cs="Calibri"/>
                <w:color w:val="000000"/>
                <w:sz w:val="24"/>
                <w:szCs w:val="24"/>
              </w:rPr>
              <w:t xml:space="preserve">/ </w:t>
            </w:r>
            <w:r>
              <w:rPr>
                <w:rFonts w:ascii="仿宋" w:hAnsi="仿宋" w:eastAsia="仿宋"/>
                <w:sz w:val="24"/>
              </w:rPr>
              <w:t xml:space="preserve">□ </w:t>
            </w:r>
            <w:r>
              <w:rPr>
                <w:rFonts w:hint="eastAsia" w:ascii="仿宋" w:hAnsi="仿宋" w:eastAsia="仿宋" w:cs="Calibri"/>
                <w:color w:val="000000"/>
                <w:sz w:val="24"/>
                <w:szCs w:val="24"/>
              </w:rPr>
              <w:t>中風險</w:t>
            </w:r>
            <w:r>
              <w:rPr>
                <w:rFonts w:ascii="仿宋" w:hAnsi="仿宋" w:eastAsia="仿宋" w:cs="Calibri"/>
                <w:color w:val="000000"/>
                <w:sz w:val="24"/>
                <w:szCs w:val="24"/>
              </w:rPr>
              <w:t xml:space="preserve">/ </w:t>
            </w:r>
            <w:r>
              <w:rPr>
                <w:rFonts w:ascii="仿宋" w:hAnsi="仿宋" w:eastAsia="仿宋"/>
                <w:sz w:val="24"/>
              </w:rPr>
              <w:t xml:space="preserve">□ </w:t>
            </w:r>
            <w:r>
              <w:rPr>
                <w:rFonts w:hint="eastAsia" w:ascii="仿宋" w:hAnsi="仿宋" w:eastAsia="仿宋" w:cs="Calibri"/>
                <w:color w:val="000000"/>
                <w:sz w:val="24"/>
                <w:szCs w:val="24"/>
              </w:rPr>
              <w:t>中高風險</w:t>
            </w:r>
            <w:r>
              <w:rPr>
                <w:rFonts w:ascii="仿宋" w:hAnsi="仿宋" w:eastAsia="仿宋" w:cs="Calibri"/>
                <w:color w:val="000000"/>
                <w:sz w:val="24"/>
                <w:szCs w:val="24"/>
              </w:rPr>
              <w:t xml:space="preserve">/ </w:t>
            </w:r>
            <w:r>
              <w:rPr>
                <w:rFonts w:ascii="仿宋" w:hAnsi="仿宋" w:eastAsia="仿宋"/>
                <w:sz w:val="24"/>
              </w:rPr>
              <w:t xml:space="preserve">□ </w:t>
            </w:r>
            <w:r>
              <w:rPr>
                <w:rFonts w:hint="eastAsia" w:ascii="仿宋" w:hAnsi="仿宋" w:eastAsia="仿宋" w:cs="Calibri"/>
                <w:color w:val="000000"/>
                <w:sz w:val="24"/>
                <w:szCs w:val="24"/>
              </w:rPr>
              <w:t>高風險</w:t>
            </w:r>
          </w:p>
        </w:tc>
      </w:tr>
      <w:tr w14:paraId="5A414AC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0654CF00">
            <w:pPr>
              <w:spacing w:after="0" w:line="330" w:lineRule="atLeast"/>
              <w:rPr>
                <w:rFonts w:ascii="仿宋" w:hAnsi="仿宋" w:eastAsia="仿宋" w:cs="Calibri"/>
                <w:b w:val="0"/>
                <w:bCs w:val="0"/>
                <w:color w:val="000000" w:themeColor="text1"/>
                <w:sz w:val="24"/>
                <w:szCs w:val="24"/>
                <w14:textFill>
                  <w14:solidFill>
                    <w14:schemeClr w14:val="tx1"/>
                  </w14:solidFill>
                </w14:textFill>
              </w:rPr>
            </w:pPr>
            <w:r>
              <w:rPr>
                <w:rFonts w:hint="eastAsia" w:ascii="仿宋" w:hAnsi="仿宋" w:eastAsia="仿宋" w:cs="PMingLiU"/>
                <w:b/>
                <w:bCs w:val="0"/>
                <w:iCs/>
                <w:color w:val="000000"/>
                <w:sz w:val="24"/>
                <w:szCs w:val="24"/>
              </w:rPr>
              <w:t>報告評估日期</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7E95F768">
            <w:pPr>
              <w:spacing w:after="0" w:line="330" w:lineRule="atLeast"/>
              <w:rPr>
                <w:rFonts w:ascii="仿宋" w:hAnsi="仿宋" w:eastAsia="仿宋" w:cs="Calibri"/>
                <w:color w:val="000000"/>
                <w:sz w:val="24"/>
                <w:szCs w:val="24"/>
                <w:lang w:eastAsia="zh-CN"/>
              </w:rPr>
            </w:pPr>
          </w:p>
        </w:tc>
      </w:tr>
    </w:tbl>
    <w:p w14:paraId="15DE0FF5">
      <w:pPr>
        <w:shd w:val="clear" w:color="auto" w:fill="FFFFFF"/>
        <w:spacing w:before="0" w:after="0" w:line="240" w:lineRule="auto"/>
        <w:jc w:val="center"/>
        <w:rPr>
          <w:rFonts w:ascii="仿宋" w:hAnsi="仿宋" w:eastAsia="仿宋" w:cs="Times New Roman"/>
          <w:b/>
          <w:color w:val="000000"/>
          <w:sz w:val="24"/>
          <w:szCs w:val="24"/>
          <w:u w:val="single"/>
        </w:rPr>
      </w:pPr>
    </w:p>
    <w:p w14:paraId="0316D9D0">
      <w:pPr>
        <w:pStyle w:val="60"/>
        <w:numPr>
          <w:ilvl w:val="0"/>
          <w:numId w:val="1"/>
        </w:numPr>
        <w:shd w:val="clear" w:color="auto" w:fill="FFFFFF"/>
        <w:spacing w:before="0" w:after="0" w:line="240" w:lineRule="auto"/>
        <w:ind w:left="270" w:leftChars="0" w:right="-142" w:rightChars="-71"/>
        <w:rPr>
          <w:rFonts w:ascii="仿宋" w:hAnsi="仿宋" w:eastAsia="仿宋" w:cs="PMingLiU"/>
          <w:b/>
          <w:bCs/>
          <w:iCs/>
          <w:color w:val="000000"/>
          <w:sz w:val="24"/>
          <w:szCs w:val="24"/>
          <w:u w:val="single"/>
        </w:rPr>
      </w:pPr>
      <w:r>
        <w:rPr>
          <w:rFonts w:hint="eastAsia" w:ascii="仿宋" w:hAnsi="仿宋" w:eastAsia="仿宋" w:cs="Times New Roman"/>
          <w:b/>
          <w:color w:val="000000"/>
          <w:sz w:val="24"/>
          <w:szCs w:val="24"/>
          <w:u w:val="single"/>
        </w:rPr>
        <w:t>基金背景資料</w:t>
      </w:r>
    </w:p>
    <w:tbl>
      <w:tblPr>
        <w:tblStyle w:val="7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37"/>
        <w:gridCol w:w="7724"/>
      </w:tblGrid>
      <w:tr w14:paraId="716D64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2" w:type="dxa"/>
            <w:tcBorders>
              <w:top w:val="single" w:color="auto" w:sz="4" w:space="0"/>
              <w:left w:val="single" w:color="auto" w:sz="4" w:space="0"/>
              <w:bottom w:val="nil"/>
              <w:right w:val="nil"/>
              <w:insideH w:val="nil"/>
              <w:insideV w:val="nil"/>
            </w:tcBorders>
            <w:shd w:val="clear" w:color="auto" w:fill="D0CECE" w:themeFill="background2" w:themeFillShade="E6"/>
            <w:vAlign w:val="top"/>
          </w:tcPr>
          <w:p w14:paraId="1EAEAFB2">
            <w:pPr>
              <w:spacing w:after="0" w:line="330" w:lineRule="atLeast"/>
              <w:jc w:val="center"/>
              <w:rPr>
                <w:rFonts w:ascii="仿宋" w:hAnsi="仿宋" w:eastAsia="仿宋" w:cs="PMingLiU"/>
                <w:b w:val="0"/>
                <w:bCs w:val="0"/>
                <w:i/>
                <w:iCs w:val="0"/>
                <w:color w:val="000000"/>
                <w:sz w:val="24"/>
                <w:szCs w:val="24"/>
                <w:u w:val="single"/>
              </w:rPr>
            </w:pPr>
            <w:r>
              <w:rPr>
                <w:rFonts w:hint="eastAsia" w:ascii="仿宋" w:hAnsi="仿宋" w:eastAsia="仿宋" w:cs="PMingLiU"/>
                <w:b/>
                <w:bCs/>
                <w:i w:val="0"/>
                <w:iCs/>
                <w:color w:val="000000"/>
                <w:sz w:val="24"/>
                <w:szCs w:val="24"/>
                <w:u w:val="single"/>
              </w:rPr>
              <w:t>項目</w:t>
            </w:r>
          </w:p>
        </w:tc>
        <w:tc>
          <w:tcPr>
            <w:tcW w:w="4572" w:type="dxa"/>
            <w:tcBorders>
              <w:top w:val="single" w:color="auto" w:sz="4" w:space="0"/>
              <w:left w:val="single" w:color="auto" w:sz="4" w:space="0"/>
              <w:bottom w:val="single" w:color="auto" w:sz="4" w:space="0"/>
              <w:right w:val="single" w:color="auto" w:sz="4" w:space="0"/>
              <w:insideV w:val="nil"/>
            </w:tcBorders>
            <w:shd w:val="clear" w:color="auto" w:fill="D0CECE" w:themeFill="background2" w:themeFillShade="E6"/>
            <w:vAlign w:val="top"/>
          </w:tcPr>
          <w:p>
            <w:r>
              <w:t>大成国际资产管理有限公司</w:t>
            </w:r>
          </w:p>
        </w:tc>
      </w:tr>
      <w:tr w14:paraId="0777DF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2" w:type="dxa"/>
            <w:tcBorders>
              <w:top w:val="single" w:color="auto" w:sz="4" w:space="0"/>
              <w:left w:val="single" w:color="auto" w:sz="4" w:space="0"/>
              <w:bottom w:val="nil"/>
              <w:right w:val="single" w:color="auto" w:sz="4" w:space="0"/>
              <w:insideH w:val="nil"/>
            </w:tcBorders>
            <w:shd w:val="clear" w:color="auto" w:fill="D0CECE" w:themeFill="background2" w:themeFillShade="E6"/>
            <w:vAlign w:val="top"/>
          </w:tcPr>
          <w:p w14:paraId="0CA4DC56">
            <w:pPr>
              <w:spacing w:after="0" w:line="330" w:lineRule="atLeast"/>
              <w:jc w:val="right"/>
              <w:rPr>
                <w:rFonts w:ascii="仿宋" w:hAnsi="仿宋" w:eastAsia="仿宋"/>
                <w:b/>
                <w:i/>
                <w:iCs w:val="0"/>
                <w:color w:val="000000"/>
                <w:sz w:val="24"/>
                <w:szCs w:val="24"/>
              </w:rPr>
            </w:pPr>
            <w:r>
              <w:rPr>
                <w:rFonts w:hint="eastAsia" w:ascii="仿宋" w:hAnsi="仿宋" w:eastAsia="仿宋"/>
                <w:b/>
                <w:i w:val="0"/>
                <w:iCs/>
                <w:color w:val="000000"/>
                <w:sz w:val="24"/>
                <w:szCs w:val="24"/>
              </w:rPr>
              <w:t>基金管理公司名稱</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r>
              <w:t>本基金经理人為大成國際資產管理有限公司，於香港註冊成立，獲證監會發牌從事第1類、第4類及第9類受規管活動（中央編號ATE045）。公司為中國深圳大成基金管理有限公司的全資附屬公司。其管理團隊具備豐富的金融與行政管理經驗，成員包括擁有哈佛大學及劍橋大學等國際學歷背景的資深業界人士。</w:t>
            </w:r>
          </w:p>
        </w:tc>
      </w:tr>
      <w:tr w14:paraId="23FAC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2" w:type="dxa"/>
            <w:tcBorders>
              <w:top w:val="single" w:color="auto" w:sz="4" w:space="0"/>
              <w:left w:val="single" w:color="auto" w:sz="4" w:space="0"/>
              <w:bottom w:val="nil"/>
              <w:right w:val="single" w:color="auto" w:sz="4" w:space="0"/>
              <w:insideH w:val="nil"/>
            </w:tcBorders>
            <w:shd w:val="clear" w:color="auto" w:fill="D0CECE" w:themeFill="background2" w:themeFillShade="E6"/>
            <w:vAlign w:val="top"/>
          </w:tcPr>
          <w:p w14:paraId="1CD1E470">
            <w:pPr>
              <w:spacing w:after="0" w:line="330" w:lineRule="atLeast"/>
              <w:jc w:val="right"/>
              <w:rPr>
                <w:rFonts w:ascii="仿宋" w:hAnsi="仿宋" w:eastAsia="仿宋"/>
                <w:b/>
                <w:i/>
                <w:iCs w:val="0"/>
                <w:color w:val="000000"/>
                <w:sz w:val="24"/>
                <w:szCs w:val="24"/>
              </w:rPr>
            </w:pPr>
            <w:r>
              <w:rPr>
                <w:rFonts w:hint="eastAsia" w:ascii="仿宋" w:hAnsi="仿宋" w:eastAsia="仿宋" w:cs="PMingLiU"/>
                <w:b/>
                <w:i w:val="0"/>
                <w:iCs/>
                <w:color w:val="000000"/>
                <w:sz w:val="24"/>
                <w:szCs w:val="24"/>
              </w:rPr>
              <w:t>基金管理公司背景資料  (包括經驗及聲譽)</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r>
              <w:t>大成國際資產管理有限公司</w:t>
            </w:r>
          </w:p>
        </w:tc>
      </w:tr>
      <w:tr w14:paraId="7CDE6B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2" w:type="dxa"/>
            <w:tcBorders>
              <w:top w:val="single" w:color="auto" w:sz="4" w:space="0"/>
              <w:left w:val="single" w:color="auto" w:sz="4" w:space="0"/>
              <w:bottom w:val="nil"/>
              <w:right w:val="single" w:color="auto" w:sz="4" w:space="0"/>
              <w:insideH w:val="nil"/>
            </w:tcBorders>
            <w:shd w:val="clear" w:color="auto" w:fill="D0CECE" w:themeFill="background2" w:themeFillShade="E6"/>
            <w:vAlign w:val="top"/>
          </w:tcPr>
          <w:p w14:paraId="673DED44">
            <w:pPr>
              <w:spacing w:after="0" w:line="330" w:lineRule="atLeast"/>
              <w:jc w:val="right"/>
              <w:rPr>
                <w:rFonts w:ascii="仿宋" w:hAnsi="仿宋" w:eastAsia="仿宋"/>
                <w:b/>
                <w:i/>
                <w:iCs w:val="0"/>
                <w:color w:val="000000"/>
                <w:sz w:val="24"/>
                <w:szCs w:val="24"/>
              </w:rPr>
            </w:pPr>
            <w:r>
              <w:rPr>
                <w:rFonts w:hint="eastAsia" w:ascii="仿宋" w:hAnsi="仿宋" w:eastAsia="仿宋" w:cs="PMingLiU"/>
                <w:b/>
                <w:i w:val="0"/>
                <w:iCs/>
                <w:color w:val="000000"/>
                <w:sz w:val="24"/>
                <w:szCs w:val="24"/>
              </w:rPr>
              <w:t>發行人名稱</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r>
              <w:t>发行人大成国际资产管理有限公司在香港注册成立，获证监会发牌从事第1类、第4类及第9类受规管活动，为中国深圳大成基金管理有限公司的全资附属公司。资料未载明其具体成立年限及市场声誉评价。</w:t>
            </w:r>
          </w:p>
        </w:tc>
      </w:tr>
      <w:tr w14:paraId="769BE5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3" w:hRule="atLeast"/>
        </w:trPr>
        <w:tc>
          <w:tcPr>
            <w:tcW w:w="4572" w:type="dxa"/>
            <w:tcBorders>
              <w:top w:val="single" w:color="auto" w:sz="4" w:space="0"/>
              <w:left w:val="single" w:color="auto" w:sz="4" w:space="0"/>
              <w:bottom w:val="nil"/>
              <w:right w:val="single" w:color="auto" w:sz="4" w:space="0"/>
              <w:insideH w:val="nil"/>
            </w:tcBorders>
            <w:shd w:val="clear" w:color="auto" w:fill="D0CECE" w:themeFill="background2" w:themeFillShade="E6"/>
            <w:vAlign w:val="top"/>
          </w:tcPr>
          <w:p w14:paraId="7BD9163E">
            <w:pPr>
              <w:spacing w:after="0" w:line="330" w:lineRule="atLeast"/>
              <w:jc w:val="right"/>
              <w:rPr>
                <w:rFonts w:ascii="仿宋" w:hAnsi="仿宋" w:eastAsia="仿宋" w:cs="PMingLiU"/>
                <w:b/>
                <w:i/>
                <w:iCs w:val="0"/>
                <w:color w:val="000000"/>
                <w:sz w:val="24"/>
                <w:szCs w:val="24"/>
              </w:rPr>
            </w:pPr>
            <w:r>
              <w:rPr>
                <w:rFonts w:hint="eastAsia" w:ascii="仿宋" w:hAnsi="仿宋" w:eastAsia="仿宋" w:cs="PMingLiU"/>
                <w:b/>
                <w:i w:val="0"/>
                <w:iCs/>
                <w:color w:val="000000"/>
                <w:sz w:val="24"/>
                <w:szCs w:val="24"/>
              </w:rPr>
              <w:t>發行人背景資料        (包括經驗及聲譽)</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14:paraId="506610B6">
            <w:pPr>
              <w:spacing w:after="0" w:line="330" w:lineRule="atLeast"/>
              <w:rPr>
                <w:rFonts w:ascii="仿宋" w:hAnsi="仿宋" w:eastAsia="仿宋" w:cs="PMingLiU"/>
                <w:b/>
                <w:color w:val="000000"/>
                <w:sz w:val="24"/>
                <w:szCs w:val="24"/>
                <w:lang w:eastAsia="zh-CN"/>
              </w:rPr>
            </w:pPr>
          </w:p>
        </w:tc>
      </w:tr>
      <w:tr w14:paraId="03AD58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2" w:type="dxa"/>
            <w:tcBorders>
              <w:top w:val="single" w:color="auto" w:sz="4" w:space="0"/>
              <w:left w:val="single" w:color="auto" w:sz="4" w:space="0"/>
              <w:bottom w:val="nil"/>
              <w:right w:val="single" w:color="auto" w:sz="4" w:space="0"/>
              <w:insideH w:val="nil"/>
            </w:tcBorders>
            <w:shd w:val="clear" w:color="auto" w:fill="D0CECE" w:themeFill="background2" w:themeFillShade="E6"/>
            <w:vAlign w:val="top"/>
          </w:tcPr>
          <w:p w14:paraId="55D02D01">
            <w:pPr>
              <w:spacing w:after="0" w:line="330" w:lineRule="atLeast"/>
              <w:jc w:val="right"/>
              <w:rPr>
                <w:rFonts w:ascii="仿宋" w:hAnsi="仿宋" w:eastAsia="仿宋"/>
                <w:b/>
                <w:i/>
                <w:iCs w:val="0"/>
                <w:color w:val="000000"/>
                <w:sz w:val="24"/>
                <w:szCs w:val="24"/>
              </w:rPr>
            </w:pPr>
            <w:r>
              <w:rPr>
                <w:rFonts w:hint="eastAsia" w:ascii="仿宋" w:hAnsi="仿宋" w:eastAsia="仿宋" w:cs="PMingLiU"/>
                <w:b/>
                <w:i w:val="0"/>
                <w:iCs/>
                <w:color w:val="000000"/>
                <w:sz w:val="24"/>
                <w:szCs w:val="24"/>
              </w:rPr>
              <w:t>保管人 / 受託人</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14:paraId="2E5B67E4">
            <w:pPr>
              <w:spacing w:after="0" w:line="330" w:lineRule="atLeast"/>
              <w:rPr>
                <w:rFonts w:ascii="仿宋" w:hAnsi="仿宋" w:eastAsia="仿宋" w:cs="PMingLiU"/>
                <w:color w:val="000000"/>
                <w:sz w:val="24"/>
                <w:szCs w:val="24"/>
              </w:rPr>
            </w:pPr>
          </w:p>
        </w:tc>
      </w:tr>
      <w:tr w14:paraId="2BD24E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insideH w:val="nil"/>
            </w:tcBorders>
            <w:shd w:val="clear" w:color="auto" w:fill="D0CECE" w:themeFill="background2" w:themeFillShade="E6"/>
            <w:vAlign w:val="top"/>
          </w:tcPr>
          <w:p w14:paraId="2C1E0D46">
            <w:pPr>
              <w:spacing w:after="0" w:line="330" w:lineRule="atLeast"/>
              <w:jc w:val="right"/>
              <w:rPr>
                <w:rFonts w:ascii="仿宋" w:hAnsi="仿宋" w:eastAsia="仿宋" w:cs="PMingLiU"/>
                <w:b/>
                <w:i/>
                <w:iCs w:val="0"/>
                <w:color w:val="000000"/>
                <w:sz w:val="24"/>
                <w:szCs w:val="24"/>
              </w:rPr>
            </w:pPr>
            <w:r>
              <w:rPr>
                <w:rFonts w:hint="eastAsia" w:ascii="仿宋" w:hAnsi="仿宋" w:eastAsia="仿宋" w:cs="PMingLiU"/>
                <w:b/>
                <w:i w:val="0"/>
                <w:iCs/>
                <w:color w:val="000000"/>
                <w:sz w:val="24"/>
                <w:szCs w:val="24"/>
              </w:rPr>
              <w:t>保管人 / 受託人背景資料(包括經驗及聲譽)</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14:paraId="33F07C03">
            <w:pPr>
              <w:spacing w:after="0" w:line="330" w:lineRule="atLeast"/>
              <w:rPr>
                <w:rFonts w:ascii="仿宋" w:hAnsi="仿宋" w:eastAsia="仿宋" w:cs="PMingLiU"/>
                <w:i/>
                <w:color w:val="000000"/>
                <w:sz w:val="24"/>
                <w:szCs w:val="24"/>
              </w:rPr>
            </w:pPr>
          </w:p>
        </w:tc>
      </w:tr>
    </w:tbl>
    <w:p w14:paraId="3E1DC5FB">
      <w:pPr>
        <w:pStyle w:val="60"/>
        <w:shd w:val="clear" w:color="auto" w:fill="FFFFFF"/>
        <w:spacing w:before="0" w:after="0" w:line="240" w:lineRule="auto"/>
        <w:ind w:left="270" w:leftChars="0" w:right="-142" w:rightChars="-71"/>
        <w:rPr>
          <w:rFonts w:ascii="仿宋" w:hAnsi="仿宋" w:eastAsia="仿宋" w:cs="Times New Roman"/>
          <w:b/>
          <w:color w:val="000000"/>
          <w:sz w:val="24"/>
          <w:szCs w:val="24"/>
          <w:u w:val="single"/>
        </w:rPr>
      </w:pPr>
    </w:p>
    <w:p w14:paraId="174100D5">
      <w:pPr>
        <w:pStyle w:val="60"/>
        <w:numPr>
          <w:ilvl w:val="0"/>
          <w:numId w:val="1"/>
        </w:numPr>
        <w:shd w:val="clear" w:color="auto" w:fill="FFFFFF"/>
        <w:spacing w:before="0" w:after="0" w:line="240" w:lineRule="auto"/>
        <w:ind w:left="270" w:leftChars="0" w:right="-142" w:rightChars="-71"/>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基金產品描述</w:t>
      </w:r>
    </w:p>
    <w:tbl>
      <w:tblPr>
        <w:tblStyle w:val="79"/>
        <w:tblW w:w="5000" w:type="pct"/>
        <w:tblInd w:w="0" w:type="dxa"/>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fixed"/>
        <w:tblCellMar>
          <w:top w:w="0" w:type="dxa"/>
          <w:left w:w="108" w:type="dxa"/>
          <w:bottom w:w="0" w:type="dxa"/>
          <w:right w:w="108" w:type="dxa"/>
        </w:tblCellMar>
      </w:tblPr>
      <w:tblGrid>
        <w:gridCol w:w="2755"/>
        <w:gridCol w:w="8006"/>
      </w:tblGrid>
      <w:tr w14:paraId="410B0041">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nil"/>
              <w:insideV w:val="nil"/>
            </w:tcBorders>
            <w:shd w:val="clear" w:color="auto" w:fill="D0CECE" w:themeFill="background2" w:themeFillShade="E6"/>
            <w:vAlign w:val="top"/>
          </w:tcPr>
          <w:p w14:paraId="33C9AC45">
            <w:pPr>
              <w:spacing w:after="0" w:line="330" w:lineRule="atLeast"/>
              <w:jc w:val="center"/>
              <w:rPr>
                <w:rFonts w:ascii="仿宋" w:hAnsi="仿宋" w:eastAsia="仿宋" w:cs="PMingLiU"/>
                <w:b w:val="0"/>
                <w:bCs w:val="0"/>
                <w:iCs/>
                <w:color w:val="000000"/>
                <w:sz w:val="24"/>
                <w:szCs w:val="24"/>
                <w:u w:val="single"/>
              </w:rPr>
            </w:pPr>
            <w:r>
              <w:rPr>
                <w:rFonts w:hint="eastAsia" w:ascii="仿宋" w:hAnsi="仿宋" w:eastAsia="仿宋" w:cs="PMingLiU"/>
                <w:b/>
                <w:bCs/>
                <w:iCs/>
                <w:color w:val="000000"/>
                <w:sz w:val="24"/>
                <w:szCs w:val="24"/>
                <w:u w:val="single"/>
              </w:rPr>
              <w:t>項目</w:t>
            </w:r>
          </w:p>
        </w:tc>
        <w:tc>
          <w:tcPr>
            <w:tcW w:w="4572" w:type="dxa"/>
            <w:tcBorders>
              <w:top w:val="single" w:color="auto" w:sz="4" w:space="0"/>
              <w:left w:val="single" w:color="auto" w:sz="4" w:space="0"/>
              <w:bottom w:val="single" w:color="auto" w:sz="4" w:space="0"/>
              <w:right w:val="single" w:color="auto" w:sz="4" w:space="0"/>
              <w:insideV w:val="nil"/>
            </w:tcBorders>
            <w:shd w:val="clear" w:color="auto" w:fill="D0CECE" w:themeFill="background2" w:themeFillShade="E6"/>
            <w:vAlign w:val="top"/>
          </w:tcPr>
          <w:p>
            <w:r>
              <w:t>大成貨幣市場基金為大成投資信託基金旗下的子基金，根據香港法律成立，獲證監會認可。基金由大成國際資產管理有限公司擔任經理人，中銀國際英國保誠信託有限公司擔任受託人，基準貨幣為美元。基金尋求達致與人民幣、港元及美元貨幣市場利率組合相符的美元回報，主要考慮資本安全性及流動性，透過投資於短期存款及優質貨幣市場工具實現目標。</w:t>
            </w:r>
          </w:p>
        </w:tc>
      </w:tr>
      <w:tr w14:paraId="26DED75B">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5E15822C">
            <w:pPr>
              <w:spacing w:after="0" w:line="330" w:lineRule="atLeast"/>
              <w:rPr>
                <w:rFonts w:ascii="仿宋" w:hAnsi="仿宋" w:eastAsia="仿宋"/>
                <w:b w:val="0"/>
                <w:bCs w:val="0"/>
                <w:color w:val="000000"/>
                <w:sz w:val="24"/>
                <w:szCs w:val="24"/>
              </w:rPr>
            </w:pPr>
            <w:r>
              <w:rPr>
                <w:rFonts w:hint="eastAsia" w:ascii="仿宋" w:hAnsi="仿宋" w:eastAsia="仿宋" w:cs="Arial"/>
                <w:b/>
                <w:bCs/>
                <w:sz w:val="24"/>
                <w:szCs w:val="24"/>
              </w:rPr>
              <w:t>基金簡要說明</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r>
              <w:t>本基金旨在达致与人民币、港元及美元货币市场利率组合相符的美元回报，主要考虑资本安全性及流动性。投资策略为主要投资（不少于资产净值70%）于政府、半政府、国际机构及金融机构发行的短期存款及优质货币市场工具。</w:t>
            </w:r>
          </w:p>
        </w:tc>
      </w:tr>
      <w:tr w14:paraId="461438C7">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4DF8937A">
            <w:pPr>
              <w:spacing w:after="0" w:line="330" w:lineRule="atLeast"/>
              <w:rPr>
                <w:rFonts w:ascii="仿宋" w:hAnsi="仿宋" w:eastAsia="仿宋"/>
                <w:b w:val="0"/>
                <w:bCs w:val="0"/>
                <w:color w:val="000000"/>
                <w:sz w:val="24"/>
                <w:szCs w:val="24"/>
              </w:rPr>
            </w:pPr>
            <w:r>
              <w:rPr>
                <w:rFonts w:hint="eastAsia" w:ascii="仿宋" w:hAnsi="仿宋" w:eastAsia="仿宋" w:cs="Arial"/>
                <w:b/>
                <w:bCs/>
                <w:sz w:val="24"/>
                <w:szCs w:val="24"/>
              </w:rPr>
              <w:t>基金投資目標</w:t>
            </w:r>
            <w:r>
              <w:rPr>
                <w:rFonts w:ascii="仿宋" w:hAnsi="仿宋" w:eastAsia="仿宋" w:cs="Arial"/>
                <w:b/>
                <w:bCs/>
                <w:sz w:val="24"/>
                <w:szCs w:val="24"/>
              </w:rPr>
              <w:t>及策略</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r>
              <w:t>本基金主要投资于政府、半政府、国际机构及金融机构发行的人民币、港元及美元短期存款与优质货币市场工具，比例不低于资产净值的70%，亦可投资商业票据、存款证、债务证券及回购交易。目前金融衍生工具仅作对冲用途，无意投资结构性产品或证券化证券。</w:t>
            </w:r>
          </w:p>
        </w:tc>
      </w:tr>
      <w:tr w14:paraId="75E4130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10D2F154">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相關投資項目的性質</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r>
              <w:t>基金资产主要投资于短期存款及优质货币市场工具，比例不低于资产净值的70%。在资产类别分布上，据资料显示，银行存款（1个月以下及1-3个月）合计占比46.56%，存款证占比20.08%，现金及现金等价物占比33.29%，投资级美元债券占比0.07%。在地区分布上，除投资于新兴市场的资产不超过资产净值的30%外，债务证券或存款的发行国家并无特定区域分配，投资范围涵盖香港、中国、日本、韩国、澳洲、加拿大、欧盟及美国。</w:t>
            </w:r>
          </w:p>
        </w:tc>
      </w:tr>
      <w:tr w14:paraId="5C9B06D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49BA3D5F">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基金資產類別及地區比例</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14:paraId="08D132EB">
            <w:pPr>
              <w:spacing w:after="0" w:line="330" w:lineRule="atLeast"/>
              <w:rPr>
                <w:rFonts w:ascii="仿宋" w:hAnsi="仿宋" w:eastAsia="仿宋" w:cs="PMingLiU"/>
                <w:color w:val="000000"/>
                <w:sz w:val="24"/>
                <w:szCs w:val="24"/>
              </w:rPr>
            </w:pPr>
          </w:p>
        </w:tc>
      </w:tr>
      <w:tr w14:paraId="5E08BE65">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426212B0">
            <w:pPr>
              <w:spacing w:after="0" w:line="330" w:lineRule="atLeast"/>
              <w:rPr>
                <w:rFonts w:ascii="仿宋" w:hAnsi="仿宋" w:eastAsia="仿宋" w:cs="PMingLiU"/>
                <w:b w:val="0"/>
                <w:bCs/>
                <w:iCs/>
                <w:color w:val="000000"/>
                <w:sz w:val="24"/>
                <w:szCs w:val="24"/>
              </w:rPr>
            </w:pPr>
            <w:r>
              <w:rPr>
                <w:rFonts w:ascii="仿宋" w:hAnsi="仿宋" w:eastAsia="仿宋" w:cs="PMingLiU"/>
                <w:b/>
                <w:bCs w:val="0"/>
                <w:iCs/>
                <w:color w:val="000000"/>
                <w:sz w:val="24"/>
                <w:szCs w:val="24"/>
              </w:rPr>
              <w:t>產品貨幣及規模</w:t>
            </w:r>
          </w:p>
          <w:p w14:paraId="4773C6B3">
            <w:pPr>
              <w:spacing w:after="0" w:line="330" w:lineRule="atLeast"/>
              <w:rPr>
                <w:rFonts w:ascii="仿宋" w:hAnsi="仿宋" w:eastAsia="仿宋"/>
                <w:b w:val="0"/>
                <w:bCs w:val="0"/>
                <w:color w:val="000000"/>
                <w:sz w:val="24"/>
                <w:szCs w:val="24"/>
              </w:rPr>
            </w:pPr>
            <w:r>
              <w:rPr>
                <w:rFonts w:ascii="仿宋" w:hAnsi="仿宋" w:eastAsia="仿宋" w:cs="PMingLiU"/>
                <w:b/>
                <w:bCs w:val="0"/>
                <w:iCs/>
                <w:color w:val="000000"/>
                <w:sz w:val="24"/>
                <w:szCs w:val="24"/>
              </w:rPr>
              <w:t>(非首次公開招股)</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14:paraId="287650DC">
            <w:pPr>
              <w:spacing w:after="0" w:line="330" w:lineRule="atLeast"/>
              <w:rPr>
                <w:rFonts w:ascii="仿宋" w:hAnsi="仿宋" w:eastAsia="宋体" w:cs="PMingLiU"/>
                <w:color w:val="000000"/>
                <w:sz w:val="24"/>
                <w:szCs w:val="24"/>
                <w:lang w:eastAsia="zh-CN"/>
              </w:rPr>
            </w:pPr>
          </w:p>
        </w:tc>
      </w:tr>
      <w:tr w14:paraId="3FBF1CB4">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107D048F">
            <w:pPr>
              <w:spacing w:after="0" w:line="330" w:lineRule="atLeast"/>
              <w:rPr>
                <w:rFonts w:ascii="仿宋" w:hAnsi="仿宋" w:eastAsia="仿宋"/>
                <w:b w:val="0"/>
                <w:bCs w:val="0"/>
                <w:color w:val="000000"/>
                <w:sz w:val="24"/>
                <w:szCs w:val="24"/>
              </w:rPr>
            </w:pPr>
            <w:r>
              <w:rPr>
                <w:rFonts w:ascii="仿宋" w:hAnsi="仿宋" w:eastAsia="仿宋" w:cs="Arial"/>
                <w:b/>
                <w:bCs/>
                <w:sz w:val="24"/>
                <w:szCs w:val="24"/>
              </w:rPr>
              <w:t>ISIN 號碼</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14:paraId="27248997">
            <w:pPr>
              <w:spacing w:after="0" w:line="330" w:lineRule="atLeast"/>
              <w:rPr>
                <w:rFonts w:ascii="仿宋" w:hAnsi="仿宋" w:eastAsia="仿宋" w:cs="PMingLiU"/>
                <w:color w:val="000000"/>
                <w:sz w:val="24"/>
                <w:szCs w:val="24"/>
              </w:rPr>
            </w:pPr>
          </w:p>
        </w:tc>
      </w:tr>
      <w:tr w14:paraId="522C3B62">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21BCFDBC">
            <w:pPr>
              <w:spacing w:after="0" w:line="330" w:lineRule="atLeast"/>
              <w:rPr>
                <w:rFonts w:ascii="仿宋" w:hAnsi="仿宋" w:eastAsia="仿宋"/>
                <w:b w:val="0"/>
                <w:bCs w:val="0"/>
                <w:color w:val="000000"/>
                <w:sz w:val="24"/>
                <w:szCs w:val="24"/>
              </w:rPr>
            </w:pPr>
            <w:r>
              <w:rPr>
                <w:rFonts w:hint="eastAsia" w:ascii="仿宋" w:hAnsi="仿宋" w:eastAsia="仿宋" w:cs="Arial"/>
                <w:b/>
                <w:bCs/>
                <w:sz w:val="24"/>
                <w:szCs w:val="24"/>
              </w:rPr>
              <w:t>派息政策</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14:paraId="6A5ECEB1">
            <w:pPr>
              <w:spacing w:after="0" w:line="330" w:lineRule="atLeast"/>
              <w:rPr>
                <w:rFonts w:ascii="仿宋" w:hAnsi="仿宋" w:eastAsia="仿宋" w:cs="PMingLiU"/>
                <w:color w:val="000000"/>
                <w:sz w:val="24"/>
                <w:szCs w:val="24"/>
                <w:lang w:eastAsia="zh-CN"/>
              </w:rPr>
            </w:pPr>
          </w:p>
        </w:tc>
      </w:tr>
      <w:tr w14:paraId="31E05880">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483" w:hRule="atLeast"/>
        </w:trPr>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05EF0BB3">
            <w:pPr>
              <w:spacing w:after="0" w:line="330" w:lineRule="atLeast"/>
              <w:rPr>
                <w:rFonts w:ascii="仿宋" w:hAnsi="仿宋" w:eastAsia="仿宋" w:cs="PMingLiU"/>
                <w:b w:val="0"/>
                <w:bCs w:val="0"/>
                <w:color w:val="000000"/>
                <w:sz w:val="24"/>
                <w:szCs w:val="24"/>
              </w:rPr>
            </w:pPr>
            <w:r>
              <w:rPr>
                <w:rFonts w:hint="eastAsia" w:ascii="仿宋" w:hAnsi="仿宋" w:eastAsia="仿宋" w:cs="Arial"/>
                <w:b/>
                <w:bCs/>
                <w:sz w:val="24"/>
                <w:szCs w:val="24"/>
              </w:rPr>
              <w:t>財政年度終結日</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14:paraId="3EA0977C">
            <w:pPr>
              <w:spacing w:after="0" w:line="330" w:lineRule="atLeast"/>
              <w:rPr>
                <w:rFonts w:ascii="仿宋" w:hAnsi="仿宋" w:eastAsia="仿宋" w:cs="PMingLiU"/>
                <w:color w:val="000000"/>
                <w:sz w:val="24"/>
                <w:szCs w:val="24"/>
                <w:lang w:eastAsia="zh-CN"/>
              </w:rPr>
            </w:pPr>
          </w:p>
        </w:tc>
      </w:tr>
      <w:tr w14:paraId="16821C93">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06AFE1EC">
            <w:pPr>
              <w:spacing w:after="0" w:line="330" w:lineRule="atLeast"/>
              <w:rPr>
                <w:rFonts w:ascii="仿宋" w:hAnsi="仿宋" w:eastAsia="仿宋"/>
                <w:b w:val="0"/>
                <w:bCs w:val="0"/>
                <w:color w:val="000000"/>
                <w:sz w:val="24"/>
                <w:szCs w:val="24"/>
              </w:rPr>
            </w:pPr>
            <w:r>
              <w:rPr>
                <w:rFonts w:hint="eastAsia" w:ascii="仿宋" w:hAnsi="仿宋" w:eastAsia="仿宋" w:cs="Arial"/>
                <w:b/>
                <w:bCs/>
                <w:sz w:val="24"/>
                <w:szCs w:val="24"/>
              </w:rPr>
              <w:t>成立日期</w:t>
            </w:r>
          </w:p>
        </w:tc>
        <w:tc>
          <w:tcPr>
            <w:tcW w:w="4572" w:type="dxa"/>
            <w:tcBorders>
              <w:top w:val="single" w:color="auto" w:sz="4" w:space="0"/>
              <w:left w:val="single" w:color="auto" w:sz="4" w:space="0"/>
              <w:bottom w:val="single" w:color="auto" w:sz="4" w:space="0"/>
              <w:right w:val="single" w:color="auto" w:sz="4" w:space="0"/>
            </w:tcBorders>
            <w:shd w:val="clear" w:color="auto" w:fill="auto"/>
            <w:vAlign w:val="top"/>
          </w:tcPr>
          <w:p w14:paraId="247ACFC9">
            <w:pPr>
              <w:spacing w:after="0" w:line="330" w:lineRule="atLeast"/>
              <w:rPr>
                <w:rFonts w:ascii="仿宋" w:hAnsi="仿宋" w:eastAsia="仿宋" w:cs="PMingLiU"/>
                <w:color w:val="000000"/>
                <w:sz w:val="24"/>
                <w:szCs w:val="24"/>
                <w:lang w:eastAsia="zh-CN"/>
              </w:rPr>
            </w:pPr>
          </w:p>
        </w:tc>
      </w:tr>
      <w:tr w14:paraId="4E800D88">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188F02FB">
            <w:pPr>
              <w:spacing w:after="0" w:line="330" w:lineRule="atLeast"/>
              <w:rPr>
                <w:rFonts w:ascii="仿宋" w:hAnsi="仿宋" w:eastAsia="仿宋" w:cs="Arial"/>
                <w:b w:val="0"/>
                <w:bCs w:val="0"/>
                <w:sz w:val="24"/>
                <w:szCs w:val="24"/>
              </w:rPr>
            </w:pPr>
            <w:r>
              <w:rPr>
                <w:rFonts w:ascii="仿宋" w:hAnsi="仿宋" w:eastAsia="仿宋" w:cs="Arial"/>
                <w:b/>
                <w:bCs/>
                <w:sz w:val="24"/>
                <w:szCs w:val="24"/>
              </w:rPr>
              <w:t>受限制的投資者</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17206EA">
            <w:pPr>
              <w:spacing w:after="0" w:line="330" w:lineRule="atLeast"/>
              <w:rPr>
                <w:rFonts w:hint="default" w:ascii="仿宋" w:hAnsi="仿宋" w:eastAsia="仿宋" w:cs="Arial"/>
                <w:b/>
                <w:sz w:val="24"/>
                <w:szCs w:val="24"/>
                <w:lang w:val="en-US" w:eastAsia="zh-CN"/>
              </w:rPr>
            </w:pPr>
            <w:r>
              <w:rPr>
                <w:rFonts w:hint="eastAsia" w:ascii="仿宋" w:hAnsi="仿宋" w:eastAsia="仿宋" w:cs="Arial"/>
                <w:b/>
                <w:sz w:val="24"/>
                <w:szCs w:val="24"/>
                <w:lang w:val="en-US" w:eastAsia="zh-CN"/>
              </w:rPr>
              <w:t>详见PPM</w:t>
            </w:r>
          </w:p>
        </w:tc>
      </w:tr>
      <w:tr w14:paraId="26EEF13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21940209">
            <w:pPr>
              <w:spacing w:after="0" w:line="330" w:lineRule="atLeast"/>
              <w:rPr>
                <w:rFonts w:ascii="仿宋" w:hAnsi="仿宋" w:eastAsia="仿宋" w:cs="Arial"/>
                <w:b w:val="0"/>
                <w:bCs w:val="0"/>
                <w:sz w:val="24"/>
                <w:szCs w:val="24"/>
              </w:rPr>
            </w:pPr>
            <w:r>
              <w:rPr>
                <w:rFonts w:ascii="仿宋" w:hAnsi="仿宋" w:eastAsia="仿宋" w:cs="Arial"/>
                <w:b/>
                <w:bCs/>
                <w:sz w:val="24"/>
                <w:szCs w:val="24"/>
              </w:rPr>
              <w:t>受限制的</w:t>
            </w:r>
            <w:r>
              <w:rPr>
                <w:rFonts w:hint="eastAsia" w:ascii="仿宋" w:hAnsi="仿宋" w:eastAsia="仿宋" w:cs="Arial"/>
                <w:b/>
                <w:bCs/>
                <w:sz w:val="24"/>
                <w:szCs w:val="24"/>
              </w:rPr>
              <w:t>地區/國家</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61ECEC3">
            <w:pPr>
              <w:spacing w:after="0" w:line="330" w:lineRule="atLeast"/>
              <w:rPr>
                <w:rFonts w:ascii="仿宋" w:hAnsi="仿宋" w:eastAsia="仿宋" w:cs="Arial"/>
                <w:sz w:val="24"/>
                <w:szCs w:val="24"/>
              </w:rPr>
            </w:pPr>
            <w:r>
              <w:rPr>
                <w:rFonts w:hint="eastAsia" w:ascii="仿宋" w:hAnsi="仿宋" w:eastAsia="仿宋" w:cs="Arial"/>
                <w:b/>
                <w:sz w:val="24"/>
                <w:szCs w:val="24"/>
                <w:lang w:val="en-US" w:eastAsia="zh-CN"/>
              </w:rPr>
              <w:t>详见PPM</w:t>
            </w:r>
          </w:p>
        </w:tc>
      </w:tr>
      <w:tr w14:paraId="26056E1E">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37A8DE24">
            <w:pPr>
              <w:spacing w:after="0" w:line="330" w:lineRule="atLeast"/>
              <w:rPr>
                <w:rFonts w:ascii="仿宋" w:hAnsi="仿宋" w:eastAsia="仿宋" w:cs="Arial"/>
                <w:b w:val="0"/>
                <w:bCs w:val="0"/>
                <w:sz w:val="24"/>
                <w:szCs w:val="24"/>
              </w:rPr>
            </w:pPr>
            <w:r>
              <w:rPr>
                <w:rFonts w:ascii="仿宋" w:hAnsi="仿宋" w:eastAsia="仿宋" w:cs="Arial"/>
                <w:b/>
                <w:bCs/>
                <w:sz w:val="24"/>
                <w:szCs w:val="24"/>
              </w:rPr>
              <w:t>證監會認可</w:t>
            </w:r>
            <w:r>
              <w:rPr>
                <w:rFonts w:hint="eastAsia" w:ascii="仿宋" w:hAnsi="仿宋" w:eastAsia="仿宋" w:cs="Arial"/>
                <w:b/>
                <w:bCs/>
                <w:sz w:val="24"/>
                <w:szCs w:val="24"/>
              </w:rPr>
              <w:t>基金</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645EDB06">
            <w:pPr>
              <w:spacing w:after="0" w:line="330" w:lineRule="atLeast"/>
              <w:rPr>
                <w:rFonts w:ascii="仿宋" w:hAnsi="仿宋" w:eastAsia="仿宋" w:cs="Arial"/>
                <w:b/>
                <w:sz w:val="24"/>
                <w:szCs w:val="24"/>
              </w:rPr>
            </w:pPr>
            <w:r>
              <w:rPr>
                <w:rFonts w:hint="eastAsia" w:ascii="仿宋" w:hAnsi="仿宋" w:eastAsia="仿宋" w:cs="Arial"/>
                <w:sz w:val="24"/>
                <w:szCs w:val="24"/>
              </w:rPr>
              <mc:AlternateContent>
                <mc:Choice Requires="wps">
                  <w:drawing>
                    <wp:anchor distT="0" distB="0" distL="114300" distR="114300" simplePos="0" relativeHeight="251659264" behindDoc="0" locked="0" layoutInCell="1" allowOverlap="1">
                      <wp:simplePos x="0" y="0"/>
                      <wp:positionH relativeFrom="column">
                        <wp:posOffset>3348990</wp:posOffset>
                      </wp:positionH>
                      <wp:positionV relativeFrom="paragraph">
                        <wp:posOffset>9497695</wp:posOffset>
                      </wp:positionV>
                      <wp:extent cx="114300" cy="114300"/>
                      <wp:effectExtent l="8255" t="6350" r="10795" b="12700"/>
                      <wp:wrapNone/>
                      <wp:docPr id="2" name="Rectangle 2"/>
                      <wp:cNvGraphicFramePr/>
                      <a:graphic xmlns:a="http://schemas.openxmlformats.org/drawingml/2006/main">
                        <a:graphicData uri="http://schemas.microsoft.com/office/word/2010/wordprocessingShape">
                          <wps:wsp>
                            <wps:cNvSpPr>
                              <a:spLocks noChangeArrowheads="1"/>
                            </wps:cNvSpPr>
                            <wps:spPr bwMode="auto">
                              <a:xfrm>
                                <a:off x="0" y="0"/>
                                <a:ext cx="114300" cy="114300"/>
                              </a:xfrm>
                              <a:prstGeom prst="rect">
                                <a:avLst/>
                              </a:prstGeom>
                              <a:solidFill>
                                <a:srgbClr val="FFFFFF"/>
                              </a:solidFill>
                              <a:ln w="9525">
                                <a:solidFill>
                                  <a:srgbClr val="000000"/>
                                </a:solidFill>
                                <a:miter lim="800000"/>
                              </a:ln>
                            </wps:spPr>
                            <wps:bodyPr rot="0" vert="horz" wrap="square" lIns="91440" tIns="45720" rIns="91440" bIns="45720" anchor="t" anchorCtr="0" upright="1">
                              <a:noAutofit/>
                            </wps:bodyPr>
                          </wps:wsp>
                        </a:graphicData>
                      </a:graphic>
                    </wp:anchor>
                  </w:drawing>
                </mc:Choice>
                <mc:Fallback>
                  <w:pict>
                    <v:rect id="Rectangle 2" o:spid="_x0000_s1026" o:spt="1" style="position:absolute;left:0pt;margin-left:263.7pt;margin-top:747.85pt;height:9pt;width:9pt;z-index:251659264;mso-width-relative:page;mso-height-relative:page;" fillcolor="#FFFFFF" filled="t" stroked="t" coordsize="21600,21600" o:gfxdata="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Eq/zSdoAAAANAQAADwAAAAAAAAABACAAAAAiAAAAZHJzL2Rvd25yZXYueG1sUEsBAhQAFAAAAAgA&#10;h07iQEBL/PojAgAAcQQAAA4AAAAAAAAAAQAgAAAAKQEAAGRycy9lMm9Eb2MueG1sUEsFBgAAAAAG&#10;AAYAWQEAAL4FAAAAAA==&#10;">
                      <v:fill on="t" focussize="0,0"/>
                      <v:stroke color="#000000" miterlimit="8" joinstyle="miter"/>
                      <v:imagedata o:title=""/>
                      <o:lock v:ext="edit" aspectratio="f"/>
                    </v:rect>
                  </w:pict>
                </mc:Fallback>
              </mc:AlternateContent>
            </w:r>
            <w:r>
              <w:rPr>
                <w:rFonts w:hint="eastAsia" w:ascii="仿宋" w:hAnsi="仿宋" w:eastAsia="仿宋" w:cs="Arial"/>
                <w:sz w:val="24"/>
                <w:szCs w:val="24"/>
              </w:rPr>
              <w:t xml:space="preserve">   </w:t>
            </w:r>
            <w:r>
              <w:rPr>
                <w:rFonts w:hint="eastAsia" w:ascii="仿宋" w:hAnsi="仿宋" w:eastAsia="仿宋"/>
                <w:sz w:val="24"/>
                <w:lang w:eastAsia="zh-CN"/>
              </w:rPr>
              <w:t>☑</w:t>
            </w:r>
            <w:r>
              <w:rPr>
                <w:rFonts w:ascii="仿宋" w:hAnsi="仿宋" w:eastAsia="仿宋"/>
                <w:sz w:val="24"/>
              </w:rPr>
              <w:t xml:space="preserve"> </w:t>
            </w:r>
            <w:r>
              <w:rPr>
                <w:rFonts w:hint="eastAsia" w:ascii="仿宋" w:hAnsi="仿宋" w:eastAsia="仿宋" w:cs="Arial"/>
                <w:sz w:val="24"/>
                <w:szCs w:val="24"/>
              </w:rPr>
              <w:t xml:space="preserve">認可    </w:t>
            </w:r>
            <w:r>
              <w:rPr>
                <w:rFonts w:ascii="仿宋" w:hAnsi="仿宋" w:eastAsia="仿宋"/>
                <w:sz w:val="24"/>
              </w:rPr>
              <w:t xml:space="preserve">□ </w:t>
            </w:r>
            <w:r>
              <w:rPr>
                <w:rFonts w:hint="eastAsia" w:ascii="仿宋" w:hAnsi="仿宋" w:eastAsia="仿宋" w:cs="Arial"/>
                <w:sz w:val="24"/>
                <w:szCs w:val="24"/>
              </w:rPr>
              <w:t>非認可</w:t>
            </w:r>
          </w:p>
        </w:tc>
      </w:tr>
      <w:tr w14:paraId="6FD8B2D8">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395E2ED2">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交易頻率</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6D36F16C">
            <w:pPr>
              <w:spacing w:after="0" w:line="330" w:lineRule="atLeast"/>
              <w:rPr>
                <w:rFonts w:ascii="仿宋" w:hAnsi="仿宋" w:eastAsia="仿宋" w:cs="Arial"/>
                <w:b/>
                <w:sz w:val="24"/>
                <w:szCs w:val="24"/>
                <w:lang w:eastAsia="zh-CN"/>
              </w:rPr>
            </w:pPr>
          </w:p>
        </w:tc>
      </w:tr>
      <w:tr w14:paraId="31119999">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6751F6FC">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總資產值</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E7D1EC0">
            <w:pPr>
              <w:spacing w:after="0" w:line="330" w:lineRule="atLeast"/>
              <w:rPr>
                <w:rFonts w:ascii="仿宋" w:hAnsi="仿宋" w:eastAsia="仿宋" w:cs="Arial"/>
                <w:b/>
                <w:sz w:val="24"/>
                <w:szCs w:val="24"/>
              </w:rPr>
            </w:pPr>
          </w:p>
        </w:tc>
      </w:tr>
      <w:tr w14:paraId="1BEF75B1">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rPr>
          <w:trHeight w:val="467" w:hRule="atLeast"/>
        </w:trPr>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0B3E4100">
            <w:pPr>
              <w:spacing w:after="0" w:line="330" w:lineRule="atLeast"/>
              <w:rPr>
                <w:rFonts w:ascii="仿宋" w:hAnsi="仿宋" w:eastAsia="仿宋" w:cs="Calibri"/>
                <w:b w:val="0"/>
                <w:bCs w:val="0"/>
                <w:sz w:val="24"/>
                <w:szCs w:val="24"/>
                <w:lang w:eastAsia="zh-CN"/>
              </w:rPr>
            </w:pPr>
            <w:r>
              <w:rPr>
                <w:rFonts w:ascii="仿宋" w:hAnsi="仿宋" w:eastAsia="仿宋" w:cs="Calibri"/>
                <w:b/>
                <w:bCs/>
                <w:sz w:val="24"/>
                <w:szCs w:val="24"/>
                <w:lang w:eastAsia="zh-CN"/>
              </w:rPr>
              <w:t>基金近5年累计最大回撤</w:t>
            </w:r>
          </w:p>
        </w:tc>
        <w:tc>
          <w:tcPr>
            <w:tcW w:w="4572" w:type="dxa"/>
            <w:tcBorders>
              <w:top w:val="single" w:color="auto" w:sz="4" w:space="0"/>
              <w:left w:val="single" w:color="auto" w:sz="4" w:space="0"/>
              <w:right w:val="single" w:color="auto" w:sz="4" w:space="0"/>
            </w:tcBorders>
            <w:shd w:val="clear" w:color="auto" w:fill="FFFFFF" w:themeFill="background1"/>
            <w:vAlign w:val="top"/>
          </w:tcPr>
          <w:p w14:paraId="6E505C3D">
            <w:pPr>
              <w:spacing w:after="0" w:line="330" w:lineRule="atLeast"/>
              <w:rPr>
                <w:rFonts w:ascii="仿宋" w:hAnsi="仿宋" w:eastAsia="仿宋" w:cs="Arial"/>
                <w:strike/>
                <w:sz w:val="24"/>
                <w:szCs w:val="24"/>
                <w:lang w:eastAsia="zh-CN"/>
              </w:rPr>
            </w:pPr>
          </w:p>
        </w:tc>
      </w:tr>
      <w:tr w14:paraId="3B71971F">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4C82BF92">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最低投資額</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4EFC2DB0">
            <w:pPr>
              <w:spacing w:after="0" w:line="330" w:lineRule="atLeast"/>
              <w:rPr>
                <w:rFonts w:ascii="仿宋" w:hAnsi="仿宋" w:eastAsia="仿宋" w:cs="Arial"/>
                <w:b/>
                <w:sz w:val="24"/>
                <w:szCs w:val="24"/>
              </w:rPr>
            </w:pPr>
          </w:p>
        </w:tc>
      </w:tr>
      <w:tr w14:paraId="475FBD3F">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single" w:color="auto" w:sz="4" w:space="0"/>
            </w:tcBorders>
            <w:shd w:val="clear" w:color="auto" w:fill="D0CECE" w:themeFill="background2" w:themeFillShade="E6"/>
            <w:vAlign w:val="top"/>
          </w:tcPr>
          <w:p w14:paraId="0FBF6678">
            <w:pPr>
              <w:spacing w:after="0" w:line="330" w:lineRule="atLeast"/>
              <w:rPr>
                <w:rFonts w:ascii="仿宋" w:hAnsi="仿宋" w:eastAsia="仿宋" w:cs="Arial"/>
                <w:b w:val="0"/>
                <w:bCs w:val="0"/>
                <w:sz w:val="24"/>
                <w:szCs w:val="24"/>
                <w:lang w:eastAsia="zh-CN"/>
              </w:rPr>
            </w:pPr>
            <w:r>
              <w:rPr>
                <w:rFonts w:hint="eastAsia" w:ascii="仿宋" w:hAnsi="仿宋" w:eastAsia="仿宋" w:cs="Arial"/>
                <w:b/>
                <w:bCs/>
                <w:sz w:val="24"/>
                <w:szCs w:val="24"/>
              </w:rPr>
              <w:t>基金</w:t>
            </w:r>
            <w:r>
              <w:rPr>
                <w:rFonts w:hint="eastAsia" w:ascii="仿宋" w:hAnsi="仿宋" w:eastAsia="仿宋" w:cs="Arial"/>
                <w:b/>
                <w:bCs/>
                <w:sz w:val="24"/>
                <w:szCs w:val="24"/>
                <w:lang w:val="en-US" w:eastAsia="zh-CN"/>
              </w:rPr>
              <w:t>鎖定</w:t>
            </w:r>
            <w:r>
              <w:rPr>
                <w:rFonts w:hint="eastAsia" w:ascii="仿宋" w:hAnsi="仿宋" w:eastAsia="仿宋" w:cs="Arial"/>
                <w:b/>
                <w:bCs/>
                <w:sz w:val="24"/>
                <w:szCs w:val="24"/>
              </w:rPr>
              <w:t>期</w:t>
            </w:r>
          </w:p>
        </w:tc>
        <w:tc>
          <w:tcPr>
            <w:tcW w:w="4572" w:type="dxa"/>
            <w:tcBorders>
              <w:top w:val="single" w:color="auto" w:sz="4" w:space="0"/>
              <w:left w:val="single" w:color="auto" w:sz="4" w:space="0"/>
              <w:bottom w:val="single" w:color="auto" w:sz="4" w:space="0"/>
              <w:right w:val="single" w:color="auto" w:sz="4" w:space="0"/>
            </w:tcBorders>
            <w:shd w:val="clear" w:color="auto" w:fill="FFFFFF" w:themeFill="background1"/>
            <w:vAlign w:val="top"/>
          </w:tcPr>
          <w:p w14:paraId="3CCAB3C7">
            <w:pPr>
              <w:spacing w:after="0" w:line="330" w:lineRule="atLeast"/>
              <w:rPr>
                <w:rFonts w:ascii="仿宋" w:hAnsi="仿宋" w:eastAsia="仿宋" w:cs="Arial"/>
                <w:sz w:val="24"/>
                <w:szCs w:val="24"/>
                <w:lang w:eastAsia="zh-CN"/>
              </w:rPr>
            </w:pPr>
          </w:p>
        </w:tc>
      </w:tr>
    </w:tbl>
    <w:p w14:paraId="3EEBFF91">
      <w:pPr>
        <w:pStyle w:val="60"/>
        <w:shd w:val="clear" w:color="auto" w:fill="FFFFFF"/>
        <w:spacing w:before="0" w:after="0" w:line="240" w:lineRule="auto"/>
        <w:ind w:left="0" w:leftChars="0" w:right="-142" w:rightChars="-71"/>
        <w:rPr>
          <w:rFonts w:ascii="仿宋" w:hAnsi="仿宋" w:eastAsia="仿宋" w:cs="Times New Roman"/>
          <w:b/>
          <w:color w:val="000000"/>
          <w:sz w:val="24"/>
          <w:szCs w:val="24"/>
          <w:shd w:val="pct10" w:color="auto" w:fill="FFFFFF"/>
        </w:rPr>
      </w:pPr>
    </w:p>
    <w:p w14:paraId="7EB823CE">
      <w:pPr>
        <w:pStyle w:val="60"/>
        <w:numPr>
          <w:ilvl w:val="0"/>
          <w:numId w:val="1"/>
        </w:numPr>
        <w:shd w:val="clear" w:color="auto" w:fill="FFFFFF"/>
        <w:spacing w:before="0" w:after="0" w:line="240" w:lineRule="auto"/>
        <w:ind w:left="270" w:leftChars="0" w:right="-142" w:rightChars="-71"/>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收費結構</w:t>
      </w:r>
    </w:p>
    <w:tbl>
      <w:tblPr>
        <w:tblStyle w:val="2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237"/>
        <w:gridCol w:w="1236"/>
        <w:gridCol w:w="1325"/>
        <w:gridCol w:w="1350"/>
        <w:gridCol w:w="1440"/>
        <w:gridCol w:w="1440"/>
        <w:gridCol w:w="1350"/>
        <w:gridCol w:w="1350"/>
      </w:tblGrid>
      <w:tr w14:paraId="48092C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shd w:val="clear" w:color="auto" w:fill="A5A5A5" w:themeFill="background1" w:themeFillShade="A6"/>
            <w:vAlign w:val="top"/>
          </w:tcPr>
          <w:p w14:paraId="794296A2">
            <w:pPr>
              <w:spacing w:after="0" w:line="330" w:lineRule="atLeast"/>
              <w:jc w:val="center"/>
              <w:rPr>
                <w:rFonts w:ascii="仿宋" w:hAnsi="仿宋" w:eastAsia="仿宋" w:cs="Arial"/>
                <w:b/>
                <w:sz w:val="24"/>
                <w:szCs w:val="24"/>
              </w:rPr>
            </w:pPr>
            <w:r>
              <w:rPr>
                <w:rFonts w:ascii="仿宋" w:hAnsi="仿宋" w:eastAsia="仿宋" w:cs="Arial"/>
                <w:b/>
                <w:sz w:val="24"/>
                <w:szCs w:val="24"/>
              </w:rPr>
              <w:t>認購費</w:t>
            </w:r>
          </w:p>
        </w:tc>
        <w:tc>
          <w:tcPr>
            <w:tcW w:w="1143" w:type="dxa"/>
            <w:shd w:val="clear" w:color="auto" w:fill="A5A5A5" w:themeFill="background1" w:themeFillShade="A6"/>
            <w:vAlign w:val="top"/>
          </w:tcPr>
          <w:p w14:paraId="0A99CE59">
            <w:pPr>
              <w:spacing w:after="0" w:line="330" w:lineRule="atLeast"/>
              <w:jc w:val="center"/>
              <w:rPr>
                <w:rFonts w:ascii="仿宋" w:hAnsi="仿宋" w:eastAsia="仿宋" w:cs="Arial"/>
                <w:b/>
                <w:sz w:val="24"/>
                <w:szCs w:val="24"/>
              </w:rPr>
            </w:pPr>
            <w:r>
              <w:rPr>
                <w:rFonts w:ascii="仿宋" w:hAnsi="仿宋" w:eastAsia="仿宋" w:cs="Arial"/>
                <w:b/>
                <w:sz w:val="24"/>
                <w:szCs w:val="24"/>
              </w:rPr>
              <w:t>贖回費</w:t>
            </w:r>
          </w:p>
        </w:tc>
        <w:tc>
          <w:tcPr>
            <w:tcW w:w="1143" w:type="dxa"/>
            <w:shd w:val="clear" w:color="auto" w:fill="A5A5A5" w:themeFill="background1" w:themeFillShade="A6"/>
            <w:vAlign w:val="top"/>
          </w:tcPr>
          <w:p w14:paraId="498DEBCC">
            <w:pPr>
              <w:spacing w:after="0" w:line="330" w:lineRule="atLeast"/>
              <w:jc w:val="center"/>
              <w:rPr>
                <w:rFonts w:ascii="仿宋" w:hAnsi="仿宋" w:eastAsia="仿宋" w:cs="Arial"/>
                <w:b/>
                <w:sz w:val="24"/>
                <w:szCs w:val="24"/>
              </w:rPr>
            </w:pPr>
            <w:r>
              <w:rPr>
                <w:rFonts w:hint="eastAsia" w:ascii="仿宋" w:hAnsi="仿宋" w:eastAsia="仿宋" w:cs="Arial"/>
                <w:b/>
                <w:sz w:val="24"/>
                <w:szCs w:val="24"/>
              </w:rPr>
              <w:t>託管人費</w:t>
            </w:r>
          </w:p>
        </w:tc>
        <w:tc>
          <w:tcPr>
            <w:tcW w:w="1143" w:type="dxa"/>
            <w:shd w:val="clear" w:color="auto" w:fill="A5A5A5" w:themeFill="background1" w:themeFillShade="A6"/>
            <w:vAlign w:val="top"/>
          </w:tcPr>
          <w:p w14:paraId="649BC52D">
            <w:pPr>
              <w:spacing w:after="0" w:line="330" w:lineRule="atLeast"/>
              <w:jc w:val="center"/>
              <w:rPr>
                <w:rFonts w:ascii="仿宋" w:hAnsi="仿宋" w:eastAsia="仿宋" w:cs="Arial"/>
                <w:b/>
                <w:sz w:val="24"/>
                <w:szCs w:val="24"/>
              </w:rPr>
            </w:pPr>
            <w:r>
              <w:rPr>
                <w:rFonts w:ascii="仿宋" w:hAnsi="仿宋" w:eastAsia="仿宋" w:cs="Arial"/>
                <w:b/>
                <w:sz w:val="24"/>
                <w:szCs w:val="24"/>
              </w:rPr>
              <w:t>管理費</w:t>
            </w:r>
          </w:p>
        </w:tc>
        <w:tc>
          <w:tcPr>
            <w:tcW w:w="1143" w:type="dxa"/>
            <w:shd w:val="clear" w:color="auto" w:fill="A5A5A5" w:themeFill="background1" w:themeFillShade="A6"/>
            <w:vAlign w:val="top"/>
          </w:tcPr>
          <w:p w14:paraId="46E847E8">
            <w:pPr>
              <w:spacing w:after="0" w:line="330" w:lineRule="atLeast"/>
              <w:jc w:val="center"/>
              <w:rPr>
                <w:rFonts w:ascii="仿宋" w:hAnsi="仿宋" w:eastAsia="仿宋" w:cs="Arial"/>
                <w:b/>
                <w:sz w:val="24"/>
                <w:szCs w:val="24"/>
              </w:rPr>
            </w:pPr>
            <w:r>
              <w:rPr>
                <w:rFonts w:hint="eastAsia" w:ascii="仿宋" w:hAnsi="仿宋" w:eastAsia="仿宋" w:cs="Arial"/>
                <w:b/>
                <w:sz w:val="24"/>
                <w:szCs w:val="24"/>
              </w:rPr>
              <w:t>業績表現</w:t>
            </w:r>
            <w:r>
              <w:rPr>
                <w:rFonts w:ascii="仿宋" w:hAnsi="仿宋" w:eastAsia="仿宋" w:cs="Arial"/>
                <w:b/>
                <w:sz w:val="24"/>
                <w:szCs w:val="24"/>
              </w:rPr>
              <w:t>費</w:t>
            </w:r>
          </w:p>
        </w:tc>
        <w:tc>
          <w:tcPr>
            <w:tcW w:w="1143" w:type="dxa"/>
            <w:shd w:val="clear" w:color="auto" w:fill="A5A5A5" w:themeFill="background1" w:themeFillShade="A6"/>
            <w:vAlign w:val="top"/>
          </w:tcPr>
          <w:p w14:paraId="581B7316">
            <w:pPr>
              <w:spacing w:after="0" w:line="330" w:lineRule="atLeast"/>
              <w:jc w:val="center"/>
              <w:rPr>
                <w:rFonts w:ascii="仿宋" w:hAnsi="仿宋" w:eastAsia="仿宋" w:cs="Arial"/>
                <w:b/>
                <w:sz w:val="24"/>
                <w:szCs w:val="24"/>
              </w:rPr>
            </w:pPr>
            <w:r>
              <w:rPr>
                <w:rFonts w:hint="eastAsia" w:ascii="仿宋" w:hAnsi="仿宋" w:eastAsia="仿宋" w:cs="Arial"/>
                <w:b/>
                <w:sz w:val="24"/>
                <w:szCs w:val="24"/>
              </w:rPr>
              <w:t>轉換費</w:t>
            </w:r>
          </w:p>
        </w:tc>
        <w:tc>
          <w:tcPr>
            <w:tcW w:w="1143" w:type="dxa"/>
            <w:shd w:val="clear" w:color="auto" w:fill="A5A5A5" w:themeFill="background1" w:themeFillShade="A6"/>
            <w:vAlign w:val="top"/>
          </w:tcPr>
          <w:p w14:paraId="301AEABC">
            <w:pPr>
              <w:spacing w:after="0" w:line="330" w:lineRule="atLeast"/>
              <w:jc w:val="center"/>
              <w:rPr>
                <w:rFonts w:ascii="仿宋" w:hAnsi="仿宋" w:eastAsia="仿宋" w:cs="Arial"/>
                <w:b/>
                <w:sz w:val="24"/>
                <w:szCs w:val="24"/>
              </w:rPr>
            </w:pPr>
            <w:r>
              <w:rPr>
                <w:rFonts w:hint="eastAsia" w:ascii="仿宋" w:hAnsi="仿宋" w:eastAsia="仿宋" w:cs="Arial"/>
                <w:b/>
                <w:sz w:val="24"/>
                <w:szCs w:val="24"/>
              </w:rPr>
              <w:t>分銷費</w:t>
            </w:r>
          </w:p>
        </w:tc>
        <w:tc>
          <w:tcPr>
            <w:tcW w:w="1143" w:type="dxa"/>
            <w:shd w:val="clear" w:color="auto" w:fill="A5A5A5" w:themeFill="background1" w:themeFillShade="A6"/>
            <w:vAlign w:val="top"/>
          </w:tcPr>
          <w:p w14:paraId="13ABFCAD">
            <w:pPr>
              <w:spacing w:after="0" w:line="330" w:lineRule="atLeast"/>
              <w:jc w:val="center"/>
              <w:rPr>
                <w:rFonts w:ascii="仿宋" w:hAnsi="仿宋" w:eastAsia="仿宋" w:cs="Arial"/>
                <w:b/>
                <w:sz w:val="24"/>
                <w:szCs w:val="24"/>
              </w:rPr>
            </w:pPr>
            <w:r>
              <w:rPr>
                <w:rFonts w:ascii="仿宋" w:hAnsi="仿宋" w:eastAsia="仿宋" w:cs="Arial"/>
                <w:b/>
                <w:sz w:val="24"/>
                <w:szCs w:val="24"/>
              </w:rPr>
              <w:t>行政費</w:t>
            </w:r>
          </w:p>
        </w:tc>
      </w:tr>
      <w:tr w14:paraId="251697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143" w:type="dxa"/>
            <w:vAlign w:val="top"/>
          </w:tcPr>
          <w:p>
            <w:r>
              <w:t>A类及B类单位最高为认购价3%，I类、P类及M类单位无认购费。</w:t>
            </w:r>
          </w:p>
        </w:tc>
        <w:tc>
          <w:tcPr>
            <w:tcW w:w="1143" w:type="dxa"/>
            <w:vAlign w:val="top"/>
          </w:tcPr>
          <w:p>
            <w:r>
              <w:t>A類、B類、P類及M類單位無贖回費；I類單位在若干情況下最高為贖回價的2%。</w:t>
            </w:r>
          </w:p>
        </w:tc>
        <w:tc>
          <w:tcPr>
            <w:tcW w:w="1143" w:type="dxa"/>
            <w:vAlign w:val="top"/>
          </w:tcPr>
          <w:p>
            <w:r>
              <w:t>託管人費用最高每年佔資產淨值的0.018%。</w:t>
            </w:r>
          </w:p>
        </w:tc>
        <w:tc>
          <w:tcPr>
            <w:tcW w:w="1143" w:type="dxa"/>
            <w:vAlign w:val="top"/>
          </w:tcPr>
          <w:p>
            <w:r>
              <w:t>A类单位0.1%，B类单位0.3%，I类单位0.05%，P类单位0.6%，M类单位无。</w:t>
            </w:r>
          </w:p>
        </w:tc>
        <w:tc>
          <w:tcPr>
            <w:tcW w:w="1143" w:type="dxa"/>
            <w:vAlign w:val="top"/>
          </w:tcPr>
          <w:p>
            <w:r>
              <w:t>經理人不會就子基金收取表現費用。</w:t>
            </w:r>
          </w:p>
        </w:tc>
        <w:tc>
          <w:tcPr>
            <w:tcW w:w="1143" w:type="dxa"/>
            <w:vAlign w:val="top"/>
          </w:tcPr>
          <w:p>
            <w:r>
              <w:t>轉換費最高為贖回價的2%，目前無打算收取。</w:t>
            </w:r>
          </w:p>
        </w:tc>
        <w:tc>
          <w:tcPr>
            <w:tcW w:w="1143" w:type="dxa"/>
            <w:vAlign w:val="top"/>
          </w:tcPr>
          <w:p>
            <w:r>
              <w:t>資料未載明分銷費用，認購費最高為認購價的3%。</w:t>
            </w:r>
          </w:p>
        </w:tc>
        <w:tc>
          <w:tcPr>
            <w:tcW w:w="1143" w:type="dxa"/>
            <w:vAlign w:val="top"/>
          </w:tcPr>
          <w:p>
            <w:r>
              <w:t>子基金不支付推廣費用，行政開支詳見「其他費用」。</w:t>
            </w:r>
          </w:p>
        </w:tc>
      </w:tr>
    </w:tbl>
    <w:p w14:paraId="6ED06060">
      <w:pPr>
        <w:pStyle w:val="60"/>
        <w:spacing w:before="0" w:after="0"/>
        <w:ind w:left="360" w:leftChars="0"/>
        <w:rPr>
          <w:rFonts w:ascii="仿宋" w:hAnsi="仿宋" w:eastAsia="仿宋" w:cs="Times New Roman"/>
          <w:b/>
          <w:color w:val="000000"/>
          <w:sz w:val="24"/>
          <w:szCs w:val="24"/>
        </w:rPr>
      </w:pPr>
    </w:p>
    <w:p w14:paraId="4B0E42ED">
      <w:pPr>
        <w:pStyle w:val="60"/>
        <w:numPr>
          <w:ilvl w:val="0"/>
          <w:numId w:val="1"/>
        </w:numPr>
        <w:shd w:val="clear" w:color="auto" w:fill="FFFFFF"/>
        <w:spacing w:before="0" w:after="0" w:line="240" w:lineRule="auto"/>
        <w:ind w:left="270" w:leftChars="0" w:right="-142" w:rightChars="-71"/>
        <w:rPr>
          <w:rFonts w:ascii="仿宋" w:hAnsi="仿宋" w:eastAsia="仿宋" w:cs="Times New Roman"/>
          <w:b/>
          <w:color w:val="000000"/>
          <w:sz w:val="24"/>
          <w:szCs w:val="24"/>
        </w:rPr>
      </w:pPr>
      <w:r>
        <w:rPr>
          <w:rFonts w:hint="eastAsia" w:ascii="仿宋" w:hAnsi="仿宋" w:eastAsia="仿宋" w:cs="Times New Roman"/>
          <w:b/>
          <w:color w:val="000000"/>
          <w:sz w:val="24"/>
          <w:szCs w:val="24"/>
          <w:u w:val="single"/>
        </w:rPr>
        <w:t>複雜產品</w:t>
      </w:r>
    </w:p>
    <w:tbl>
      <w:tblPr>
        <w:tblStyle w:val="79"/>
        <w:tblW w:w="5000" w:type="pct"/>
        <w:tblInd w:w="0" w:type="dxa"/>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Layout w:type="fixed"/>
        <w:tblCellMar>
          <w:top w:w="0" w:type="dxa"/>
          <w:left w:w="108" w:type="dxa"/>
          <w:bottom w:w="0" w:type="dxa"/>
          <w:right w:w="108" w:type="dxa"/>
        </w:tblCellMar>
      </w:tblPr>
      <w:tblGrid>
        <w:gridCol w:w="2746"/>
        <w:gridCol w:w="7966"/>
      </w:tblGrid>
      <w:tr w14:paraId="1305F47B">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tcBorders>
              <w:top w:val="single" w:color="auto" w:sz="4" w:space="0"/>
              <w:left w:val="single" w:color="auto" w:sz="4" w:space="0"/>
              <w:bottom w:val="single" w:color="auto" w:sz="4" w:space="0"/>
              <w:right w:val="nil"/>
              <w:insideV w:val="nil"/>
            </w:tcBorders>
            <w:shd w:val="clear" w:color="auto" w:fill="D0CECE" w:themeFill="background2" w:themeFillShade="E6"/>
            <w:vAlign w:val="top"/>
          </w:tcPr>
          <w:p w14:paraId="7D2A6845">
            <w:pPr>
              <w:spacing w:after="0" w:line="330" w:lineRule="atLeast"/>
              <w:rPr>
                <w:rFonts w:ascii="仿宋" w:hAnsi="仿宋" w:eastAsia="仿宋" w:cs="Arial"/>
                <w:b w:val="0"/>
                <w:bCs w:val="0"/>
                <w:sz w:val="24"/>
                <w:szCs w:val="24"/>
              </w:rPr>
            </w:pPr>
            <w:r>
              <w:rPr>
                <w:rFonts w:hint="eastAsia" w:ascii="仿宋" w:hAnsi="仿宋" w:eastAsia="仿宋" w:cs="Arial"/>
                <w:b/>
                <w:bCs/>
                <w:sz w:val="24"/>
                <w:szCs w:val="24"/>
              </w:rPr>
              <w:t>是否複雜產品</w:t>
            </w:r>
          </w:p>
        </w:tc>
        <w:tc>
          <w:tcPr>
            <w:tcW w:w="4572" w:type="dxa"/>
            <w:tcBorders>
              <w:top w:val="single" w:color="auto" w:sz="4" w:space="0"/>
              <w:left w:val="single" w:color="auto" w:sz="4" w:space="0"/>
              <w:bottom w:val="single" w:color="auto" w:sz="4" w:space="0"/>
              <w:right w:val="single" w:color="auto" w:sz="4" w:space="0"/>
              <w:insideV w:val="nil"/>
            </w:tcBorders>
            <w:shd w:val="clear" w:color="auto" w:fill="FFFFFF" w:themeFill="background1"/>
            <w:vAlign w:val="top"/>
          </w:tcPr>
          <w:p>
            <w:r>
              <w:t>根据参考资料，该产品涉及金融衍生工具及场外交易，且存在估值风险及非挂牌投资，判断该产品属于复杂产品。</w:t>
            </w:r>
          </w:p>
        </w:tc>
      </w:tr>
      <w:tr w14:paraId="66D4D5F6">
        <w:tblPrEx>
          <w:tblBorders>
            <w:top w:val="single" w:color="666666" w:themeColor="text1" w:themeTint="99" w:sz="2" w:space="0"/>
            <w:left w:val="none" w:color="auto" w:sz="0" w:space="0"/>
            <w:bottom w:val="single" w:color="666666" w:themeColor="text1" w:themeTint="99" w:sz="2" w:space="0"/>
            <w:right w:val="none" w:color="auto" w:sz="0" w:space="0"/>
            <w:insideH w:val="single" w:color="666666" w:themeColor="text1" w:themeTint="99" w:sz="2" w:space="0"/>
            <w:insideV w:val="single" w:color="666666" w:themeColor="text1" w:themeTint="99" w:sz="2" w:space="0"/>
          </w:tblBorders>
          <w:tblCellMar>
            <w:top w:w="0" w:type="dxa"/>
            <w:left w:w="108" w:type="dxa"/>
            <w:bottom w:w="0" w:type="dxa"/>
            <w:right w:w="108" w:type="dxa"/>
          </w:tblCellMar>
        </w:tblPrEx>
        <w:tc>
          <w:tcPr>
            <w:tcW w:w="4572" w:type="dxa"/>
            <w:gridSpan w:val="2"/>
            <w:tcBorders>
              <w:top w:val="single" w:color="auto" w:sz="4" w:space="0"/>
              <w:left w:val="single" w:color="auto" w:sz="4" w:space="0"/>
              <w:bottom w:val="single" w:color="auto" w:sz="4" w:space="0"/>
              <w:right w:val="single" w:color="auto" w:sz="4" w:space="0"/>
            </w:tcBorders>
            <w:shd w:val="clear" w:color="auto" w:fill="auto"/>
            <w:vAlign w:val="top"/>
          </w:tcPr>
          <w:p w14:paraId="6680BF7D">
            <w:pPr>
              <w:pStyle w:val="60"/>
              <w:snapToGrid w:val="0"/>
              <w:spacing w:before="0" w:after="0" w:line="240" w:lineRule="auto"/>
              <w:ind w:left="360" w:leftChars="0"/>
              <w:rPr>
                <w:rFonts w:ascii="仿宋" w:hAnsi="仿宋" w:eastAsia="仿宋" w:cs="Arial"/>
                <w:b w:val="0"/>
                <w:bCs w:val="0"/>
                <w:sz w:val="24"/>
                <w:szCs w:val="24"/>
              </w:rPr>
            </w:pPr>
          </w:p>
          <w:p w14:paraId="743F1013">
            <w:pPr>
              <w:pStyle w:val="60"/>
              <w:numPr>
                <w:ilvl w:val="0"/>
                <w:numId w:val="2"/>
              </w:numPr>
              <w:snapToGrid w:val="0"/>
              <w:spacing w:before="0" w:after="0" w:line="240" w:lineRule="auto"/>
              <w:ind w:leftChars="0"/>
              <w:rPr>
                <w:rFonts w:ascii="仿宋" w:hAnsi="仿宋" w:eastAsia="仿宋" w:cs="Arial"/>
                <w:b w:val="0"/>
                <w:bCs w:val="0"/>
                <w:sz w:val="24"/>
                <w:szCs w:val="24"/>
              </w:rPr>
            </w:pPr>
            <w:r>
              <w:rPr>
                <w:rFonts w:hint="eastAsia" w:ascii="仿宋" w:hAnsi="仿宋" w:eastAsia="仿宋" w:cs="Arial"/>
                <w:b/>
                <w:bCs/>
                <w:sz w:val="24"/>
                <w:szCs w:val="24"/>
              </w:rPr>
              <w:t>根據證監會發出的指引「網上分銷及投資諮詢平台指引」內的第6.1段，</w:t>
            </w:r>
            <w:r>
              <w:rPr>
                <w:rFonts w:ascii="仿宋" w:hAnsi="仿宋" w:eastAsia="仿宋" w:cs="Arial"/>
                <w:b/>
                <w:bCs/>
                <w:sz w:val="24"/>
                <w:szCs w:val="24"/>
              </w:rPr>
              <w:t>複雜產品的定義</w:t>
            </w:r>
            <w:r>
              <w:rPr>
                <w:rFonts w:hint="eastAsia" w:ascii="仿宋" w:hAnsi="仿宋" w:eastAsia="仿宋" w:cs="Arial"/>
                <w:b/>
                <w:bCs/>
                <w:sz w:val="24"/>
                <w:szCs w:val="24"/>
              </w:rPr>
              <w:t xml:space="preserve">是: </w:t>
            </w:r>
          </w:p>
          <w:p w14:paraId="325897CC">
            <w:pPr>
              <w:pStyle w:val="60"/>
              <w:numPr>
                <w:ilvl w:val="0"/>
                <w:numId w:val="3"/>
              </w:numPr>
              <w:snapToGrid w:val="0"/>
              <w:spacing w:before="0" w:after="0" w:line="240" w:lineRule="auto"/>
              <w:ind w:left="738" w:leftChars="0" w:hanging="284"/>
              <w:rPr>
                <w:rFonts w:ascii="仿宋" w:hAnsi="仿宋" w:eastAsia="仿宋" w:cs="Arial"/>
                <w:b/>
                <w:bCs w:val="0"/>
                <w:sz w:val="24"/>
                <w:szCs w:val="24"/>
              </w:rPr>
            </w:pPr>
            <w:r>
              <w:rPr>
                <w:rFonts w:ascii="仿宋" w:hAnsi="仿宋" w:eastAsia="仿宋" w:cs="Arial"/>
                <w:b w:val="0"/>
                <w:bCs/>
                <w:sz w:val="24"/>
                <w:szCs w:val="24"/>
              </w:rPr>
              <w:t>複雜產品是指由於結構複雜，致令其條款、特點及風險在合理情況下不大可能會被零售投資者理解的投資產品。</w:t>
            </w:r>
          </w:p>
          <w:p w14:paraId="0BC4405C">
            <w:pPr>
              <w:pStyle w:val="60"/>
              <w:numPr>
                <w:ilvl w:val="0"/>
                <w:numId w:val="3"/>
              </w:numPr>
              <w:snapToGrid w:val="0"/>
              <w:spacing w:before="0" w:after="0" w:line="240" w:lineRule="auto"/>
              <w:ind w:left="738" w:leftChars="0" w:hanging="284"/>
              <w:rPr>
                <w:rFonts w:ascii="仿宋" w:hAnsi="仿宋" w:eastAsia="仿宋" w:cs="Arial"/>
                <w:b/>
                <w:bCs w:val="0"/>
                <w:sz w:val="24"/>
                <w:szCs w:val="24"/>
              </w:rPr>
            </w:pPr>
            <w:r>
              <w:rPr>
                <w:rFonts w:ascii="仿宋" w:hAnsi="仿宋" w:eastAsia="仿宋" w:cs="Arial"/>
                <w:b w:val="0"/>
                <w:bCs/>
                <w:sz w:val="24"/>
                <w:szCs w:val="24"/>
              </w:rPr>
              <w:t>以下是用以斷定某投資產品是否複雜的因素：</w:t>
            </w:r>
          </w:p>
          <w:p w14:paraId="02E5B555">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該投資產品是否衍生產品；</w:t>
            </w:r>
          </w:p>
          <w:p w14:paraId="416A424A">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是否有第二市場可供該投資產品按公開價格買賣；</w:t>
            </w:r>
          </w:p>
          <w:p w14:paraId="247DE482">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有否就該投資產品向零售投資者提供足夠及具透明度的資料；</w:t>
            </w:r>
          </w:p>
          <w:p w14:paraId="0CB40E9F">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是否存在損失大於投資金額的風險；</w:t>
            </w:r>
          </w:p>
          <w:p w14:paraId="72A1907F">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該投資產品是否有任何特點或條款可從根本上改變投資的性質或風險或支付形式，或是否有任何特點或條款包含多個可變因素或複雜的計算公式以釐定有關回報；及</w:t>
            </w:r>
          </w:p>
          <w:p w14:paraId="3B3154D1">
            <w:pPr>
              <w:snapToGrid w:val="0"/>
              <w:spacing w:before="0" w:after="0" w:line="240" w:lineRule="auto"/>
              <w:ind w:left="1162" w:leftChars="581"/>
              <w:rPr>
                <w:rFonts w:ascii="仿宋" w:hAnsi="仿宋" w:eastAsia="仿宋" w:cs="Arial"/>
                <w:b/>
                <w:bCs w:val="0"/>
                <w:i/>
                <w:sz w:val="24"/>
                <w:szCs w:val="24"/>
              </w:rPr>
            </w:pPr>
            <w:r>
              <w:rPr>
                <w:rFonts w:hint="eastAsia" w:ascii="仿宋" w:hAnsi="仿宋" w:eastAsia="仿宋" w:cs="Arial"/>
                <w:b w:val="0"/>
                <w:bCs/>
                <w:i/>
                <w:sz w:val="24"/>
                <w:szCs w:val="24"/>
              </w:rPr>
              <w:t>(</w:t>
            </w:r>
            <w:r>
              <w:rPr>
                <w:rFonts w:ascii="仿宋" w:hAnsi="仿宋" w:eastAsia="仿宋" w:cs="Arial"/>
                <w:b w:val="0"/>
                <w:bCs/>
                <w:i/>
                <w:sz w:val="24"/>
                <w:szCs w:val="24"/>
              </w:rPr>
              <w:t>註釋： 舉例而言，投資產品如附有讓投資產品發行人將產品轉換成另一項投資的權利，亦屬此列。</w:t>
            </w:r>
            <w:r>
              <w:rPr>
                <w:rFonts w:hint="eastAsia" w:ascii="仿宋" w:hAnsi="仿宋" w:eastAsia="仿宋" w:cs="Arial"/>
                <w:b w:val="0"/>
                <w:bCs/>
                <w:i/>
                <w:sz w:val="24"/>
                <w:szCs w:val="24"/>
              </w:rPr>
              <w:t>)</w:t>
            </w:r>
          </w:p>
          <w:p w14:paraId="6E8FB95A">
            <w:pPr>
              <w:pStyle w:val="60"/>
              <w:numPr>
                <w:ilvl w:val="0"/>
                <w:numId w:val="4"/>
              </w:numPr>
              <w:snapToGrid w:val="0"/>
              <w:spacing w:before="0" w:after="0" w:line="240" w:lineRule="auto"/>
              <w:ind w:left="1163" w:leftChars="0" w:hanging="425"/>
              <w:rPr>
                <w:rFonts w:ascii="仿宋" w:hAnsi="仿宋" w:eastAsia="仿宋" w:cs="Arial"/>
                <w:b/>
                <w:bCs w:val="0"/>
                <w:sz w:val="24"/>
                <w:szCs w:val="24"/>
              </w:rPr>
            </w:pPr>
            <w:r>
              <w:rPr>
                <w:rFonts w:ascii="仿宋" w:hAnsi="仿宋" w:eastAsia="仿宋" w:cs="Arial"/>
                <w:b w:val="0"/>
                <w:bCs/>
                <w:sz w:val="24"/>
                <w:szCs w:val="24"/>
              </w:rPr>
              <w:t>該投資產品是否有任何特點或條款，致令投資失去其流動性及／或難以</w:t>
            </w:r>
            <w:r>
              <w:rPr>
                <w:rFonts w:hint="eastAsia" w:ascii="仿宋" w:hAnsi="仿宋" w:eastAsia="仿宋" w:cs="Arial"/>
                <w:b w:val="0"/>
                <w:bCs/>
                <w:sz w:val="24"/>
                <w:szCs w:val="24"/>
              </w:rPr>
              <w:t>估值。</w:t>
            </w:r>
            <w:r>
              <w:rPr>
                <w:rFonts w:ascii="仿宋" w:hAnsi="仿宋" w:eastAsia="仿宋" w:cs="Arial"/>
                <w:b w:val="0"/>
                <w:bCs/>
                <w:sz w:val="24"/>
                <w:szCs w:val="24"/>
              </w:rPr>
              <w:cr/>
            </w:r>
          </w:p>
          <w:p w14:paraId="1AC6B353">
            <w:pPr>
              <w:pStyle w:val="60"/>
              <w:numPr>
                <w:ilvl w:val="0"/>
                <w:numId w:val="2"/>
              </w:numPr>
              <w:snapToGrid w:val="0"/>
              <w:spacing w:before="0" w:after="0" w:line="240" w:lineRule="auto"/>
              <w:ind w:leftChars="0"/>
              <w:rPr>
                <w:rFonts w:ascii="仿宋" w:hAnsi="仿宋" w:eastAsia="仿宋" w:cs="Arial"/>
                <w:b w:val="0"/>
                <w:bCs w:val="0"/>
                <w:sz w:val="24"/>
                <w:szCs w:val="24"/>
              </w:rPr>
            </w:pPr>
            <w:r>
              <w:rPr>
                <w:rFonts w:hint="eastAsia" w:ascii="仿宋" w:hAnsi="仿宋" w:eastAsia="仿宋" w:cs="Arial"/>
                <w:b/>
                <w:bCs/>
                <w:sz w:val="24"/>
                <w:szCs w:val="24"/>
              </w:rPr>
              <w:t>證監會於其網站發佈了以下複雜產品及非複雜產品列表，此列表並非詳盡無遺，證監會可能不時在適當情況下修訂這份列表的內容：</w:t>
            </w:r>
          </w:p>
          <w:p w14:paraId="53DA33EB">
            <w:pPr>
              <w:snapToGrid w:val="0"/>
              <w:spacing w:before="0" w:after="0" w:line="240" w:lineRule="auto"/>
              <w:ind w:firstLine="312" w:firstLineChars="130"/>
              <w:rPr>
                <w:rFonts w:ascii="仿宋" w:hAnsi="仿宋" w:eastAsia="仿宋" w:cs="Arial"/>
                <w:b w:val="0"/>
                <w:bCs w:val="0"/>
                <w:sz w:val="24"/>
                <w:szCs w:val="24"/>
                <w:u w:val="single"/>
              </w:rPr>
            </w:pPr>
          </w:p>
          <w:p w14:paraId="7506A41F">
            <w:pPr>
              <w:snapToGrid w:val="0"/>
              <w:spacing w:before="0" w:after="0" w:line="240" w:lineRule="auto"/>
              <w:ind w:firstLine="313" w:firstLineChars="130"/>
              <w:rPr>
                <w:rFonts w:ascii="仿宋" w:hAnsi="仿宋" w:eastAsia="仿宋" w:cs="Arial"/>
                <w:b w:val="0"/>
                <w:bCs w:val="0"/>
                <w:sz w:val="24"/>
                <w:szCs w:val="24"/>
                <w:u w:val="single"/>
              </w:rPr>
            </w:pPr>
            <w:r>
              <w:rPr>
                <w:rFonts w:hint="eastAsia" w:ascii="仿宋" w:hAnsi="仿宋" w:eastAsia="仿宋" w:cs="Arial"/>
                <w:b/>
                <w:bCs/>
                <w:sz w:val="24"/>
                <w:szCs w:val="24"/>
                <w:u w:val="single"/>
              </w:rPr>
              <w:t>非複雜產品</w:t>
            </w:r>
          </w:p>
          <w:p w14:paraId="1AD32CBB">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hint="eastAsia" w:ascii="仿宋" w:hAnsi="仿宋" w:eastAsia="仿宋" w:cs="Arial"/>
                <w:b w:val="0"/>
                <w:bCs/>
                <w:sz w:val="24"/>
                <w:szCs w:val="24"/>
              </w:rPr>
              <w:t>於聯交所買賣的股份；</w:t>
            </w:r>
          </w:p>
          <w:p w14:paraId="3267B1F7">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hint="eastAsia" w:ascii="仿宋" w:hAnsi="仿宋" w:eastAsia="仿宋" w:cs="Arial"/>
                <w:b w:val="0"/>
                <w:bCs/>
                <w:sz w:val="24"/>
                <w:szCs w:val="24"/>
              </w:rPr>
              <w:t>非複雜債券，包括不具有其他特點的可贖回債券（請參閱下文有關"複雜"債券的定義）；</w:t>
            </w:r>
          </w:p>
          <w:p w14:paraId="4F2314C4">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證監會根據《單位信託守則》認可的非衍生產品基金；</w:t>
            </w:r>
          </w:p>
          <w:p w14:paraId="0FE07A59">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於聯交所買賣的證監會認可非衍生產品交易所買賣基金（ETF）；</w:t>
            </w:r>
          </w:p>
          <w:p w14:paraId="31C26553">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於聯交所買賣的證監會認可房地產投資信託基金；及</w:t>
            </w:r>
          </w:p>
          <w:p w14:paraId="09B5F573">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證監會可能不時指明的任何其他投資產品。</w:t>
            </w:r>
          </w:p>
          <w:p w14:paraId="2495FD84">
            <w:pPr>
              <w:snapToGrid w:val="0"/>
              <w:spacing w:before="0" w:after="0" w:line="240" w:lineRule="auto"/>
              <w:ind w:firstLine="313" w:firstLineChars="130"/>
              <w:rPr>
                <w:rFonts w:ascii="仿宋" w:hAnsi="仿宋" w:eastAsia="仿宋" w:cs="Arial"/>
                <w:b/>
                <w:bCs w:val="0"/>
                <w:sz w:val="24"/>
                <w:szCs w:val="24"/>
              </w:rPr>
            </w:pPr>
          </w:p>
          <w:p w14:paraId="292B8865">
            <w:pPr>
              <w:snapToGrid w:val="0"/>
              <w:spacing w:before="0" w:after="0" w:line="240" w:lineRule="auto"/>
              <w:ind w:firstLine="313" w:firstLineChars="130"/>
              <w:rPr>
                <w:rFonts w:ascii="仿宋" w:hAnsi="仿宋" w:eastAsia="仿宋" w:cs="Arial"/>
                <w:b w:val="0"/>
                <w:bCs w:val="0"/>
                <w:sz w:val="24"/>
                <w:szCs w:val="24"/>
                <w:u w:val="single"/>
              </w:rPr>
            </w:pPr>
            <w:r>
              <w:rPr>
                <w:rFonts w:hint="eastAsia" w:ascii="仿宋" w:hAnsi="仿宋" w:eastAsia="仿宋" w:cs="Arial"/>
                <w:b/>
                <w:bCs/>
                <w:sz w:val="24"/>
                <w:szCs w:val="24"/>
                <w:u w:val="single"/>
              </w:rPr>
              <w:t>複雜產品 (在交易所買賣的衍生產品)</w:t>
            </w:r>
          </w:p>
          <w:p w14:paraId="061C638F">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於期交所買賣的期貨合約；</w:t>
            </w:r>
          </w:p>
          <w:p w14:paraId="0A2428C3">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於聯交所買賣的股票衍生工具（例如衍生權證、牛熊證及上市認股權）；</w:t>
            </w:r>
          </w:p>
          <w:p w14:paraId="283C8314">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證監會認可及於聯交所買賣的合成ETF及期貨ETF；</w:t>
            </w:r>
          </w:p>
          <w:p w14:paraId="347D5F9F">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證監會認可及於聯交所買賣的槓桿及反向產品；及</w:t>
            </w:r>
          </w:p>
          <w:p w14:paraId="48CA29EF">
            <w:pPr>
              <w:pStyle w:val="60"/>
              <w:numPr>
                <w:ilvl w:val="0"/>
                <w:numId w:val="3"/>
              </w:numPr>
              <w:snapToGrid w:val="0"/>
              <w:spacing w:before="0" w:after="0" w:line="240" w:lineRule="auto"/>
              <w:ind w:left="0" w:leftChars="0" w:firstLine="312" w:firstLineChars="130"/>
              <w:rPr>
                <w:rFonts w:ascii="仿宋" w:hAnsi="仿宋" w:eastAsia="仿宋" w:cs="Arial"/>
                <w:b/>
                <w:bCs w:val="0"/>
                <w:sz w:val="24"/>
                <w:szCs w:val="24"/>
              </w:rPr>
            </w:pPr>
            <w:r>
              <w:rPr>
                <w:rFonts w:ascii="仿宋" w:hAnsi="仿宋" w:eastAsia="仿宋" w:cs="Arial"/>
                <w:b w:val="0"/>
                <w:bCs/>
                <w:sz w:val="24"/>
                <w:szCs w:val="24"/>
              </w:rPr>
              <w:t>證監會可能不時指明的任何其他投資產品。</w:t>
            </w:r>
          </w:p>
          <w:p w14:paraId="0EB78121">
            <w:pPr>
              <w:snapToGrid w:val="0"/>
              <w:spacing w:before="0" w:after="0" w:line="240" w:lineRule="auto"/>
              <w:rPr>
                <w:rFonts w:ascii="仿宋" w:hAnsi="仿宋" w:eastAsia="仿宋" w:cs="Arial"/>
                <w:b w:val="0"/>
                <w:bCs w:val="0"/>
                <w:sz w:val="24"/>
                <w:szCs w:val="24"/>
              </w:rPr>
            </w:pPr>
          </w:p>
          <w:p w14:paraId="30E19785">
            <w:pPr>
              <w:snapToGrid w:val="0"/>
              <w:spacing w:before="0" w:after="0" w:line="240" w:lineRule="auto"/>
              <w:ind w:firstLine="313" w:firstLineChars="130"/>
              <w:rPr>
                <w:rFonts w:ascii="仿宋" w:hAnsi="仿宋" w:eastAsia="仿宋" w:cs="Arial"/>
                <w:b w:val="0"/>
                <w:bCs w:val="0"/>
                <w:sz w:val="24"/>
                <w:szCs w:val="24"/>
                <w:u w:val="single"/>
              </w:rPr>
            </w:pPr>
            <w:r>
              <w:rPr>
                <w:rFonts w:hint="eastAsia" w:ascii="仿宋" w:hAnsi="仿宋" w:eastAsia="仿宋" w:cs="Arial"/>
                <w:b/>
                <w:bCs/>
                <w:sz w:val="24"/>
                <w:szCs w:val="24"/>
                <w:u w:val="single"/>
              </w:rPr>
              <w:t>其他複雜產品</w:t>
            </w:r>
          </w:p>
          <w:p w14:paraId="597E9C8F">
            <w:pPr>
              <w:pStyle w:val="60"/>
              <w:numPr>
                <w:ilvl w:val="1"/>
                <w:numId w:val="2"/>
              </w:numPr>
              <w:snapToGrid w:val="0"/>
              <w:spacing w:before="0" w:after="0" w:line="240" w:lineRule="auto"/>
              <w:ind w:leftChars="0"/>
              <w:rPr>
                <w:rFonts w:ascii="仿宋" w:hAnsi="仿宋" w:eastAsia="仿宋" w:cs="Arial"/>
                <w:b/>
                <w:bCs w:val="0"/>
                <w:sz w:val="24"/>
                <w:szCs w:val="24"/>
              </w:rPr>
            </w:pPr>
            <w:r>
              <w:rPr>
                <w:rFonts w:ascii="仿宋" w:hAnsi="仿宋" w:eastAsia="仿宋" w:cs="Arial"/>
                <w:b w:val="0"/>
                <w:bCs/>
                <w:sz w:val="24"/>
                <w:szCs w:val="24"/>
              </w:rPr>
              <w:t>複雜債券。複雜債券是指具有某些特點的債券（包括（但不限於）屬永續性質或後償性質的債券，或那些具有浮息或延遲派付利息條款、可延遲到期日，或那些屬可換股或可交換性質或具有或然撇減或彌補虧損特點的債券，或那些具備非單一信貸支持提供者及結構的債券）及／或由一項或以上特點組成的債券；</w:t>
            </w:r>
          </w:p>
          <w:p w14:paraId="69491295">
            <w:pPr>
              <w:pStyle w:val="60"/>
              <w:numPr>
                <w:ilvl w:val="1"/>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val="0"/>
                <w:bCs/>
                <w:sz w:val="24"/>
                <w:szCs w:val="24"/>
              </w:rPr>
              <w:t>證監會根據《單位信託守則》認可並屬於衍生產品基金的基金；</w:t>
            </w:r>
          </w:p>
          <w:p w14:paraId="335AC8E7">
            <w:pPr>
              <w:pStyle w:val="60"/>
              <w:numPr>
                <w:ilvl w:val="1"/>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val="0"/>
                <w:bCs/>
                <w:sz w:val="24"/>
                <w:szCs w:val="24"/>
              </w:rPr>
              <w:t>證監會根據《單位信託守則》第8.7條認可的基金（即證監會認可對沖基金）；</w:t>
            </w:r>
          </w:p>
          <w:p w14:paraId="3CDA198A">
            <w:pPr>
              <w:pStyle w:val="60"/>
              <w:numPr>
                <w:ilvl w:val="1"/>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val="0"/>
                <w:bCs/>
                <w:sz w:val="24"/>
                <w:szCs w:val="24"/>
              </w:rPr>
              <w:t>證監會認可的非上市結構性投資產品（包括證監會認可股票掛鈎存款、股票掛鈎投資工具／投資等）；</w:t>
            </w:r>
          </w:p>
          <w:p w14:paraId="161291E3">
            <w:pPr>
              <w:pStyle w:val="60"/>
              <w:numPr>
                <w:ilvl w:val="1"/>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val="0"/>
                <w:bCs/>
                <w:sz w:val="24"/>
                <w:szCs w:val="24"/>
              </w:rPr>
              <w:t>其他並非在交易所買賣的結構性投資產品；及</w:t>
            </w:r>
          </w:p>
          <w:p w14:paraId="61736144">
            <w:pPr>
              <w:pStyle w:val="60"/>
              <w:numPr>
                <w:ilvl w:val="1"/>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val="0"/>
                <w:bCs/>
                <w:sz w:val="24"/>
                <w:szCs w:val="24"/>
              </w:rPr>
              <w:t>證監會可能不時指明的任何其他投資產品。</w:t>
            </w:r>
          </w:p>
          <w:p w14:paraId="22676990">
            <w:pPr>
              <w:snapToGrid w:val="0"/>
              <w:spacing w:before="0" w:after="0" w:line="240" w:lineRule="auto"/>
              <w:rPr>
                <w:rFonts w:ascii="仿宋" w:hAnsi="仿宋" w:eastAsia="仿宋" w:cs="Arial"/>
                <w:b/>
                <w:bCs w:val="0"/>
                <w:sz w:val="24"/>
                <w:szCs w:val="24"/>
              </w:rPr>
            </w:pPr>
            <w:r>
              <w:rPr>
                <w:rFonts w:ascii="仿宋" w:hAnsi="仿宋" w:eastAsia="仿宋" w:cs="Arial"/>
                <w:b w:val="0"/>
                <w:bCs/>
                <w:sz w:val="24"/>
                <w:szCs w:val="24"/>
              </w:rPr>
              <w:t xml:space="preserve"> </w:t>
            </w:r>
          </w:p>
          <w:p w14:paraId="74497673">
            <w:pPr>
              <w:snapToGrid w:val="0"/>
              <w:spacing w:before="0" w:after="0" w:line="240" w:lineRule="auto"/>
              <w:rPr>
                <w:rFonts w:ascii="仿宋" w:hAnsi="仿宋" w:eastAsia="仿宋" w:cs="Arial"/>
                <w:b/>
                <w:bCs w:val="0"/>
                <w:sz w:val="24"/>
                <w:szCs w:val="24"/>
              </w:rPr>
            </w:pPr>
            <w:r>
              <w:rPr>
                <w:rFonts w:ascii="仿宋" w:hAnsi="仿宋" w:eastAsia="仿宋" w:cs="Arial"/>
                <w:b w:val="0"/>
                <w:bCs/>
                <w:sz w:val="24"/>
                <w:szCs w:val="24"/>
              </w:rPr>
              <w:t>有關釐定非認可基金是否屬於複雜產品的流程圖可透過</w:t>
            </w:r>
            <w:r>
              <w:fldChar w:fldCharType="begin"/>
            </w:r>
            <w:r>
              <w:instrText xml:space="preserve"> HYPERLINK "https://www.sfc.hk/web/TC/files/Unauthorized%20funds%20flowchart.pdf" </w:instrText>
            </w:r>
            <w:r>
              <w:fldChar w:fldCharType="separate"/>
            </w:r>
            <w:r>
              <w:rPr>
                <w:rStyle w:val="28"/>
                <w:rFonts w:ascii="仿宋" w:hAnsi="仿宋" w:eastAsia="仿宋" w:cs="Arial"/>
                <w:b w:val="0"/>
                <w:bCs/>
                <w:sz w:val="24"/>
                <w:szCs w:val="24"/>
              </w:rPr>
              <w:t>https://www.sfc.hk/web/TC/files/Unauthorized%20funds%20flowchart.pdf</w:t>
            </w:r>
            <w:r>
              <w:rPr>
                <w:rStyle w:val="28"/>
                <w:rFonts w:ascii="仿宋" w:hAnsi="仿宋" w:eastAsia="仿宋" w:cs="Arial"/>
                <w:b w:val="0"/>
                <w:bCs/>
                <w:sz w:val="24"/>
                <w:szCs w:val="24"/>
              </w:rPr>
              <w:fldChar w:fldCharType="end"/>
            </w:r>
            <w:r>
              <w:rPr>
                <w:rFonts w:ascii="仿宋" w:hAnsi="仿宋" w:eastAsia="仿宋" w:cs="Arial"/>
                <w:b w:val="0"/>
                <w:bCs/>
                <w:sz w:val="24"/>
                <w:szCs w:val="24"/>
              </w:rPr>
              <w:t>取覽，以作參考之用。</w:t>
            </w:r>
          </w:p>
          <w:p w14:paraId="4152225F">
            <w:pPr>
              <w:snapToGrid w:val="0"/>
              <w:spacing w:before="0" w:after="0" w:line="240" w:lineRule="auto"/>
              <w:rPr>
                <w:rFonts w:ascii="仿宋" w:hAnsi="仿宋" w:eastAsia="仿宋" w:cs="Arial"/>
                <w:b/>
                <w:bCs w:val="0"/>
                <w:sz w:val="24"/>
                <w:szCs w:val="24"/>
              </w:rPr>
            </w:pPr>
          </w:p>
          <w:p w14:paraId="06FD7573">
            <w:pPr>
              <w:snapToGrid w:val="0"/>
              <w:spacing w:before="0" w:after="0" w:line="240" w:lineRule="auto"/>
              <w:rPr>
                <w:rFonts w:ascii="仿宋" w:hAnsi="仿宋" w:eastAsia="仿宋" w:cs="Arial"/>
                <w:b/>
                <w:bCs w:val="0"/>
                <w:sz w:val="24"/>
                <w:szCs w:val="24"/>
              </w:rPr>
            </w:pPr>
            <w:r>
              <w:rPr>
                <w:rFonts w:ascii="仿宋" w:hAnsi="仿宋" w:eastAsia="仿宋" w:cs="Arial"/>
                <w:b w:val="0"/>
                <w:bCs/>
                <w:sz w:val="24"/>
                <w:szCs w:val="24"/>
              </w:rPr>
              <w:t>證監會不時於網站</w:t>
            </w:r>
            <w:r>
              <w:fldChar w:fldCharType="begin"/>
            </w:r>
            <w:r>
              <w:instrText xml:space="preserve"> HYPERLINK "https://www.sfc.hk/web/TC/rules-and-standards/suitability-requirement/non-complex-and-complex-products/" </w:instrText>
            </w:r>
            <w:r>
              <w:fldChar w:fldCharType="separate"/>
            </w:r>
            <w:r>
              <w:rPr>
                <w:rStyle w:val="28"/>
                <w:rFonts w:ascii="仿宋" w:hAnsi="仿宋" w:eastAsia="仿宋" w:cs="Arial"/>
                <w:b w:val="0"/>
                <w:bCs/>
                <w:sz w:val="24"/>
                <w:szCs w:val="24"/>
              </w:rPr>
              <w:t>https://www.sfc.hk/web/TC/rules-and-standards/suitability-requirement/non-complex-and-complex-products/</w:t>
            </w:r>
            <w:r>
              <w:rPr>
                <w:rStyle w:val="28"/>
                <w:rFonts w:ascii="仿宋" w:hAnsi="仿宋" w:eastAsia="仿宋" w:cs="Arial"/>
                <w:b w:val="0"/>
                <w:bCs/>
                <w:sz w:val="24"/>
                <w:szCs w:val="24"/>
              </w:rPr>
              <w:fldChar w:fldCharType="end"/>
            </w:r>
            <w:r>
              <w:rPr>
                <w:rFonts w:ascii="仿宋" w:hAnsi="仿宋" w:eastAsia="仿宋" w:cs="Arial"/>
                <w:b w:val="0"/>
                <w:bCs/>
                <w:sz w:val="24"/>
                <w:szCs w:val="24"/>
              </w:rPr>
              <w:t>更新以上的列表。</w:t>
            </w:r>
          </w:p>
          <w:p w14:paraId="448F7593">
            <w:pPr>
              <w:snapToGrid w:val="0"/>
              <w:spacing w:before="0" w:after="0" w:line="240" w:lineRule="auto"/>
              <w:rPr>
                <w:rFonts w:ascii="仿宋" w:hAnsi="仿宋" w:eastAsia="仿宋" w:cs="Arial"/>
                <w:b/>
                <w:bCs w:val="0"/>
                <w:sz w:val="24"/>
                <w:szCs w:val="24"/>
              </w:rPr>
            </w:pPr>
          </w:p>
          <w:p w14:paraId="4E9E561A">
            <w:pPr>
              <w:pStyle w:val="60"/>
              <w:numPr>
                <w:ilvl w:val="0"/>
                <w:numId w:val="2"/>
              </w:numPr>
              <w:snapToGrid w:val="0"/>
              <w:spacing w:before="0" w:after="0" w:line="240" w:lineRule="auto"/>
              <w:ind w:leftChars="0"/>
              <w:rPr>
                <w:rFonts w:ascii="仿宋" w:hAnsi="仿宋" w:eastAsia="仿宋" w:cs="Arial"/>
                <w:b/>
                <w:bCs w:val="0"/>
                <w:sz w:val="24"/>
                <w:szCs w:val="24"/>
              </w:rPr>
            </w:pPr>
            <w:r>
              <w:rPr>
                <w:rFonts w:hint="eastAsia" w:ascii="仿宋" w:hAnsi="仿宋" w:eastAsia="仿宋" w:cs="Arial"/>
                <w:b/>
                <w:bCs/>
                <w:sz w:val="24"/>
                <w:szCs w:val="24"/>
              </w:rPr>
              <w:t>指明司法管轄區</w:t>
            </w:r>
          </w:p>
          <w:p w14:paraId="2B5A0B26">
            <w:pPr>
              <w:snapToGrid w:val="0"/>
              <w:spacing w:before="0" w:after="0" w:line="240" w:lineRule="auto"/>
              <w:ind w:left="312" w:leftChars="156" w:firstLine="1"/>
              <w:rPr>
                <w:rFonts w:ascii="仿宋" w:hAnsi="仿宋" w:eastAsia="仿宋" w:cs="Arial"/>
                <w:b/>
                <w:bCs w:val="0"/>
                <w:sz w:val="24"/>
                <w:szCs w:val="24"/>
              </w:rPr>
            </w:pPr>
            <w:r>
              <w:rPr>
                <w:rFonts w:hint="eastAsia" w:ascii="仿宋" w:hAnsi="仿宋" w:eastAsia="仿宋" w:cs="Arial"/>
                <w:b w:val="0"/>
                <w:bCs/>
                <w:sz w:val="24"/>
                <w:szCs w:val="24"/>
              </w:rPr>
              <w:t xml:space="preserve">也應考慮某項投資產品是否與非複雜及複雜產品的例子列表中所載的投資產品屬同一種類，以及該產品是否在指明司法管轄區受到監管或在其區內的交易所買賣。證監會網站的指明司法管轄區名單 : </w:t>
            </w:r>
            <w:r>
              <w:fldChar w:fldCharType="begin"/>
            </w:r>
            <w:r>
              <w:instrText xml:space="preserve"> HYPERLINK "https://www.sfc.hk/web/TC/rules-and-standards/suitability-requirement/non-complex-and-complex-products/list-of-specified-jurisdictions.html" </w:instrText>
            </w:r>
            <w:r>
              <w:fldChar w:fldCharType="separate"/>
            </w:r>
            <w:r>
              <w:rPr>
                <w:rStyle w:val="28"/>
                <w:rFonts w:ascii="仿宋" w:hAnsi="仿宋" w:eastAsia="仿宋" w:cs="Arial"/>
                <w:b w:val="0"/>
                <w:bCs/>
                <w:sz w:val="24"/>
                <w:szCs w:val="24"/>
              </w:rPr>
              <w:t>https://www.sfc.hk/web/TC/rules-and-standards/suitability-requirement/non-complex-and-complex-products/list-of-specified-jurisdictions.html</w:t>
            </w:r>
            <w:r>
              <w:rPr>
                <w:rStyle w:val="28"/>
                <w:rFonts w:ascii="仿宋" w:hAnsi="仿宋" w:eastAsia="仿宋" w:cs="Arial"/>
                <w:b w:val="0"/>
                <w:bCs/>
                <w:sz w:val="24"/>
                <w:szCs w:val="24"/>
              </w:rPr>
              <w:fldChar w:fldCharType="end"/>
            </w:r>
          </w:p>
          <w:p w14:paraId="386A7344">
            <w:pPr>
              <w:snapToGrid w:val="0"/>
              <w:spacing w:before="0" w:after="0" w:line="240" w:lineRule="auto"/>
              <w:ind w:left="312" w:leftChars="156" w:firstLine="1"/>
              <w:rPr>
                <w:rFonts w:ascii="仿宋" w:hAnsi="仿宋" w:eastAsia="仿宋" w:cs="Arial"/>
                <w:b w:val="0"/>
                <w:bCs w:val="0"/>
                <w:sz w:val="24"/>
                <w:szCs w:val="24"/>
              </w:rPr>
            </w:pPr>
            <w:r>
              <w:rPr>
                <w:rFonts w:hint="eastAsia" w:ascii="仿宋" w:hAnsi="仿宋" w:eastAsia="仿宋" w:cs="Arial"/>
                <w:b w:val="0"/>
                <w:bCs/>
                <w:sz w:val="24"/>
                <w:szCs w:val="24"/>
              </w:rPr>
              <w:t>假如該產品是在指明司法管轄區以外的司法管轄區受到監管或在其區內的交易所買賣，便應格外審慎。</w:t>
            </w:r>
          </w:p>
        </w:tc>
      </w:tr>
    </w:tbl>
    <w:p w14:paraId="18316748">
      <w:pPr>
        <w:pStyle w:val="60"/>
        <w:spacing w:before="0" w:after="0"/>
        <w:ind w:left="360" w:leftChars="0"/>
        <w:rPr>
          <w:rFonts w:ascii="仿宋" w:hAnsi="仿宋" w:eastAsia="仿宋" w:cs="Times New Roman"/>
          <w:b/>
          <w:color w:val="000000"/>
          <w:sz w:val="24"/>
          <w:szCs w:val="24"/>
        </w:rPr>
      </w:pPr>
    </w:p>
    <w:p w14:paraId="3A53F0F3">
      <w:pPr>
        <w:pStyle w:val="60"/>
        <w:numPr>
          <w:ilvl w:val="0"/>
          <w:numId w:val="1"/>
        </w:numPr>
        <w:shd w:val="clear" w:color="auto" w:fill="FFFFFF"/>
        <w:spacing w:before="0" w:after="0" w:line="240" w:lineRule="auto"/>
        <w:ind w:left="270" w:leftChars="0" w:right="-142" w:rightChars="-71"/>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風險評估內容 (圈選各項評分)</w:t>
      </w: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8"/>
        <w:gridCol w:w="6804"/>
        <w:gridCol w:w="2407"/>
      </w:tblGrid>
      <w:tr w14:paraId="766BCA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bottom w:val="single" w:color="auto" w:sz="4" w:space="0"/>
            </w:tcBorders>
            <w:vAlign w:val="top"/>
          </w:tcPr>
          <w:p w14:paraId="414F722B">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.1</w:t>
            </w:r>
          </w:p>
        </w:tc>
        <w:tc>
          <w:tcPr>
            <w:tcW w:w="3048" w:type="dxa"/>
            <w:tcBorders>
              <w:bottom w:val="single" w:color="auto" w:sz="4" w:space="0"/>
            </w:tcBorders>
            <w:vAlign w:val="top"/>
          </w:tcPr>
          <w:p w14:paraId="1FDBB7EF">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基金種類</w:t>
            </w:r>
          </w:p>
        </w:tc>
        <w:tc>
          <w:tcPr>
            <w:tcW w:w="3048" w:type="dxa"/>
            <w:tcBorders>
              <w:bottom w:val="single" w:color="auto" w:sz="4" w:space="0"/>
            </w:tcBorders>
            <w:vAlign w:val="top"/>
          </w:tcPr>
          <w:p w14:paraId="4B2C1D45">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65F8CF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r>
              <w:t>本基金属货币市场型，资料未载明具体风险评分。</w:t>
            </w:r>
          </w:p>
        </w:tc>
        <w:tc>
          <w:tcPr>
            <w:tcW w:w="3048" w:type="dxa"/>
            <w:vAlign w:val="top"/>
          </w:tcPr>
          <w:p w14:paraId="5D31B149">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貨幣市場</w:t>
            </w:r>
            <w:r>
              <w:rPr>
                <w:rFonts w:hint="eastAsia" w:ascii="仿宋" w:hAnsi="仿宋" w:eastAsia="仿宋" w:cs="Times New Roman"/>
                <w:color w:val="000000"/>
                <w:sz w:val="24"/>
                <w:szCs w:val="24"/>
              </w:rPr>
              <w:t>型</w:t>
            </w:r>
          </w:p>
        </w:tc>
        <w:tc>
          <w:tcPr>
            <w:tcW w:w="3048" w:type="dxa"/>
            <w:tcBorders>
              <w:right w:val="single" w:color="auto" w:sz="4" w:space="0"/>
            </w:tcBorders>
            <w:vAlign w:val="top"/>
          </w:tcPr>
          <w:p w14:paraId="566B1B07">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1BC2F3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r>
              <w:t>资料未载明具体风险评分结果。</w:t>
            </w:r>
          </w:p>
        </w:tc>
        <w:tc>
          <w:tcPr>
            <w:tcW w:w="3048" w:type="dxa"/>
            <w:vAlign w:val="top"/>
          </w:tcPr>
          <w:p w14:paraId="62F3EA55">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債券型（除可轉換債券型、債券型基金劣後份額）</w:t>
            </w:r>
          </w:p>
        </w:tc>
        <w:tc>
          <w:tcPr>
            <w:tcW w:w="3048" w:type="dxa"/>
            <w:tcBorders>
              <w:right w:val="single" w:color="auto" w:sz="4" w:space="0"/>
            </w:tcBorders>
            <w:vAlign w:val="top"/>
          </w:tcPr>
          <w:p w14:paraId="42719DE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554D7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2107D7CD">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44EE952F">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混合型（股票資產占比不可高於</w:t>
            </w:r>
            <w:r>
              <w:rPr>
                <w:rFonts w:ascii="仿宋" w:hAnsi="仿宋" w:eastAsia="仿宋" w:cs="Times New Roman"/>
                <w:color w:val="000000"/>
                <w:sz w:val="24"/>
                <w:szCs w:val="24"/>
              </w:rPr>
              <w:t>80%</w:t>
            </w:r>
            <w:r>
              <w:rPr>
                <w:rFonts w:hint="eastAsia" w:ascii="仿宋" w:hAnsi="仿宋" w:eastAsia="仿宋" w:cs="Times New Roman"/>
                <w:color w:val="000000"/>
                <w:sz w:val="24"/>
                <w:szCs w:val="24"/>
              </w:rPr>
              <w:t>）、可轉換債券型、</w:t>
            </w:r>
            <w:r>
              <w:rPr>
                <w:rFonts w:ascii="仿宋" w:hAnsi="仿宋" w:eastAsia="仿宋" w:cs="Times New Roman"/>
                <w:color w:val="000000"/>
                <w:sz w:val="24"/>
                <w:szCs w:val="24"/>
              </w:rPr>
              <w:t>REITs</w:t>
            </w:r>
          </w:p>
        </w:tc>
        <w:tc>
          <w:tcPr>
            <w:tcW w:w="3048" w:type="dxa"/>
            <w:tcBorders>
              <w:right w:val="single" w:color="auto" w:sz="4" w:space="0"/>
            </w:tcBorders>
            <w:vAlign w:val="top"/>
          </w:tcPr>
          <w:p w14:paraId="0FDE1161">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4E6943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19303CE0">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6A9C1831">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股票型（除股票型基金劣後份額）、混合型（股票資產占比可高於</w:t>
            </w:r>
            <w:r>
              <w:rPr>
                <w:rFonts w:ascii="仿宋" w:hAnsi="仿宋" w:eastAsia="仿宋" w:cs="Times New Roman"/>
                <w:color w:val="000000"/>
                <w:sz w:val="24"/>
                <w:szCs w:val="24"/>
              </w:rPr>
              <w:t>80%</w:t>
            </w:r>
            <w:r>
              <w:rPr>
                <w:rFonts w:hint="eastAsia" w:ascii="仿宋" w:hAnsi="仿宋" w:eastAsia="仿宋" w:cs="Times New Roman"/>
                <w:color w:val="000000"/>
                <w:sz w:val="24"/>
                <w:szCs w:val="24"/>
              </w:rPr>
              <w:t>）</w:t>
            </w:r>
          </w:p>
        </w:tc>
        <w:tc>
          <w:tcPr>
            <w:tcW w:w="3048" w:type="dxa"/>
            <w:tcBorders>
              <w:right w:val="single" w:color="auto" w:sz="4" w:space="0"/>
            </w:tcBorders>
            <w:vAlign w:val="top"/>
          </w:tcPr>
          <w:p w14:paraId="0159003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620AA6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bottom w:val="single" w:color="auto" w:sz="4" w:space="0"/>
            </w:tcBorders>
            <w:vAlign w:val="top"/>
          </w:tcPr>
          <w:p w14:paraId="374893BB">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tcBorders>
              <w:bottom w:val="single" w:color="auto" w:sz="4" w:space="0"/>
            </w:tcBorders>
            <w:vAlign w:val="top"/>
          </w:tcPr>
          <w:p w14:paraId="7658444C">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分級產品劣後份額等</w:t>
            </w:r>
          </w:p>
        </w:tc>
        <w:tc>
          <w:tcPr>
            <w:tcW w:w="3048" w:type="dxa"/>
            <w:tcBorders>
              <w:bottom w:val="single" w:color="auto" w:sz="4" w:space="0"/>
              <w:right w:val="single" w:color="auto" w:sz="4" w:space="0"/>
            </w:tcBorders>
            <w:vAlign w:val="top"/>
          </w:tcPr>
          <w:p w14:paraId="33410FDF">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r w14:paraId="01660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9" w:hRule="atLeast"/>
          <w:jc w:val="center"/>
        </w:trPr>
        <w:tc>
          <w:tcPr>
            <w:tcW w:w="3048" w:type="dxa"/>
            <w:tcBorders>
              <w:left w:val="single" w:color="auto" w:sz="4" w:space="0"/>
              <w:bottom w:val="single" w:color="auto" w:sz="4" w:space="0"/>
            </w:tcBorders>
            <w:shd w:val="clear" w:color="auto" w:fill="auto"/>
            <w:vAlign w:val="top"/>
          </w:tcPr>
          <w:p w14:paraId="4D8FD6A5">
            <w:pPr>
              <w:pStyle w:val="60"/>
              <w:snapToGrid w:val="0"/>
              <w:spacing w:before="0" w:after="0" w:line="240" w:lineRule="auto"/>
              <w:ind w:left="0" w:leftChars="0"/>
              <w:rPr>
                <w:rFonts w:ascii="仿宋" w:hAnsi="仿宋" w:eastAsia="仿宋" w:cs="Times New Roman"/>
                <w:color w:val="000000"/>
                <w:sz w:val="24"/>
                <w:szCs w:val="24"/>
              </w:rPr>
            </w:pPr>
          </w:p>
        </w:tc>
        <w:tc>
          <w:tcPr>
            <w:tcW w:w="3048" w:type="dxa"/>
            <w:tcBorders>
              <w:bottom w:val="single" w:color="auto" w:sz="4" w:space="0"/>
            </w:tcBorders>
            <w:shd w:val="clear" w:color="auto" w:fill="auto"/>
            <w:vAlign w:val="top"/>
          </w:tcPr>
          <w:p w14:paraId="222A6710">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其他，請說明</w:t>
            </w:r>
            <w:r>
              <w:rPr>
                <w:rFonts w:hint="eastAsia" w:ascii="仿宋" w:hAnsi="仿宋" w:eastAsia="仿宋" w:cs="Times New Roman"/>
                <w:color w:val="000000"/>
                <w:sz w:val="24"/>
                <w:szCs w:val="24"/>
              </w:rPr>
              <w:t>:</w:t>
            </w:r>
            <w:r>
              <w:rPr>
                <w:rFonts w:ascii="仿宋" w:hAnsi="仿宋" w:eastAsia="仿宋" w:cs="Times New Roman"/>
                <w:color w:val="000000"/>
                <w:sz w:val="24"/>
                <w:szCs w:val="24"/>
              </w:rPr>
              <w:t xml:space="preserve"> ________________________________________</w:t>
            </w:r>
          </w:p>
          <w:p w14:paraId="4FC09299">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(需打分，</w:t>
            </w:r>
            <w:r>
              <w:rPr>
                <w:rFonts w:hint="eastAsia" w:ascii="仿宋" w:hAnsi="仿宋" w:eastAsia="仿宋" w:cs="Times New Roman"/>
                <w:color w:val="000000"/>
                <w:sz w:val="24"/>
                <w:szCs w:val="24"/>
              </w:rPr>
              <w:t>1</w:t>
            </w:r>
            <w:r>
              <w:rPr>
                <w:rFonts w:ascii="仿宋" w:hAnsi="仿宋" w:eastAsia="仿宋" w:cs="Times New Roman"/>
                <w:color w:val="000000"/>
                <w:sz w:val="24"/>
                <w:szCs w:val="24"/>
              </w:rPr>
              <w:t>-5分內</w:t>
            </w:r>
            <w:r>
              <w:rPr>
                <w:rFonts w:hint="eastAsia" w:ascii="仿宋" w:hAnsi="仿宋" w:eastAsia="仿宋" w:cs="Times New Roman"/>
                <w:color w:val="000000"/>
                <w:sz w:val="24"/>
                <w:szCs w:val="24"/>
              </w:rPr>
              <w:t>)</w:t>
            </w:r>
          </w:p>
        </w:tc>
        <w:tc>
          <w:tcPr>
            <w:tcW w:w="3048" w:type="dxa"/>
            <w:tcBorders>
              <w:bottom w:val="single" w:color="auto" w:sz="4" w:space="0"/>
              <w:right w:val="single" w:color="auto" w:sz="4" w:space="0"/>
            </w:tcBorders>
            <w:shd w:val="clear" w:color="auto" w:fill="auto"/>
            <w:vAlign w:val="top"/>
          </w:tcPr>
          <w:p w14:paraId="29C4E3DB">
            <w:pPr>
              <w:snapToGrid w:val="0"/>
              <w:spacing w:before="0" w:after="0" w:line="240" w:lineRule="auto"/>
              <w:rPr>
                <w:rFonts w:ascii="仿宋" w:hAnsi="仿宋" w:eastAsia="仿宋" w:cs="Times New Roman"/>
                <w:color w:val="000000"/>
                <w:sz w:val="24"/>
                <w:szCs w:val="24"/>
                <w:lang w:eastAsia="zh-CN"/>
              </w:rPr>
            </w:pPr>
            <w:r>
              <w:rPr>
                <w:rFonts w:ascii="仿宋" w:hAnsi="仿宋" w:eastAsia="仿宋"/>
                <w:sz w:val="24"/>
              </w:rPr>
              <w:t xml:space="preserve">□ </w:t>
            </w:r>
          </w:p>
        </w:tc>
      </w:tr>
    </w:tbl>
    <w:p w14:paraId="4348BA7A">
      <w:pPr>
        <w:pStyle w:val="60"/>
        <w:shd w:val="clear" w:color="auto" w:fill="FFFFFF"/>
        <w:snapToGrid w:val="0"/>
        <w:spacing w:before="0" w:after="0" w:line="240" w:lineRule="auto"/>
        <w:ind w:left="425" w:leftChars="0"/>
        <w:jc w:val="left"/>
      </w:pPr>
    </w:p>
    <w:tbl>
      <w:tblPr>
        <w:tblStyle w:val="24"/>
        <w:tblpPr w:leftFromText="180" w:rightFromText="180" w:vertAnchor="text" w:horzAnchor="page" w:tblpXSpec="center" w:tblpY="30"/>
        <w:tblOverlap w:val="never"/>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2"/>
        <w:gridCol w:w="6804"/>
        <w:gridCol w:w="2425"/>
      </w:tblGrid>
      <w:tr w14:paraId="751215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bottom w:val="single" w:color="auto" w:sz="4" w:space="0"/>
            </w:tcBorders>
            <w:vAlign w:val="top"/>
          </w:tcPr>
          <w:p w14:paraId="1EE7CB23">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.2</w:t>
            </w:r>
          </w:p>
        </w:tc>
        <w:tc>
          <w:tcPr>
            <w:tcW w:w="3048" w:type="dxa"/>
            <w:tcBorders>
              <w:top w:val="single" w:color="auto" w:sz="4" w:space="0"/>
              <w:bottom w:val="single" w:color="auto" w:sz="4" w:space="0"/>
            </w:tcBorders>
            <w:vAlign w:val="top"/>
          </w:tcPr>
          <w:p w14:paraId="0FEC5BA5">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投資區域分類</w:t>
            </w:r>
          </w:p>
        </w:tc>
        <w:tc>
          <w:tcPr>
            <w:tcW w:w="3048" w:type="dxa"/>
            <w:tcBorders>
              <w:top w:val="single" w:color="auto" w:sz="4" w:space="0"/>
              <w:bottom w:val="single" w:color="auto" w:sz="4" w:space="0"/>
            </w:tcBorders>
            <w:vAlign w:val="top"/>
          </w:tcPr>
          <w:p w14:paraId="65C1F914">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3ADDD5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資料未載明風險評分。</w:t>
            </w:r>
          </w:p>
        </w:tc>
        <w:tc>
          <w:tcPr>
            <w:tcW w:w="3048" w:type="dxa"/>
            <w:tcBorders>
              <w:top w:val="single" w:color="auto" w:sz="4" w:space="0"/>
            </w:tcBorders>
            <w:vAlign w:val="top"/>
          </w:tcPr>
          <w:p w14:paraId="4858C12E">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環球市場</w:t>
            </w:r>
          </w:p>
        </w:tc>
        <w:tc>
          <w:tcPr>
            <w:tcW w:w="3048" w:type="dxa"/>
            <w:tcBorders>
              <w:top w:val="single" w:color="auto" w:sz="4" w:space="0"/>
              <w:right w:val="single" w:color="auto" w:sz="4" w:space="0"/>
            </w:tcBorders>
            <w:vAlign w:val="top"/>
          </w:tcPr>
          <w:p w14:paraId="212F7FED">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42ADE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r>
              <w:t>資料未載明投資區域風險評分。</w:t>
            </w:r>
          </w:p>
        </w:tc>
        <w:tc>
          <w:tcPr>
            <w:tcW w:w="3048" w:type="dxa"/>
            <w:vAlign w:val="top"/>
          </w:tcPr>
          <w:p w14:paraId="5E0C72EC">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整體已開發市場</w:t>
            </w:r>
          </w:p>
        </w:tc>
        <w:tc>
          <w:tcPr>
            <w:tcW w:w="3048" w:type="dxa"/>
            <w:tcBorders>
              <w:right w:val="single" w:color="auto" w:sz="4" w:space="0"/>
            </w:tcBorders>
            <w:vAlign w:val="top"/>
          </w:tcPr>
          <w:p w14:paraId="02E8E56C">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4DD74C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1A9988A8">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49B71BEB">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已開發</w:t>
            </w:r>
            <w:r>
              <w:rPr>
                <w:rFonts w:hint="eastAsia" w:ascii="仿宋" w:hAnsi="仿宋" w:eastAsia="仿宋" w:cs="Times New Roman"/>
                <w:color w:val="000000"/>
                <w:sz w:val="24"/>
                <w:szCs w:val="24"/>
              </w:rPr>
              <w:t>市場</w:t>
            </w:r>
            <w:r>
              <w:rPr>
                <w:rFonts w:ascii="仿宋" w:hAnsi="仿宋" w:eastAsia="仿宋" w:cs="Times New Roman"/>
                <w:color w:val="000000"/>
                <w:sz w:val="24"/>
                <w:szCs w:val="24"/>
              </w:rPr>
              <w:t xml:space="preserve"> – </w:t>
            </w:r>
            <w:r>
              <w:rPr>
                <w:rFonts w:hint="eastAsia" w:ascii="仿宋" w:hAnsi="仿宋" w:eastAsia="仿宋" w:cs="Times New Roman"/>
                <w:color w:val="000000"/>
                <w:sz w:val="24"/>
                <w:szCs w:val="24"/>
              </w:rPr>
              <w:t>非單一國家</w:t>
            </w:r>
            <w:r>
              <w:rPr>
                <w:rFonts w:ascii="仿宋" w:hAnsi="仿宋" w:eastAsia="仿宋" w:cs="Times New Roman"/>
                <w:color w:val="000000"/>
                <w:sz w:val="24"/>
                <w:szCs w:val="24"/>
              </w:rPr>
              <w:t>/</w:t>
            </w:r>
            <w:r>
              <w:rPr>
                <w:rFonts w:hint="eastAsia" w:ascii="仿宋" w:hAnsi="仿宋" w:eastAsia="仿宋" w:cs="Times New Roman"/>
                <w:color w:val="000000"/>
                <w:sz w:val="24"/>
                <w:szCs w:val="24"/>
              </w:rPr>
              <w:t>地區</w:t>
            </w:r>
          </w:p>
          <w:p w14:paraId="49FBF842">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整體新興市場</w:t>
            </w:r>
          </w:p>
        </w:tc>
        <w:tc>
          <w:tcPr>
            <w:tcW w:w="3048" w:type="dxa"/>
            <w:tcBorders>
              <w:right w:val="single" w:color="auto" w:sz="4" w:space="0"/>
            </w:tcBorders>
            <w:vAlign w:val="top"/>
          </w:tcPr>
          <w:p w14:paraId="414DE1F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29D0F1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31BBE13A">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5803A4EF">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已開發</w:t>
            </w:r>
            <w:r>
              <w:rPr>
                <w:rFonts w:hint="eastAsia" w:ascii="仿宋" w:hAnsi="仿宋" w:eastAsia="仿宋" w:cs="Times New Roman"/>
                <w:color w:val="000000"/>
                <w:sz w:val="24"/>
                <w:szCs w:val="24"/>
              </w:rPr>
              <w:t>市場</w:t>
            </w:r>
            <w:r>
              <w:rPr>
                <w:rFonts w:ascii="仿宋" w:hAnsi="仿宋" w:eastAsia="仿宋" w:cs="Times New Roman"/>
                <w:color w:val="000000"/>
                <w:sz w:val="24"/>
                <w:szCs w:val="24"/>
              </w:rPr>
              <w:t xml:space="preserve"> - 單一國家/</w:t>
            </w:r>
            <w:r>
              <w:rPr>
                <w:rFonts w:hint="eastAsia" w:ascii="仿宋" w:hAnsi="仿宋" w:eastAsia="仿宋" w:cs="Times New Roman"/>
                <w:color w:val="000000"/>
                <w:sz w:val="24"/>
                <w:szCs w:val="24"/>
              </w:rPr>
              <w:t>地區</w:t>
            </w:r>
          </w:p>
          <w:p w14:paraId="1D5979C4">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 xml:space="preserve">新興市場 - </w:t>
            </w:r>
            <w:r>
              <w:rPr>
                <w:rFonts w:hint="eastAsia" w:ascii="仿宋" w:hAnsi="仿宋" w:eastAsia="仿宋" w:cs="Times New Roman"/>
                <w:color w:val="000000"/>
                <w:sz w:val="24"/>
                <w:szCs w:val="24"/>
              </w:rPr>
              <w:t>非單一國家</w:t>
            </w:r>
            <w:r>
              <w:rPr>
                <w:rFonts w:ascii="仿宋" w:hAnsi="仿宋" w:eastAsia="仿宋" w:cs="Times New Roman"/>
                <w:color w:val="000000"/>
                <w:sz w:val="24"/>
                <w:szCs w:val="24"/>
              </w:rPr>
              <w:t>/</w:t>
            </w:r>
            <w:r>
              <w:rPr>
                <w:rFonts w:hint="eastAsia" w:ascii="仿宋" w:hAnsi="仿宋" w:eastAsia="仿宋" w:cs="Times New Roman"/>
                <w:color w:val="000000"/>
                <w:sz w:val="24"/>
                <w:szCs w:val="24"/>
              </w:rPr>
              <w:t>地區</w:t>
            </w:r>
          </w:p>
        </w:tc>
        <w:tc>
          <w:tcPr>
            <w:tcW w:w="3048" w:type="dxa"/>
            <w:tcBorders>
              <w:right w:val="single" w:color="auto" w:sz="4" w:space="0"/>
            </w:tcBorders>
            <w:vAlign w:val="top"/>
          </w:tcPr>
          <w:p w14:paraId="43EE37B0">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71EE2B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bottom w:val="single" w:color="auto" w:sz="4" w:space="0"/>
            </w:tcBorders>
            <w:vAlign w:val="top"/>
          </w:tcPr>
          <w:p w14:paraId="65D856A1">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tcBorders>
              <w:bottom w:val="single" w:color="auto" w:sz="4" w:space="0"/>
            </w:tcBorders>
            <w:vAlign w:val="top"/>
          </w:tcPr>
          <w:p w14:paraId="15E978F2">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新興市場</w:t>
            </w:r>
            <w:r>
              <w:rPr>
                <w:rFonts w:hint="eastAsia" w:ascii="仿宋" w:hAnsi="仿宋" w:eastAsia="仿宋" w:cs="Times New Roman"/>
                <w:color w:val="000000"/>
                <w:sz w:val="24"/>
                <w:szCs w:val="24"/>
              </w:rPr>
              <w:t xml:space="preserve"> </w:t>
            </w:r>
            <w:r>
              <w:rPr>
                <w:rFonts w:ascii="仿宋" w:hAnsi="仿宋" w:eastAsia="仿宋" w:cs="Times New Roman"/>
                <w:color w:val="000000"/>
                <w:sz w:val="24"/>
                <w:szCs w:val="24"/>
              </w:rPr>
              <w:t>- 單一國家/</w:t>
            </w:r>
            <w:r>
              <w:rPr>
                <w:rFonts w:hint="eastAsia" w:ascii="仿宋" w:hAnsi="仿宋" w:eastAsia="仿宋" w:cs="Times New Roman"/>
                <w:color w:val="000000"/>
                <w:sz w:val="24"/>
                <w:szCs w:val="24"/>
              </w:rPr>
              <w:t>地區</w:t>
            </w:r>
          </w:p>
        </w:tc>
        <w:tc>
          <w:tcPr>
            <w:tcW w:w="3048" w:type="dxa"/>
            <w:tcBorders>
              <w:bottom w:val="single" w:color="auto" w:sz="4" w:space="0"/>
              <w:right w:val="single" w:color="auto" w:sz="4" w:space="0"/>
            </w:tcBorders>
            <w:vAlign w:val="top"/>
          </w:tcPr>
          <w:p w14:paraId="28188A1C">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2EDACA04">
      <w:pPr>
        <w:pStyle w:val="60"/>
        <w:shd w:val="clear" w:color="auto" w:fill="FFFFFF"/>
        <w:snapToGrid w:val="0"/>
        <w:spacing w:before="0" w:after="0" w:line="240" w:lineRule="auto"/>
        <w:ind w:left="425" w:leftChars="0"/>
        <w:rPr>
          <w:rFonts w:ascii="仿宋" w:hAnsi="仿宋" w:eastAsia="仿宋" w:cs="Times New Roman"/>
          <w:color w:val="000000"/>
          <w:sz w:val="24"/>
          <w:szCs w:val="24"/>
        </w:rPr>
      </w:pPr>
      <w:bookmarkStart w:id="2" w:name="_GoBack"/>
      <w:bookmarkEnd w:id="2"/>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0"/>
        <w:gridCol w:w="6804"/>
        <w:gridCol w:w="2431"/>
      </w:tblGrid>
      <w:tr w14:paraId="6F77CB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bottom w:val="single" w:color="auto" w:sz="4" w:space="0"/>
            </w:tcBorders>
            <w:vAlign w:val="top"/>
          </w:tcPr>
          <w:p w14:paraId="4AA33FEC">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.3</w:t>
            </w:r>
          </w:p>
        </w:tc>
        <w:tc>
          <w:tcPr>
            <w:tcW w:w="3048" w:type="dxa"/>
            <w:tcBorders>
              <w:bottom w:val="single" w:color="auto" w:sz="4" w:space="0"/>
            </w:tcBorders>
            <w:vAlign w:val="top"/>
          </w:tcPr>
          <w:p w14:paraId="73D80FDB">
            <w:pPr>
              <w:shd w:val="clear" w:color="auto" w:fill="FFFFFF"/>
              <w:snapToGrid w:val="0"/>
              <w:spacing w:before="0" w:after="0" w:line="240" w:lineRule="auto"/>
              <w:rPr>
                <w:rFonts w:ascii="仿宋" w:hAnsi="仿宋" w:eastAsia="仿宋" w:cs="Times New Roman"/>
                <w:b/>
                <w:color w:val="000000"/>
                <w:sz w:val="24"/>
                <w:szCs w:val="24"/>
              </w:rPr>
            </w:pPr>
            <w:r>
              <w:rPr>
                <w:rFonts w:hint="eastAsia" w:ascii="仿宋" w:hAnsi="仿宋" w:eastAsia="仿宋" w:cs="Times New Roman"/>
                <w:b/>
                <w:color w:val="000000"/>
                <w:sz w:val="24"/>
                <w:szCs w:val="24"/>
              </w:rPr>
              <w:t>投資槓桿</w:t>
            </w:r>
          </w:p>
        </w:tc>
        <w:tc>
          <w:tcPr>
            <w:tcW w:w="3048" w:type="dxa"/>
            <w:tcBorders>
              <w:bottom w:val="single" w:color="auto" w:sz="4" w:space="0"/>
            </w:tcBorders>
            <w:vAlign w:val="top"/>
          </w:tcPr>
          <w:p w14:paraId="42E53D91">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267A6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資料未載明投資槓桿水平及風險評分。</w:t>
            </w:r>
          </w:p>
        </w:tc>
        <w:tc>
          <w:tcPr>
            <w:tcW w:w="3048" w:type="dxa"/>
            <w:tcBorders>
              <w:top w:val="single" w:color="auto" w:sz="4" w:space="0"/>
            </w:tcBorders>
            <w:vAlign w:val="top"/>
          </w:tcPr>
          <w:p w14:paraId="44C141FC">
            <w:pPr>
              <w:pStyle w:val="60"/>
              <w:snapToGrid w:val="0"/>
              <w:spacing w:before="0" w:after="0" w:line="240" w:lineRule="auto"/>
              <w:ind w:left="0" w:leftChars="0"/>
              <w:rPr>
                <w:rFonts w:ascii="仿宋" w:hAnsi="仿宋" w:eastAsia="仿宋" w:cs="Times New Roman"/>
                <w:color w:val="000000"/>
                <w:sz w:val="24"/>
                <w:szCs w:val="24"/>
                <w:lang w:eastAsia="zh-CN"/>
              </w:rPr>
            </w:pPr>
            <w:r>
              <w:rPr>
                <w:rFonts w:hint="eastAsia" w:ascii="仿宋" w:hAnsi="仿宋" w:eastAsia="仿宋" w:cs="Times New Roman"/>
                <w:color w:val="000000"/>
                <w:sz w:val="24"/>
                <w:szCs w:val="24"/>
                <w:lang w:eastAsia="zh-CN"/>
              </w:rPr>
              <w:t>無，不允許使用槓桿；</w:t>
            </w:r>
            <w:r>
              <w:rPr>
                <w:rFonts w:hint="eastAsia" w:ascii="仿宋" w:hAnsi="仿宋" w:eastAsia="仿宋" w:cs="Times New Roman"/>
                <w:color w:val="000000" w:themeColor="text1"/>
                <w:sz w:val="24"/>
                <w:szCs w:val="24"/>
                <w:lang w:eastAsia="zh-CN"/>
                <w14:textFill>
                  <w14:solidFill>
                    <w14:schemeClr w14:val="tx1"/>
                  </w14:solidFill>
                </w14:textFill>
              </w:rPr>
              <w:t>或分级产品之优先级份额</w:t>
            </w:r>
          </w:p>
        </w:tc>
        <w:tc>
          <w:tcPr>
            <w:tcW w:w="3048" w:type="dxa"/>
            <w:tcBorders>
              <w:top w:val="single" w:color="auto" w:sz="4" w:space="0"/>
              <w:right w:val="single" w:color="auto" w:sz="4" w:space="0"/>
            </w:tcBorders>
            <w:vAlign w:val="top"/>
          </w:tcPr>
          <w:p w14:paraId="450D336B">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0</w:t>
            </w:r>
          </w:p>
        </w:tc>
      </w:tr>
      <w:tr w14:paraId="069F68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048" w:type="dxa"/>
            <w:tcBorders>
              <w:top w:val="single" w:color="auto" w:sz="4" w:space="0"/>
              <w:left w:val="single" w:color="auto" w:sz="4" w:space="0"/>
            </w:tcBorders>
            <w:vAlign w:val="top"/>
          </w:tcPr>
          <w:p w14:paraId="409B03C6">
            <w:pPr>
              <w:pStyle w:val="60"/>
              <w:snapToGrid w:val="0"/>
              <w:spacing w:before="0" w:after="0" w:line="240" w:lineRule="auto"/>
              <w:ind w:left="0" w:leftChars="0"/>
              <w:rPr>
                <w:rFonts w:ascii="仿宋" w:hAnsi="仿宋" w:eastAsia="仿宋" w:cs="Times New Roman"/>
                <w:color w:val="000000"/>
                <w:sz w:val="24"/>
                <w:szCs w:val="24"/>
              </w:rPr>
            </w:pPr>
          </w:p>
        </w:tc>
        <w:tc>
          <w:tcPr>
            <w:tcW w:w="3048" w:type="dxa"/>
            <w:tcBorders>
              <w:top w:val="single" w:color="auto" w:sz="4" w:space="0"/>
            </w:tcBorders>
            <w:vAlign w:val="top"/>
          </w:tcPr>
          <w:p w14:paraId="15EC94AE">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25%</w:t>
            </w:r>
          </w:p>
        </w:tc>
        <w:tc>
          <w:tcPr>
            <w:tcW w:w="3048" w:type="dxa"/>
            <w:tcBorders>
              <w:top w:val="single" w:color="auto" w:sz="4" w:space="0"/>
              <w:right w:val="single" w:color="auto" w:sz="4" w:space="0"/>
            </w:tcBorders>
            <w:vAlign w:val="top"/>
          </w:tcPr>
          <w:p w14:paraId="30109135">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10E656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2C735D8D">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60D8B2AD">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50%</w:t>
            </w:r>
          </w:p>
        </w:tc>
        <w:tc>
          <w:tcPr>
            <w:tcW w:w="3048" w:type="dxa"/>
            <w:tcBorders>
              <w:right w:val="single" w:color="auto" w:sz="4" w:space="0"/>
            </w:tcBorders>
            <w:vAlign w:val="top"/>
          </w:tcPr>
          <w:p w14:paraId="744B897C">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55195A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6F9CE0F1">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706E8205">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100%</w:t>
            </w:r>
          </w:p>
        </w:tc>
        <w:tc>
          <w:tcPr>
            <w:tcW w:w="3048" w:type="dxa"/>
            <w:tcBorders>
              <w:right w:val="single" w:color="auto" w:sz="4" w:space="0"/>
            </w:tcBorders>
            <w:vAlign w:val="top"/>
          </w:tcPr>
          <w:p w14:paraId="5A7EFF6A">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7C4EC0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48A833CC">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77D7FE2F">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可高於1</w:t>
            </w:r>
            <w:r>
              <w:rPr>
                <w:rFonts w:ascii="仿宋" w:hAnsi="仿宋" w:eastAsia="仿宋" w:cs="Times New Roman"/>
                <w:color w:val="000000"/>
                <w:sz w:val="24"/>
                <w:szCs w:val="24"/>
              </w:rPr>
              <w:t>00%</w:t>
            </w:r>
            <w:r>
              <w:rPr>
                <w:rFonts w:hint="eastAsia" w:ascii="仿宋" w:hAnsi="仿宋" w:eastAsia="仿宋" w:cs="Times New Roman"/>
                <w:color w:val="000000"/>
                <w:sz w:val="24"/>
                <w:szCs w:val="24"/>
              </w:rPr>
              <w:t>，或</w:t>
            </w:r>
            <w:r>
              <w:rPr>
                <w:rFonts w:ascii="仿宋" w:hAnsi="仿宋" w:eastAsia="仿宋" w:cs="Times New Roman"/>
                <w:color w:val="000000"/>
                <w:sz w:val="24"/>
                <w:szCs w:val="24"/>
              </w:rPr>
              <w:t>PPM</w:t>
            </w:r>
            <w:r>
              <w:rPr>
                <w:rFonts w:hint="eastAsia" w:ascii="仿宋" w:hAnsi="仿宋" w:eastAsia="仿宋" w:cs="Times New Roman"/>
                <w:color w:val="000000"/>
                <w:sz w:val="24"/>
                <w:szCs w:val="24"/>
              </w:rPr>
              <w:t>中沒有説明投資槓桿使用限制</w:t>
            </w:r>
          </w:p>
        </w:tc>
        <w:tc>
          <w:tcPr>
            <w:tcW w:w="3048" w:type="dxa"/>
            <w:tcBorders>
              <w:right w:val="single" w:color="auto" w:sz="4" w:space="0"/>
            </w:tcBorders>
            <w:vAlign w:val="top"/>
          </w:tcPr>
          <w:p w14:paraId="343F528D">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7432D0C2">
      <w:pPr>
        <w:pStyle w:val="60"/>
        <w:shd w:val="clear" w:color="auto" w:fill="FFFFFF"/>
        <w:snapToGrid w:val="0"/>
        <w:spacing w:before="0" w:after="0" w:line="240" w:lineRule="auto"/>
        <w:ind w:left="360" w:leftChars="0"/>
        <w:rPr>
          <w:rFonts w:ascii="仿宋" w:hAnsi="仿宋" w:eastAsia="仿宋" w:cs="Times New Roman"/>
          <w:b/>
          <w:color w:val="000000"/>
          <w:sz w:val="24"/>
          <w:szCs w:val="24"/>
        </w:rPr>
      </w:pP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1"/>
        <w:gridCol w:w="6707"/>
        <w:gridCol w:w="2444"/>
      </w:tblGrid>
      <w:tr w14:paraId="272E7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bottom w:val="single" w:color="auto" w:sz="4" w:space="0"/>
            </w:tcBorders>
            <w:vAlign w:val="top"/>
          </w:tcPr>
          <w:p w14:paraId="5C7F9D95">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.4.1</w:t>
            </w:r>
          </w:p>
        </w:tc>
        <w:tc>
          <w:tcPr>
            <w:tcW w:w="3048" w:type="dxa"/>
            <w:tcBorders>
              <w:bottom w:val="single" w:color="auto" w:sz="4" w:space="0"/>
            </w:tcBorders>
            <w:vAlign w:val="top"/>
          </w:tcPr>
          <w:p w14:paraId="26CD47C1">
            <w:pPr>
              <w:shd w:val="clear" w:color="auto" w:fill="FFFFFF"/>
              <w:snapToGrid w:val="0"/>
              <w:spacing w:before="0" w:after="0" w:line="240" w:lineRule="auto"/>
              <w:rPr>
                <w:rFonts w:ascii="仿宋" w:hAnsi="仿宋" w:eastAsia="仿宋" w:cs="Times New Roman"/>
                <w:b/>
                <w:color w:val="000000"/>
                <w:sz w:val="24"/>
                <w:szCs w:val="24"/>
              </w:rPr>
            </w:pPr>
            <w:r>
              <w:rPr>
                <w:rFonts w:hint="eastAsia" w:ascii="仿宋" w:hAnsi="仿宋" w:eastAsia="仿宋" w:cs="Times New Roman"/>
                <w:b/>
                <w:color w:val="000000"/>
                <w:sz w:val="24"/>
                <w:szCs w:val="24"/>
              </w:rPr>
              <w:t>投資標的限制（主要投資標的或其底層資產為債券）</w:t>
            </w:r>
          </w:p>
        </w:tc>
        <w:tc>
          <w:tcPr>
            <w:tcW w:w="3048" w:type="dxa"/>
            <w:tcBorders>
              <w:bottom w:val="single" w:color="auto" w:sz="4" w:space="0"/>
            </w:tcBorders>
            <w:vAlign w:val="top"/>
          </w:tcPr>
          <w:p w14:paraId="2C467CCC">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138709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仅投资投资级债券，风险较低。</w:t>
            </w:r>
          </w:p>
        </w:tc>
        <w:tc>
          <w:tcPr>
            <w:tcW w:w="3048" w:type="dxa"/>
            <w:tcBorders>
              <w:top w:val="single" w:color="auto" w:sz="4" w:space="0"/>
            </w:tcBorders>
            <w:vAlign w:val="top"/>
          </w:tcPr>
          <w:p w14:paraId="46B869D2">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不適用</w:t>
            </w:r>
          </w:p>
        </w:tc>
        <w:tc>
          <w:tcPr>
            <w:tcW w:w="3048" w:type="dxa"/>
            <w:tcBorders>
              <w:top w:val="single" w:color="auto" w:sz="4" w:space="0"/>
              <w:right w:val="single" w:color="auto" w:sz="4" w:space="0"/>
            </w:tcBorders>
            <w:vAlign w:val="top"/>
          </w:tcPr>
          <w:p w14:paraId="2BC083A5">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0</w:t>
            </w:r>
          </w:p>
        </w:tc>
      </w:tr>
      <w:tr w14:paraId="4A2A20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资料未载明具体风险评分。</w:t>
            </w:r>
          </w:p>
        </w:tc>
        <w:tc>
          <w:tcPr>
            <w:tcW w:w="3048" w:type="dxa"/>
            <w:tcBorders>
              <w:top w:val="single" w:color="auto" w:sz="4" w:space="0"/>
            </w:tcBorders>
            <w:vAlign w:val="top"/>
          </w:tcPr>
          <w:p w14:paraId="70FCA91B">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僅限投資級別債券</w:t>
            </w:r>
          </w:p>
        </w:tc>
        <w:tc>
          <w:tcPr>
            <w:tcW w:w="3048" w:type="dxa"/>
            <w:tcBorders>
              <w:top w:val="single" w:color="auto" w:sz="4" w:space="0"/>
              <w:right w:val="single" w:color="auto" w:sz="4" w:space="0"/>
            </w:tcBorders>
            <w:vAlign w:val="top"/>
          </w:tcPr>
          <w:p w14:paraId="27F05643">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sz w:val="24"/>
                <w:lang w:eastAsia="zh-CN"/>
              </w:rPr>
              <w:t>□</w:t>
            </w:r>
            <w:r>
              <w:rPr>
                <w:rFonts w:ascii="仿宋" w:hAnsi="仿宋" w:eastAsia="仿宋"/>
                <w:sz w:val="24"/>
              </w:rPr>
              <w:t xml:space="preserve"> </w:t>
            </w:r>
            <w:r>
              <w:rPr>
                <w:rFonts w:ascii="仿宋" w:hAnsi="仿宋" w:eastAsia="仿宋" w:cs="Times New Roman"/>
                <w:color w:val="000000"/>
                <w:sz w:val="24"/>
                <w:szCs w:val="24"/>
              </w:rPr>
              <w:t>1</w:t>
            </w:r>
          </w:p>
        </w:tc>
      </w:tr>
      <w:tr w14:paraId="13A32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4D1D9401">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02C3C40E">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非投資級別債券不高於</w:t>
            </w:r>
            <w:r>
              <w:rPr>
                <w:rFonts w:ascii="仿宋" w:hAnsi="仿宋" w:eastAsia="仿宋" w:cs="Times New Roman"/>
                <w:color w:val="000000"/>
                <w:sz w:val="24"/>
                <w:szCs w:val="24"/>
              </w:rPr>
              <w:t>10%</w:t>
            </w:r>
          </w:p>
        </w:tc>
        <w:tc>
          <w:tcPr>
            <w:tcW w:w="3048" w:type="dxa"/>
            <w:tcBorders>
              <w:right w:val="single" w:color="auto" w:sz="4" w:space="0"/>
            </w:tcBorders>
            <w:vAlign w:val="top"/>
          </w:tcPr>
          <w:p w14:paraId="2B4510D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5DBA1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758C2736">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1CC932B6">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非投資級別債券不高於</w:t>
            </w:r>
            <w:r>
              <w:rPr>
                <w:rFonts w:ascii="仿宋" w:hAnsi="仿宋" w:eastAsia="仿宋" w:cs="Times New Roman"/>
                <w:color w:val="000000"/>
                <w:sz w:val="24"/>
                <w:szCs w:val="24"/>
              </w:rPr>
              <w:t>30%</w:t>
            </w:r>
          </w:p>
        </w:tc>
        <w:tc>
          <w:tcPr>
            <w:tcW w:w="3048" w:type="dxa"/>
            <w:tcBorders>
              <w:right w:val="single" w:color="auto" w:sz="4" w:space="0"/>
            </w:tcBorders>
            <w:vAlign w:val="top"/>
          </w:tcPr>
          <w:p w14:paraId="6DAB3FC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390A6E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484E3E42">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7CB7398C">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非投資級別債券不高於</w:t>
            </w:r>
            <w:r>
              <w:rPr>
                <w:rFonts w:ascii="仿宋" w:hAnsi="仿宋" w:eastAsia="仿宋" w:cs="Times New Roman"/>
                <w:color w:val="000000"/>
                <w:sz w:val="24"/>
                <w:szCs w:val="24"/>
              </w:rPr>
              <w:t>50%</w:t>
            </w:r>
          </w:p>
        </w:tc>
        <w:tc>
          <w:tcPr>
            <w:tcW w:w="3048" w:type="dxa"/>
            <w:tcBorders>
              <w:right w:val="single" w:color="auto" w:sz="4" w:space="0"/>
            </w:tcBorders>
            <w:vAlign w:val="top"/>
          </w:tcPr>
          <w:p w14:paraId="1C27AC51">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30ED79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602BCAC6">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0B0EEBAB">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非投資級別債券可高於</w:t>
            </w:r>
            <w:r>
              <w:rPr>
                <w:rFonts w:ascii="仿宋" w:hAnsi="仿宋" w:eastAsia="仿宋" w:cs="Times New Roman"/>
                <w:color w:val="000000"/>
                <w:sz w:val="24"/>
                <w:szCs w:val="24"/>
              </w:rPr>
              <w:t>50%</w:t>
            </w:r>
            <w:r>
              <w:rPr>
                <w:rFonts w:hint="eastAsia" w:ascii="仿宋" w:hAnsi="仿宋" w:eastAsia="仿宋" w:cs="Times New Roman"/>
                <w:color w:val="000000"/>
                <w:sz w:val="24"/>
                <w:szCs w:val="24"/>
              </w:rPr>
              <w:t>，或</w:t>
            </w:r>
            <w:r>
              <w:rPr>
                <w:rFonts w:ascii="仿宋" w:hAnsi="仿宋" w:eastAsia="仿宋" w:cs="Times New Roman"/>
                <w:color w:val="000000"/>
                <w:sz w:val="24"/>
                <w:szCs w:val="24"/>
              </w:rPr>
              <w:t>PPM</w:t>
            </w:r>
            <w:r>
              <w:rPr>
                <w:rFonts w:hint="eastAsia" w:ascii="仿宋" w:hAnsi="仿宋" w:eastAsia="仿宋" w:cs="Times New Roman"/>
                <w:color w:val="000000"/>
                <w:sz w:val="24"/>
                <w:szCs w:val="24"/>
              </w:rPr>
              <w:t>中無特別説明</w:t>
            </w:r>
          </w:p>
        </w:tc>
        <w:tc>
          <w:tcPr>
            <w:tcW w:w="3048" w:type="dxa"/>
            <w:tcBorders>
              <w:right w:val="single" w:color="auto" w:sz="4" w:space="0"/>
            </w:tcBorders>
            <w:vAlign w:val="top"/>
          </w:tcPr>
          <w:p w14:paraId="5673BB8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2168F4FE">
      <w:pPr>
        <w:shd w:val="clear" w:color="auto" w:fill="FFFFFF"/>
        <w:snapToGrid w:val="0"/>
        <w:spacing w:before="0" w:after="0" w:line="240" w:lineRule="auto"/>
        <w:ind w:left="360"/>
        <w:rPr>
          <w:rFonts w:ascii="仿宋" w:hAnsi="仿宋" w:eastAsia="仿宋" w:cs="Times New Roman"/>
          <w:b/>
          <w:color w:val="000000"/>
          <w:sz w:val="24"/>
          <w:szCs w:val="24"/>
        </w:rPr>
      </w:pP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01"/>
        <w:gridCol w:w="6707"/>
        <w:gridCol w:w="2444"/>
      </w:tblGrid>
      <w:tr w14:paraId="0A5E1B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bottom w:val="single" w:color="auto" w:sz="4" w:space="0"/>
            </w:tcBorders>
            <w:vAlign w:val="top"/>
          </w:tcPr>
          <w:p w14:paraId="528B88B8">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.4.2</w:t>
            </w:r>
          </w:p>
        </w:tc>
        <w:tc>
          <w:tcPr>
            <w:tcW w:w="3048" w:type="dxa"/>
            <w:tcBorders>
              <w:bottom w:val="single" w:color="auto" w:sz="4" w:space="0"/>
            </w:tcBorders>
            <w:vAlign w:val="top"/>
          </w:tcPr>
          <w:p w14:paraId="4E08C985">
            <w:pPr>
              <w:shd w:val="clear" w:color="auto" w:fill="FFFFFF"/>
              <w:snapToGrid w:val="0"/>
              <w:spacing w:before="0" w:after="0" w:line="240" w:lineRule="auto"/>
              <w:rPr>
                <w:rFonts w:ascii="仿宋" w:hAnsi="仿宋" w:eastAsia="仿宋" w:cs="Times New Roman"/>
                <w:b/>
                <w:color w:val="000000"/>
                <w:sz w:val="24"/>
                <w:szCs w:val="24"/>
              </w:rPr>
            </w:pPr>
            <w:r>
              <w:rPr>
                <w:rFonts w:hint="eastAsia" w:ascii="仿宋" w:hAnsi="仿宋" w:eastAsia="仿宋" w:cs="Times New Roman"/>
                <w:b/>
                <w:color w:val="000000"/>
                <w:sz w:val="24"/>
                <w:szCs w:val="24"/>
              </w:rPr>
              <w:t>投資標的主要产业（主要投資標的或其底層資產為股票）</w:t>
            </w:r>
          </w:p>
        </w:tc>
        <w:tc>
          <w:tcPr>
            <w:tcW w:w="3048" w:type="dxa"/>
            <w:tcBorders>
              <w:bottom w:val="single" w:color="auto" w:sz="4" w:space="0"/>
            </w:tcBorders>
            <w:vAlign w:val="top"/>
          </w:tcPr>
          <w:p w14:paraId="4227C284">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47552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資料未載明具體產業風險評分。</w:t>
            </w:r>
          </w:p>
        </w:tc>
        <w:tc>
          <w:tcPr>
            <w:tcW w:w="3048" w:type="dxa"/>
            <w:tcBorders>
              <w:top w:val="single" w:color="auto" w:sz="4" w:space="0"/>
            </w:tcBorders>
            <w:vAlign w:val="top"/>
          </w:tcPr>
          <w:p w14:paraId="5CDF0096">
            <w:pPr>
              <w:pStyle w:val="60"/>
              <w:snapToGrid w:val="0"/>
              <w:spacing w:before="0" w:after="0" w:line="240" w:lineRule="auto"/>
              <w:ind w:left="0" w:leftChars="0"/>
              <w:rPr>
                <w:rFonts w:ascii="仿宋" w:hAnsi="仿宋" w:eastAsia="仿宋" w:cs="Times New Roman"/>
                <w:color w:val="000000"/>
                <w:sz w:val="24"/>
                <w:szCs w:val="24"/>
                <w:highlight w:val="yellow"/>
              </w:rPr>
            </w:pPr>
            <w:r>
              <w:rPr>
                <w:rFonts w:hint="eastAsia" w:ascii="仿宋" w:hAnsi="仿宋" w:eastAsia="仿宋" w:cs="Times New Roman"/>
                <w:color w:val="000000"/>
                <w:sz w:val="24"/>
                <w:szCs w:val="24"/>
              </w:rPr>
              <w:t>不適用</w:t>
            </w:r>
          </w:p>
        </w:tc>
        <w:tc>
          <w:tcPr>
            <w:tcW w:w="3048" w:type="dxa"/>
            <w:tcBorders>
              <w:top w:val="single" w:color="auto" w:sz="4" w:space="0"/>
              <w:right w:val="single" w:color="auto" w:sz="4" w:space="0"/>
            </w:tcBorders>
            <w:vAlign w:val="top"/>
          </w:tcPr>
          <w:p w14:paraId="72266DF4">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0</w:t>
            </w:r>
          </w:p>
        </w:tc>
      </w:tr>
      <w:tr w14:paraId="5029D5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投資涉及風險，資料未載明評分。</w:t>
            </w:r>
          </w:p>
        </w:tc>
        <w:tc>
          <w:tcPr>
            <w:tcW w:w="3048" w:type="dxa"/>
            <w:tcBorders>
              <w:top w:val="single" w:color="auto" w:sz="4" w:space="0"/>
            </w:tcBorders>
            <w:vAlign w:val="top"/>
          </w:tcPr>
          <w:p w14:paraId="68D16E9B">
            <w:pPr>
              <w:pStyle w:val="60"/>
              <w:snapToGrid w:val="0"/>
              <w:spacing w:before="0" w:after="0" w:line="240" w:lineRule="auto"/>
              <w:ind w:left="0" w:leftChars="0"/>
              <w:rPr>
                <w:rFonts w:ascii="仿宋" w:hAnsi="仿宋" w:eastAsia="仿宋" w:cs="Times New Roman"/>
                <w:color w:val="000000"/>
                <w:sz w:val="24"/>
                <w:szCs w:val="24"/>
                <w:highlight w:val="yellow"/>
              </w:rPr>
            </w:pPr>
            <w:r>
              <w:rPr>
                <w:rFonts w:hint="eastAsia" w:ascii="仿宋" w:hAnsi="仿宋" w:eastAsia="仿宋" w:cs="Times New Roman"/>
                <w:color w:val="000000"/>
                <w:sz w:val="24"/>
                <w:szCs w:val="24"/>
              </w:rPr>
              <w:t>公用事業</w:t>
            </w:r>
          </w:p>
        </w:tc>
        <w:tc>
          <w:tcPr>
            <w:tcW w:w="3048" w:type="dxa"/>
            <w:tcBorders>
              <w:top w:val="single" w:color="auto" w:sz="4" w:space="0"/>
              <w:right w:val="single" w:color="auto" w:sz="4" w:space="0"/>
            </w:tcBorders>
            <w:vAlign w:val="top"/>
          </w:tcPr>
          <w:p w14:paraId="458D134A">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60F7E4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6FF8095E">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198C5715">
            <w:pPr>
              <w:pStyle w:val="60"/>
              <w:snapToGrid w:val="0"/>
              <w:spacing w:before="0" w:after="0" w:line="240" w:lineRule="auto"/>
              <w:ind w:left="0" w:leftChars="0"/>
              <w:rPr>
                <w:rFonts w:ascii="仿宋" w:hAnsi="仿宋" w:eastAsia="仿宋" w:cs="Times New Roman"/>
                <w:color w:val="000000"/>
                <w:sz w:val="24"/>
                <w:szCs w:val="24"/>
                <w:highlight w:val="yellow"/>
              </w:rPr>
            </w:pPr>
            <w:r>
              <w:rPr>
                <w:rFonts w:hint="eastAsia" w:ascii="仿宋" w:hAnsi="仿宋" w:eastAsia="仿宋" w:cs="Times New Roman"/>
                <w:color w:val="000000"/>
                <w:sz w:val="24"/>
                <w:szCs w:val="24"/>
              </w:rPr>
              <w:t>醫療保健、金融、能源、必选消费</w:t>
            </w:r>
          </w:p>
        </w:tc>
        <w:tc>
          <w:tcPr>
            <w:tcW w:w="3048" w:type="dxa"/>
            <w:tcBorders>
              <w:right w:val="single" w:color="auto" w:sz="4" w:space="0"/>
            </w:tcBorders>
            <w:vAlign w:val="top"/>
          </w:tcPr>
          <w:p w14:paraId="37F584E4">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0BB0D1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21064C95">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09B4C58D">
            <w:pPr>
              <w:pStyle w:val="60"/>
              <w:snapToGrid w:val="0"/>
              <w:spacing w:before="0" w:after="0" w:line="240" w:lineRule="auto"/>
              <w:ind w:left="0" w:leftChars="0"/>
              <w:rPr>
                <w:rFonts w:ascii="仿宋" w:hAnsi="仿宋" w:eastAsia="仿宋" w:cs="Times New Roman"/>
                <w:color w:val="000000"/>
                <w:sz w:val="24"/>
                <w:szCs w:val="24"/>
                <w:lang w:eastAsia="zh-CN"/>
              </w:rPr>
            </w:pPr>
            <w:r>
              <w:rPr>
                <w:rFonts w:hint="eastAsia" w:ascii="仿宋" w:hAnsi="仿宋" w:eastAsia="仿宋" w:cs="Times New Roman"/>
                <w:color w:val="000000"/>
                <w:sz w:val="24"/>
                <w:szCs w:val="24"/>
                <w:lang w:eastAsia="zh-CN"/>
              </w:rPr>
              <w:t>工業、通訊服務、非必选消费、资讯技术</w:t>
            </w:r>
          </w:p>
        </w:tc>
        <w:tc>
          <w:tcPr>
            <w:tcW w:w="3048" w:type="dxa"/>
            <w:tcBorders>
              <w:right w:val="single" w:color="auto" w:sz="4" w:space="0"/>
            </w:tcBorders>
            <w:vAlign w:val="top"/>
          </w:tcPr>
          <w:p w14:paraId="770B6865">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393C98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195071A2">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3E241723">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原材料、房地產、其他或PPM中無特別説明</w:t>
            </w:r>
          </w:p>
        </w:tc>
        <w:tc>
          <w:tcPr>
            <w:tcW w:w="3048" w:type="dxa"/>
            <w:tcBorders>
              <w:right w:val="single" w:color="auto" w:sz="4" w:space="0"/>
            </w:tcBorders>
            <w:vAlign w:val="top"/>
          </w:tcPr>
          <w:p w14:paraId="099877E7">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340A60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64BD1B06">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45C29922">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单一行业（若投資于單一行業，需額外勾選此項）</w:t>
            </w:r>
          </w:p>
        </w:tc>
        <w:tc>
          <w:tcPr>
            <w:tcW w:w="3048" w:type="dxa"/>
            <w:tcBorders>
              <w:right w:val="single" w:color="auto" w:sz="4" w:space="0"/>
            </w:tcBorders>
            <w:vAlign w:val="top"/>
          </w:tcPr>
          <w:p w14:paraId="55799307">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bl>
    <w:p w14:paraId="0D133A13">
      <w:pPr>
        <w:shd w:val="clear" w:color="auto" w:fill="FFFFFF"/>
        <w:snapToGrid w:val="0"/>
        <w:spacing w:before="0" w:after="0" w:line="240" w:lineRule="auto"/>
        <w:ind w:left="360"/>
        <w:rPr>
          <w:rFonts w:ascii="仿宋" w:hAnsi="仿宋" w:eastAsia="仿宋" w:cs="Times New Roman"/>
          <w:b/>
          <w:color w:val="000000"/>
          <w:sz w:val="24"/>
          <w:szCs w:val="24"/>
        </w:rPr>
      </w:pPr>
    </w:p>
    <w:p w14:paraId="35A7A798">
      <w:pPr>
        <w:shd w:val="clear" w:color="auto" w:fill="FFFFFF"/>
        <w:snapToGrid w:val="0"/>
        <w:spacing w:before="0" w:after="0" w:line="240" w:lineRule="auto"/>
        <w:rPr>
          <w:rFonts w:ascii="仿宋" w:hAnsi="仿宋" w:eastAsia="仿宋" w:cs="Times New Roman"/>
          <w:b/>
          <w:color w:val="000000"/>
          <w:sz w:val="24"/>
          <w:szCs w:val="24"/>
        </w:rPr>
      </w:pP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6804"/>
        <w:gridCol w:w="2347"/>
      </w:tblGrid>
      <w:tr w14:paraId="22CD1D4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bottom w:val="single" w:color="auto" w:sz="4" w:space="0"/>
            </w:tcBorders>
            <w:vAlign w:val="top"/>
          </w:tcPr>
          <w:p w14:paraId="7BD55100">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.5</w:t>
            </w:r>
          </w:p>
        </w:tc>
        <w:tc>
          <w:tcPr>
            <w:tcW w:w="3048" w:type="dxa"/>
            <w:tcBorders>
              <w:bottom w:val="single" w:color="auto" w:sz="4" w:space="0"/>
            </w:tcBorders>
            <w:vAlign w:val="top"/>
          </w:tcPr>
          <w:p w14:paraId="41916496">
            <w:pPr>
              <w:shd w:val="clear" w:color="auto" w:fill="FFFFFF"/>
              <w:snapToGrid w:val="0"/>
              <w:spacing w:before="0" w:after="0" w:line="240" w:lineRule="auto"/>
              <w:rPr>
                <w:rFonts w:ascii="仿宋" w:hAnsi="仿宋" w:eastAsia="仿宋" w:cs="Times New Roman"/>
                <w:b/>
                <w:color w:val="000000"/>
                <w:sz w:val="24"/>
                <w:szCs w:val="24"/>
              </w:rPr>
            </w:pPr>
            <w:r>
              <w:rPr>
                <w:rFonts w:hint="eastAsia" w:ascii="仿宋" w:hAnsi="仿宋" w:eastAsia="仿宋" w:cs="Times New Roman"/>
                <w:b/>
                <w:color w:val="000000"/>
                <w:sz w:val="24"/>
                <w:szCs w:val="24"/>
              </w:rPr>
              <w:t>產品單位淨值波動（最近三年）</w:t>
            </w:r>
          </w:p>
        </w:tc>
        <w:tc>
          <w:tcPr>
            <w:tcW w:w="3048" w:type="dxa"/>
            <w:tcBorders>
              <w:bottom w:val="single" w:color="auto" w:sz="4" w:space="0"/>
            </w:tcBorders>
            <w:vAlign w:val="top"/>
          </w:tcPr>
          <w:p w14:paraId="01CCA470">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5BE39C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資料未載明產品單位淨值波動率具體數值。</w:t>
            </w:r>
          </w:p>
        </w:tc>
        <w:tc>
          <w:tcPr>
            <w:tcW w:w="3048" w:type="dxa"/>
            <w:tcBorders>
              <w:top w:val="single" w:color="auto" w:sz="4" w:space="0"/>
            </w:tcBorders>
            <w:vAlign w:val="top"/>
          </w:tcPr>
          <w:p w14:paraId="513DB9B8">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5%</w:t>
            </w:r>
          </w:p>
        </w:tc>
        <w:tc>
          <w:tcPr>
            <w:tcW w:w="3048" w:type="dxa"/>
            <w:tcBorders>
              <w:top w:val="single" w:color="auto" w:sz="4" w:space="0"/>
              <w:right w:val="single" w:color="auto" w:sz="4" w:space="0"/>
            </w:tcBorders>
            <w:vAlign w:val="top"/>
          </w:tcPr>
          <w:p w14:paraId="480AA834">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4CA2E4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r>
              <w:t>資料未載明波動率評分標準。</w:t>
            </w:r>
          </w:p>
        </w:tc>
        <w:tc>
          <w:tcPr>
            <w:tcW w:w="3048" w:type="dxa"/>
            <w:vAlign w:val="top"/>
          </w:tcPr>
          <w:p w14:paraId="22DF5DA9">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10%</w:t>
            </w:r>
          </w:p>
        </w:tc>
        <w:tc>
          <w:tcPr>
            <w:tcW w:w="3048" w:type="dxa"/>
            <w:tcBorders>
              <w:right w:val="single" w:color="auto" w:sz="4" w:space="0"/>
            </w:tcBorders>
            <w:vAlign w:val="top"/>
          </w:tcPr>
          <w:p w14:paraId="6E18E8AB">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0B12F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20334FDA">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6B8B15F1">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25%</w:t>
            </w:r>
          </w:p>
        </w:tc>
        <w:tc>
          <w:tcPr>
            <w:tcW w:w="3048" w:type="dxa"/>
            <w:tcBorders>
              <w:right w:val="single" w:color="auto" w:sz="4" w:space="0"/>
            </w:tcBorders>
            <w:vAlign w:val="top"/>
          </w:tcPr>
          <w:p w14:paraId="51D59DC9">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576202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7277AF63">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74904E0A">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不高於</w:t>
            </w:r>
            <w:r>
              <w:rPr>
                <w:rFonts w:ascii="仿宋" w:hAnsi="仿宋" w:eastAsia="仿宋" w:cs="Times New Roman"/>
                <w:color w:val="000000"/>
                <w:sz w:val="24"/>
                <w:szCs w:val="24"/>
              </w:rPr>
              <w:t>35%</w:t>
            </w:r>
          </w:p>
        </w:tc>
        <w:tc>
          <w:tcPr>
            <w:tcW w:w="3048" w:type="dxa"/>
            <w:tcBorders>
              <w:right w:val="single" w:color="auto" w:sz="4" w:space="0"/>
            </w:tcBorders>
            <w:vAlign w:val="top"/>
          </w:tcPr>
          <w:p w14:paraId="5F0ED72F">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0E669F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65F9C1CC">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398CA652">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高於</w:t>
            </w:r>
            <w:r>
              <w:rPr>
                <w:rFonts w:ascii="仿宋" w:hAnsi="仿宋" w:eastAsia="仿宋" w:cs="Times New Roman"/>
                <w:color w:val="000000"/>
                <w:sz w:val="24"/>
                <w:szCs w:val="24"/>
              </w:rPr>
              <w:t>35%</w:t>
            </w:r>
            <w:r>
              <w:rPr>
                <w:rFonts w:hint="eastAsia" w:ascii="仿宋" w:hAnsi="仿宋" w:eastAsia="仿宋" w:cs="Times New Roman"/>
                <w:color w:val="000000"/>
                <w:sz w:val="24"/>
                <w:szCs w:val="24"/>
              </w:rPr>
              <w:t>，或不易估值（適用於淨值數據少於六個月的情形）</w:t>
            </w:r>
          </w:p>
        </w:tc>
        <w:tc>
          <w:tcPr>
            <w:tcW w:w="3048" w:type="dxa"/>
            <w:tcBorders>
              <w:right w:val="single" w:color="auto" w:sz="4" w:space="0"/>
            </w:tcBorders>
            <w:vAlign w:val="top"/>
          </w:tcPr>
          <w:p w14:paraId="63D57140">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120D8FD5">
      <w:pPr>
        <w:shd w:val="clear" w:color="auto" w:fill="FFFFFF"/>
        <w:snapToGrid w:val="0"/>
        <w:spacing w:before="0" w:after="0" w:line="240" w:lineRule="auto"/>
        <w:ind w:left="360"/>
        <w:rPr>
          <w:rFonts w:ascii="仿宋" w:hAnsi="仿宋" w:eastAsia="仿宋" w:cs="Times New Roman"/>
          <w:b/>
          <w:color w:val="000000"/>
          <w:sz w:val="24"/>
          <w:szCs w:val="24"/>
        </w:rPr>
      </w:pP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6804"/>
        <w:gridCol w:w="2347"/>
      </w:tblGrid>
      <w:tr w14:paraId="453B3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bottom w:val="single" w:color="auto" w:sz="4" w:space="0"/>
            </w:tcBorders>
            <w:vAlign w:val="top"/>
          </w:tcPr>
          <w:p w14:paraId="2D53AABB">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.6</w:t>
            </w:r>
          </w:p>
        </w:tc>
        <w:tc>
          <w:tcPr>
            <w:tcW w:w="3048" w:type="dxa"/>
            <w:tcBorders>
              <w:bottom w:val="single" w:color="auto" w:sz="4" w:space="0"/>
            </w:tcBorders>
            <w:vAlign w:val="top"/>
          </w:tcPr>
          <w:p w14:paraId="7DC9A54A">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貨幣風險</w:t>
            </w:r>
            <w:r>
              <w:rPr>
                <w:rFonts w:hint="eastAsia" w:ascii="仿宋" w:hAnsi="仿宋" w:eastAsia="仿宋" w:cs="Times New Roman"/>
                <w:b/>
                <w:color w:val="000000"/>
                <w:sz w:val="24"/>
                <w:szCs w:val="24"/>
              </w:rPr>
              <w:t>敞口</w:t>
            </w:r>
          </w:p>
        </w:tc>
        <w:tc>
          <w:tcPr>
            <w:tcW w:w="3048" w:type="dxa"/>
            <w:tcBorders>
              <w:bottom w:val="single" w:color="auto" w:sz="4" w:space="0"/>
            </w:tcBorders>
            <w:vAlign w:val="top"/>
          </w:tcPr>
          <w:p w14:paraId="3BD71486">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3B42D3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資料未載明具體貨幣風險評分。</w:t>
            </w:r>
          </w:p>
        </w:tc>
        <w:tc>
          <w:tcPr>
            <w:tcW w:w="3048" w:type="dxa"/>
            <w:tcBorders>
              <w:top w:val="single" w:color="auto" w:sz="4" w:space="0"/>
            </w:tcBorders>
            <w:vAlign w:val="top"/>
          </w:tcPr>
          <w:p w14:paraId="4395FF94">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港幣、美元</w:t>
            </w:r>
          </w:p>
        </w:tc>
        <w:tc>
          <w:tcPr>
            <w:tcW w:w="3048" w:type="dxa"/>
            <w:tcBorders>
              <w:top w:val="single" w:color="auto" w:sz="4" w:space="0"/>
              <w:right w:val="single" w:color="auto" w:sz="4" w:space="0"/>
            </w:tcBorders>
            <w:vAlign w:val="top"/>
          </w:tcPr>
          <w:p w14:paraId="6C7ABA1D">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3E8C2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3048" w:type="dxa"/>
            <w:tcBorders>
              <w:left w:val="single" w:color="auto" w:sz="4" w:space="0"/>
            </w:tcBorders>
            <w:vAlign w:val="top"/>
          </w:tcPr>
          <w:p>
            <w:r>
              <w:t>資料未載明貨幣風險評分結果。</w:t>
            </w:r>
          </w:p>
        </w:tc>
        <w:tc>
          <w:tcPr>
            <w:tcW w:w="3048" w:type="dxa"/>
            <w:vAlign w:val="top"/>
          </w:tcPr>
          <w:p w14:paraId="56546278">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日圓、瑞士法郎等</w:t>
            </w:r>
          </w:p>
        </w:tc>
        <w:tc>
          <w:tcPr>
            <w:tcW w:w="3048" w:type="dxa"/>
            <w:tcBorders>
              <w:right w:val="single" w:color="auto" w:sz="4" w:space="0"/>
            </w:tcBorders>
            <w:vAlign w:val="top"/>
          </w:tcPr>
          <w:p w14:paraId="7E52838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179B4E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215AD8E0">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353ED6DA">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人民幣、歐元</w:t>
            </w:r>
          </w:p>
        </w:tc>
        <w:tc>
          <w:tcPr>
            <w:tcW w:w="3048" w:type="dxa"/>
            <w:tcBorders>
              <w:right w:val="single" w:color="auto" w:sz="4" w:space="0"/>
            </w:tcBorders>
            <w:vAlign w:val="top"/>
          </w:tcPr>
          <w:p w14:paraId="46C53BFE">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02C70F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3C0FF238">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4ACC1FB7">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澳元、新西蘭元、加元等商品貨幣</w:t>
            </w:r>
          </w:p>
        </w:tc>
        <w:tc>
          <w:tcPr>
            <w:tcW w:w="3048" w:type="dxa"/>
            <w:tcBorders>
              <w:right w:val="single" w:color="auto" w:sz="4" w:space="0"/>
            </w:tcBorders>
            <w:vAlign w:val="top"/>
          </w:tcPr>
          <w:p w14:paraId="13E9935D">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5E1DCB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299C559B">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6D8CF55F">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新興市場貨幣，或P</w:t>
            </w:r>
            <w:r>
              <w:rPr>
                <w:rFonts w:ascii="仿宋" w:hAnsi="仿宋" w:eastAsia="仿宋" w:cs="Times New Roman"/>
                <w:color w:val="000000"/>
                <w:sz w:val="24"/>
                <w:szCs w:val="24"/>
              </w:rPr>
              <w:t>PM</w:t>
            </w:r>
            <w:r>
              <w:rPr>
                <w:rFonts w:hint="eastAsia" w:ascii="仿宋" w:hAnsi="仿宋" w:eastAsia="仿宋" w:cs="Times New Roman"/>
                <w:color w:val="000000"/>
                <w:sz w:val="24"/>
                <w:szCs w:val="24"/>
              </w:rPr>
              <w:t>無特別説明</w:t>
            </w:r>
          </w:p>
        </w:tc>
        <w:tc>
          <w:tcPr>
            <w:tcW w:w="3048" w:type="dxa"/>
            <w:tcBorders>
              <w:right w:val="single" w:color="auto" w:sz="4" w:space="0"/>
            </w:tcBorders>
            <w:vAlign w:val="top"/>
          </w:tcPr>
          <w:p w14:paraId="53AE3B17">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381BA263">
      <w:pPr>
        <w:pStyle w:val="60"/>
        <w:shd w:val="clear" w:color="auto" w:fill="FFFFFF"/>
        <w:snapToGrid w:val="0"/>
        <w:spacing w:before="0" w:after="0" w:line="240" w:lineRule="auto"/>
        <w:ind w:left="425" w:leftChars="0"/>
        <w:rPr>
          <w:rFonts w:ascii="仿宋" w:hAnsi="仿宋" w:eastAsia="仿宋" w:cs="Times New Roman"/>
          <w:b/>
          <w:color w:val="000000"/>
          <w:sz w:val="24"/>
          <w:szCs w:val="24"/>
        </w:rPr>
      </w:pP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6804"/>
        <w:gridCol w:w="2347"/>
      </w:tblGrid>
      <w:tr w14:paraId="7A387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bottom w:val="single" w:color="auto" w:sz="4" w:space="0"/>
            </w:tcBorders>
            <w:vAlign w:val="top"/>
          </w:tcPr>
          <w:p w14:paraId="17317115">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.7</w:t>
            </w:r>
          </w:p>
        </w:tc>
        <w:tc>
          <w:tcPr>
            <w:tcW w:w="3048" w:type="dxa"/>
            <w:tcBorders>
              <w:bottom w:val="single" w:color="auto" w:sz="4" w:space="0"/>
            </w:tcBorders>
            <w:vAlign w:val="top"/>
          </w:tcPr>
          <w:p w14:paraId="5ECBE02F">
            <w:pPr>
              <w:shd w:val="clear" w:color="auto" w:fill="FFFFFF"/>
              <w:snapToGrid w:val="0"/>
              <w:spacing w:before="0" w:after="0" w:line="240" w:lineRule="auto"/>
              <w:rPr>
                <w:rFonts w:ascii="仿宋" w:hAnsi="仿宋" w:eastAsia="仿宋" w:cs="Times New Roman"/>
                <w:b/>
                <w:color w:val="000000"/>
                <w:sz w:val="24"/>
                <w:szCs w:val="24"/>
              </w:rPr>
            </w:pPr>
            <w:r>
              <w:rPr>
                <w:rFonts w:hint="eastAsia" w:ascii="仿宋" w:hAnsi="仿宋" w:eastAsia="仿宋" w:cs="Times New Roman"/>
                <w:b/>
                <w:color w:val="000000"/>
                <w:sz w:val="24"/>
                <w:szCs w:val="24"/>
              </w:rPr>
              <w:t>鎖定期</w:t>
            </w:r>
          </w:p>
        </w:tc>
        <w:tc>
          <w:tcPr>
            <w:tcW w:w="3048" w:type="dxa"/>
            <w:tcBorders>
              <w:bottom w:val="single" w:color="auto" w:sz="4" w:space="0"/>
            </w:tcBorders>
            <w:vAlign w:val="top"/>
          </w:tcPr>
          <w:p w14:paraId="4E6455B2">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1B988E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資料未載明鎖定期及風險評分。</w:t>
            </w:r>
          </w:p>
        </w:tc>
        <w:tc>
          <w:tcPr>
            <w:tcW w:w="3048" w:type="dxa"/>
            <w:tcBorders>
              <w:top w:val="single" w:color="auto" w:sz="4" w:space="0"/>
            </w:tcBorders>
            <w:vAlign w:val="top"/>
          </w:tcPr>
          <w:p w14:paraId="5B9D91AA">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無</w:t>
            </w:r>
          </w:p>
        </w:tc>
        <w:tc>
          <w:tcPr>
            <w:tcW w:w="3048" w:type="dxa"/>
            <w:tcBorders>
              <w:top w:val="single" w:color="auto" w:sz="4" w:space="0"/>
              <w:right w:val="single" w:color="auto" w:sz="4" w:space="0"/>
            </w:tcBorders>
            <w:vAlign w:val="top"/>
          </w:tcPr>
          <w:p w14:paraId="46EA0A4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0</w:t>
            </w:r>
          </w:p>
        </w:tc>
      </w:tr>
      <w:tr w14:paraId="18F49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資料未載明鎖定期及對應風險評分。</w:t>
            </w:r>
          </w:p>
        </w:tc>
        <w:tc>
          <w:tcPr>
            <w:tcW w:w="3048" w:type="dxa"/>
            <w:tcBorders>
              <w:top w:val="single" w:color="auto" w:sz="4" w:space="0"/>
            </w:tcBorders>
            <w:vAlign w:val="top"/>
          </w:tcPr>
          <w:p w14:paraId="5CC630BE">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不超過1年</w:t>
            </w:r>
          </w:p>
        </w:tc>
        <w:tc>
          <w:tcPr>
            <w:tcW w:w="3048" w:type="dxa"/>
            <w:tcBorders>
              <w:top w:val="single" w:color="auto" w:sz="4" w:space="0"/>
              <w:right w:val="single" w:color="auto" w:sz="4" w:space="0"/>
            </w:tcBorders>
            <w:vAlign w:val="top"/>
          </w:tcPr>
          <w:p w14:paraId="3A48E136">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5AD360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7A1B3B1C">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01B7940B">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不超過3年</w:t>
            </w:r>
          </w:p>
        </w:tc>
        <w:tc>
          <w:tcPr>
            <w:tcW w:w="3048" w:type="dxa"/>
            <w:tcBorders>
              <w:right w:val="single" w:color="auto" w:sz="4" w:space="0"/>
            </w:tcBorders>
            <w:vAlign w:val="top"/>
          </w:tcPr>
          <w:p w14:paraId="7AB708A3">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2</w:t>
            </w:r>
          </w:p>
        </w:tc>
      </w:tr>
      <w:tr w14:paraId="0C8EB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7A2D1F59">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301896C3">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不超過</w:t>
            </w:r>
            <w:r>
              <w:rPr>
                <w:rFonts w:ascii="仿宋" w:hAnsi="仿宋" w:eastAsia="仿宋" w:cs="Times New Roman"/>
                <w:color w:val="000000"/>
                <w:sz w:val="24"/>
                <w:szCs w:val="24"/>
              </w:rPr>
              <w:t>5</w:t>
            </w:r>
            <w:r>
              <w:rPr>
                <w:rFonts w:hint="eastAsia" w:ascii="仿宋" w:hAnsi="仿宋" w:eastAsia="仿宋" w:cs="Times New Roman"/>
                <w:color w:val="000000"/>
                <w:sz w:val="24"/>
                <w:szCs w:val="24"/>
              </w:rPr>
              <w:t>年</w:t>
            </w:r>
          </w:p>
        </w:tc>
        <w:tc>
          <w:tcPr>
            <w:tcW w:w="3048" w:type="dxa"/>
            <w:tcBorders>
              <w:right w:val="single" w:color="auto" w:sz="4" w:space="0"/>
            </w:tcBorders>
            <w:vAlign w:val="top"/>
          </w:tcPr>
          <w:p w14:paraId="3A5C9361">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11F316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590B7F8E">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2929464D">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不超過10年</w:t>
            </w:r>
          </w:p>
        </w:tc>
        <w:tc>
          <w:tcPr>
            <w:tcW w:w="3048" w:type="dxa"/>
            <w:tcBorders>
              <w:right w:val="single" w:color="auto" w:sz="4" w:space="0"/>
            </w:tcBorders>
            <w:vAlign w:val="top"/>
          </w:tcPr>
          <w:p w14:paraId="2F7AB80A">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4</w:t>
            </w:r>
          </w:p>
        </w:tc>
      </w:tr>
      <w:tr w14:paraId="261B0A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35BB8ECD">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77620EE8">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超過</w:t>
            </w:r>
            <w:r>
              <w:rPr>
                <w:rFonts w:ascii="仿宋" w:hAnsi="仿宋" w:eastAsia="仿宋" w:cs="Times New Roman"/>
                <w:color w:val="000000"/>
                <w:sz w:val="24"/>
                <w:szCs w:val="24"/>
              </w:rPr>
              <w:t>10</w:t>
            </w:r>
            <w:r>
              <w:rPr>
                <w:rFonts w:hint="eastAsia" w:ascii="仿宋" w:hAnsi="仿宋" w:eastAsia="仿宋" w:cs="Times New Roman"/>
                <w:color w:val="000000"/>
                <w:sz w:val="24"/>
                <w:szCs w:val="24"/>
              </w:rPr>
              <w:t>年</w:t>
            </w:r>
          </w:p>
        </w:tc>
        <w:tc>
          <w:tcPr>
            <w:tcW w:w="3048" w:type="dxa"/>
            <w:tcBorders>
              <w:right w:val="single" w:color="auto" w:sz="4" w:space="0"/>
            </w:tcBorders>
            <w:vAlign w:val="top"/>
          </w:tcPr>
          <w:p w14:paraId="07E2E294">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767B304B">
      <w:pPr>
        <w:shd w:val="clear" w:color="auto" w:fill="FFFFFF"/>
        <w:snapToGrid w:val="0"/>
        <w:spacing w:before="0" w:after="0" w:line="240" w:lineRule="auto"/>
        <w:ind w:left="360"/>
        <w:rPr>
          <w:rFonts w:ascii="仿宋" w:hAnsi="仿宋" w:eastAsia="仿宋" w:cs="Times New Roman"/>
          <w:b/>
          <w:color w:val="000000"/>
          <w:sz w:val="24"/>
          <w:szCs w:val="24"/>
        </w:rPr>
      </w:pP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8"/>
        <w:gridCol w:w="6804"/>
        <w:gridCol w:w="2347"/>
      </w:tblGrid>
      <w:tr w14:paraId="385BBB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bottom w:val="single" w:color="auto" w:sz="4" w:space="0"/>
            </w:tcBorders>
            <w:vAlign w:val="top"/>
          </w:tcPr>
          <w:p w14:paraId="6EF89FCF">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.8</w:t>
            </w:r>
          </w:p>
        </w:tc>
        <w:tc>
          <w:tcPr>
            <w:tcW w:w="3048" w:type="dxa"/>
            <w:tcBorders>
              <w:bottom w:val="single" w:color="auto" w:sz="4" w:space="0"/>
            </w:tcBorders>
            <w:vAlign w:val="top"/>
          </w:tcPr>
          <w:p w14:paraId="5317BE10">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基金經理</w:t>
            </w:r>
            <w:r>
              <w:rPr>
                <w:rFonts w:hint="eastAsia" w:ascii="仿宋" w:hAnsi="仿宋" w:eastAsia="仿宋" w:cs="Times New Roman"/>
                <w:b/>
                <w:color w:val="000000"/>
                <w:sz w:val="24"/>
                <w:szCs w:val="24"/>
              </w:rPr>
              <w:t>之基金管理</w:t>
            </w:r>
            <w:r>
              <w:rPr>
                <w:rFonts w:ascii="仿宋" w:hAnsi="仿宋" w:eastAsia="仿宋" w:cs="Times New Roman"/>
                <w:b/>
                <w:color w:val="000000"/>
                <w:sz w:val="24"/>
                <w:szCs w:val="24"/>
              </w:rPr>
              <w:t>經驗</w:t>
            </w:r>
          </w:p>
        </w:tc>
        <w:tc>
          <w:tcPr>
            <w:tcW w:w="3048" w:type="dxa"/>
            <w:tcBorders>
              <w:bottom w:val="single" w:color="auto" w:sz="4" w:space="0"/>
            </w:tcBorders>
            <w:vAlign w:val="top"/>
          </w:tcPr>
          <w:p w14:paraId="50E33B03">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3CB2F7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top w:val="single" w:color="auto" w:sz="4" w:space="0"/>
              <w:left w:val="single" w:color="auto" w:sz="4" w:space="0"/>
            </w:tcBorders>
            <w:vAlign w:val="top"/>
          </w:tcPr>
          <w:p>
            <w:r>
              <w:t>資料未載明經理人管理經驗年限及對應風險評分。</w:t>
            </w:r>
          </w:p>
        </w:tc>
        <w:tc>
          <w:tcPr>
            <w:tcW w:w="3048" w:type="dxa"/>
            <w:tcBorders>
              <w:top w:val="single" w:color="auto" w:sz="4" w:space="0"/>
            </w:tcBorders>
            <w:vAlign w:val="top"/>
          </w:tcPr>
          <w:p w14:paraId="61589311">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超過10年</w:t>
            </w:r>
          </w:p>
        </w:tc>
        <w:tc>
          <w:tcPr>
            <w:tcW w:w="3048" w:type="dxa"/>
            <w:tcBorders>
              <w:top w:val="single" w:color="auto" w:sz="4" w:space="0"/>
              <w:right w:val="single" w:color="auto" w:sz="4" w:space="0"/>
            </w:tcBorders>
            <w:vAlign w:val="top"/>
          </w:tcPr>
          <w:p w14:paraId="1E0EE6A5">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1</w:t>
            </w:r>
          </w:p>
        </w:tc>
      </w:tr>
      <w:tr w14:paraId="24F413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r>
              <w:t>資料未載明經理人管理經驗年限及對應風險評分。</w:t>
            </w:r>
          </w:p>
        </w:tc>
        <w:tc>
          <w:tcPr>
            <w:tcW w:w="3048" w:type="dxa"/>
            <w:vAlign w:val="top"/>
          </w:tcPr>
          <w:p w14:paraId="0EE18207">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5-10年</w:t>
            </w:r>
          </w:p>
        </w:tc>
        <w:tc>
          <w:tcPr>
            <w:tcW w:w="3048" w:type="dxa"/>
            <w:tcBorders>
              <w:right w:val="single" w:color="auto" w:sz="4" w:space="0"/>
            </w:tcBorders>
            <w:vAlign w:val="top"/>
          </w:tcPr>
          <w:p w14:paraId="7C460328">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3</w:t>
            </w:r>
          </w:p>
        </w:tc>
      </w:tr>
      <w:tr w14:paraId="02E1F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14:paraId="42A50276">
            <w:pPr>
              <w:pStyle w:val="60"/>
              <w:snapToGrid w:val="0"/>
              <w:spacing w:before="0" w:after="0" w:line="240" w:lineRule="auto"/>
              <w:ind w:left="0" w:leftChars="0"/>
              <w:rPr>
                <w:rFonts w:ascii="仿宋" w:hAnsi="仿宋" w:eastAsia="仿宋" w:cs="Times New Roman"/>
                <w:b/>
                <w:color w:val="000000"/>
                <w:sz w:val="24"/>
                <w:szCs w:val="24"/>
              </w:rPr>
            </w:pPr>
          </w:p>
        </w:tc>
        <w:tc>
          <w:tcPr>
            <w:tcW w:w="3048" w:type="dxa"/>
            <w:vAlign w:val="top"/>
          </w:tcPr>
          <w:p w14:paraId="4F5C3E6F">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cs="Times New Roman"/>
                <w:color w:val="000000"/>
                <w:sz w:val="24"/>
                <w:szCs w:val="24"/>
              </w:rPr>
              <w:t>0-5年</w:t>
            </w:r>
            <w:r>
              <w:rPr>
                <w:rFonts w:hint="eastAsia" w:ascii="仿宋" w:hAnsi="仿宋" w:eastAsia="仿宋" w:cs="Times New Roman"/>
                <w:color w:val="000000"/>
                <w:sz w:val="24"/>
                <w:szCs w:val="24"/>
              </w:rPr>
              <w:t>，或P</w:t>
            </w:r>
            <w:r>
              <w:rPr>
                <w:rFonts w:ascii="仿宋" w:hAnsi="仿宋" w:eastAsia="仿宋" w:cs="Times New Roman"/>
                <w:color w:val="000000"/>
                <w:sz w:val="24"/>
                <w:szCs w:val="24"/>
              </w:rPr>
              <w:t>PM</w:t>
            </w:r>
            <w:r>
              <w:rPr>
                <w:rFonts w:hint="eastAsia" w:ascii="仿宋" w:hAnsi="仿宋" w:eastAsia="仿宋" w:cs="Times New Roman"/>
                <w:color w:val="000000"/>
                <w:sz w:val="24"/>
                <w:szCs w:val="24"/>
              </w:rPr>
              <w:t>無特別説明</w:t>
            </w:r>
          </w:p>
        </w:tc>
        <w:tc>
          <w:tcPr>
            <w:tcW w:w="3048" w:type="dxa"/>
            <w:tcBorders>
              <w:right w:val="single" w:color="auto" w:sz="4" w:space="0"/>
            </w:tcBorders>
            <w:vAlign w:val="top"/>
          </w:tcPr>
          <w:p w14:paraId="20D412CD">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32491594">
      <w:pPr>
        <w:pStyle w:val="60"/>
        <w:shd w:val="clear" w:color="auto" w:fill="FFFFFF"/>
        <w:snapToGrid w:val="0"/>
        <w:spacing w:before="0" w:after="0" w:line="240" w:lineRule="auto"/>
        <w:ind w:left="425" w:leftChars="0"/>
        <w:rPr>
          <w:rFonts w:ascii="仿宋" w:hAnsi="仿宋" w:eastAsia="仿宋" w:cs="Times New Roman"/>
          <w:color w:val="000000"/>
          <w:sz w:val="24"/>
          <w:szCs w:val="24"/>
        </w:rPr>
      </w:pP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6750"/>
        <w:gridCol w:w="2433"/>
      </w:tblGrid>
      <w:tr w14:paraId="5F3F1E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bottom w:val="single" w:color="auto" w:sz="4" w:space="0"/>
            </w:tcBorders>
            <w:vAlign w:val="top"/>
          </w:tcPr>
          <w:p w14:paraId="38CDA370">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.9</w:t>
            </w:r>
          </w:p>
        </w:tc>
        <w:tc>
          <w:tcPr>
            <w:tcW w:w="3048" w:type="dxa"/>
            <w:tcBorders>
              <w:bottom w:val="single" w:color="auto" w:sz="4" w:space="0"/>
            </w:tcBorders>
            <w:vAlign w:val="top"/>
          </w:tcPr>
          <w:p w14:paraId="4403D3E8">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公司風險</w:t>
            </w:r>
          </w:p>
          <w:p w14:paraId="61E54B6A">
            <w:pPr>
              <w:shd w:val="clear" w:color="auto" w:fill="FFFFFF"/>
              <w:snapToGrid w:val="0"/>
              <w:spacing w:before="0" w:after="0" w:line="240" w:lineRule="auto"/>
              <w:rPr>
                <w:rFonts w:ascii="仿宋" w:hAnsi="仿宋" w:eastAsia="仿宋" w:cs="Times New Roman"/>
                <w:b/>
                <w:color w:val="000000"/>
                <w:sz w:val="24"/>
                <w:szCs w:val="24"/>
              </w:rPr>
            </w:pPr>
            <w:r>
              <w:rPr>
                <w:rFonts w:ascii="仿宋" w:hAnsi="仿宋" w:eastAsia="仿宋" w:cs="Times New Roman"/>
                <w:b/>
                <w:color w:val="000000"/>
                <w:sz w:val="24"/>
                <w:szCs w:val="24"/>
              </w:rPr>
              <w:t>有關發行人的任何紀律處分或重大負面消息？</w:t>
            </w:r>
          </w:p>
        </w:tc>
        <w:tc>
          <w:tcPr>
            <w:tcW w:w="3048" w:type="dxa"/>
            <w:tcBorders>
              <w:bottom w:val="single" w:color="auto" w:sz="4" w:space="0"/>
            </w:tcBorders>
            <w:vAlign w:val="top"/>
          </w:tcPr>
          <w:p w14:paraId="348AFD12">
            <w:pPr>
              <w:pStyle w:val="60"/>
              <w:snapToGrid w:val="0"/>
              <w:spacing w:before="0" w:after="0" w:line="240" w:lineRule="auto"/>
              <w:ind w:left="0" w:leftChars="0"/>
              <w:rPr>
                <w:rFonts w:ascii="仿宋" w:hAnsi="仿宋" w:eastAsia="仿宋" w:cs="Times New Roman"/>
                <w:b/>
                <w:color w:val="000000"/>
                <w:sz w:val="24"/>
                <w:szCs w:val="24"/>
              </w:rPr>
            </w:pPr>
          </w:p>
          <w:p w14:paraId="531B7407">
            <w:pPr>
              <w:pStyle w:val="60"/>
              <w:snapToGrid w:val="0"/>
              <w:spacing w:before="0" w:after="0" w:line="240" w:lineRule="auto"/>
              <w:ind w:left="0" w:leftChars="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49B827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r>
              <w:t>資料未載明發行人紀律處分或重大負面消息。</w:t>
            </w:r>
          </w:p>
        </w:tc>
        <w:tc>
          <w:tcPr>
            <w:tcW w:w="3048" w:type="dxa"/>
            <w:tcBorders>
              <w:top w:val="single" w:color="auto" w:sz="4" w:space="0"/>
            </w:tcBorders>
            <w:vAlign w:val="top"/>
          </w:tcPr>
          <w:p w14:paraId="78FFAAD7">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沒有</w:t>
            </w:r>
          </w:p>
        </w:tc>
        <w:tc>
          <w:tcPr>
            <w:tcW w:w="3048" w:type="dxa"/>
            <w:tcBorders>
              <w:right w:val="single" w:color="auto" w:sz="4" w:space="0"/>
            </w:tcBorders>
            <w:vAlign w:val="top"/>
          </w:tcPr>
          <w:p w14:paraId="034A0540">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hint="eastAsia" w:ascii="仿宋" w:hAnsi="仿宋" w:eastAsia="仿宋" w:cs="Times New Roman"/>
                <w:color w:val="000000"/>
                <w:sz w:val="24"/>
                <w:szCs w:val="24"/>
              </w:rPr>
              <w:t>0</w:t>
            </w:r>
          </w:p>
        </w:tc>
      </w:tr>
      <w:tr w14:paraId="0737B1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3" w:hRule="atLeast"/>
          <w:jc w:val="center"/>
        </w:trPr>
        <w:tc>
          <w:tcPr>
            <w:tcW w:w="3048" w:type="dxa"/>
            <w:tcBorders>
              <w:left w:val="single" w:color="auto" w:sz="4" w:space="0"/>
            </w:tcBorders>
            <w:vAlign w:val="top"/>
          </w:tcPr>
          <w:p>
            <w:r>
              <w:t>資料未載明發行人紀律處分或重大負面消息。</w:t>
            </w:r>
          </w:p>
        </w:tc>
        <w:tc>
          <w:tcPr>
            <w:tcW w:w="3048" w:type="dxa"/>
            <w:vAlign w:val="top"/>
          </w:tcPr>
          <w:p w14:paraId="051615A5">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有; 請詳述 : __________________________________________</w:t>
            </w:r>
          </w:p>
          <w:p w14:paraId="3B490E91">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______________________________________________________</w:t>
            </w:r>
          </w:p>
        </w:tc>
        <w:tc>
          <w:tcPr>
            <w:tcW w:w="3048" w:type="dxa"/>
            <w:tcBorders>
              <w:right w:val="single" w:color="auto" w:sz="4" w:space="0"/>
            </w:tcBorders>
            <w:vAlign w:val="top"/>
          </w:tcPr>
          <w:p w14:paraId="7CC0B048">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7EA7BC2B">
      <w:pPr>
        <w:pStyle w:val="60"/>
        <w:shd w:val="clear" w:color="auto" w:fill="FFFFFF"/>
        <w:snapToGrid w:val="0"/>
        <w:spacing w:before="0" w:after="0" w:line="240" w:lineRule="auto"/>
        <w:ind w:left="425" w:leftChars="0"/>
        <w:rPr>
          <w:rFonts w:ascii="仿宋" w:hAnsi="仿宋" w:eastAsia="仿宋" w:cs="Times New Roman"/>
          <w:color w:val="000000"/>
          <w:sz w:val="24"/>
          <w:szCs w:val="24"/>
        </w:rPr>
      </w:pPr>
    </w:p>
    <w:tbl>
      <w:tblPr>
        <w:tblStyle w:val="24"/>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15"/>
        <w:gridCol w:w="6750"/>
        <w:gridCol w:w="2433"/>
      </w:tblGrid>
      <w:tr w14:paraId="5312CC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38" w:hRule="atLeast"/>
          <w:jc w:val="center"/>
        </w:trPr>
        <w:tc>
          <w:tcPr>
            <w:tcW w:w="3048" w:type="dxa"/>
            <w:tcBorders>
              <w:bottom w:val="single" w:color="auto" w:sz="4" w:space="0"/>
            </w:tcBorders>
            <w:vAlign w:val="top"/>
          </w:tcPr>
          <w:p w14:paraId="03EAAFAA">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hint="eastAsia" w:ascii="仿宋" w:hAnsi="仿宋" w:eastAsia="仿宋" w:cs="Times New Roman"/>
                <w:b/>
                <w:color w:val="000000"/>
                <w:sz w:val="24"/>
                <w:szCs w:val="24"/>
              </w:rPr>
              <w:t>5</w:t>
            </w:r>
            <w:r>
              <w:rPr>
                <w:rFonts w:ascii="仿宋" w:hAnsi="仿宋" w:eastAsia="仿宋" w:cs="Times New Roman"/>
                <w:b/>
                <w:color w:val="000000"/>
                <w:sz w:val="24"/>
                <w:szCs w:val="24"/>
              </w:rPr>
              <w:t>.10</w:t>
            </w:r>
          </w:p>
        </w:tc>
        <w:tc>
          <w:tcPr>
            <w:tcW w:w="3048" w:type="dxa"/>
            <w:tcBorders>
              <w:bottom w:val="single" w:color="auto" w:sz="4" w:space="0"/>
            </w:tcBorders>
            <w:vAlign w:val="top"/>
          </w:tcPr>
          <w:p w14:paraId="5D61D1EA">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ascii="仿宋" w:hAnsi="仿宋" w:eastAsia="仿宋" w:cs="Times New Roman"/>
                <w:b/>
                <w:color w:val="000000"/>
                <w:sz w:val="24"/>
                <w:szCs w:val="24"/>
              </w:rPr>
              <w:t>是否複雜產</w:t>
            </w:r>
            <w:r>
              <w:rPr>
                <w:rFonts w:hint="eastAsia" w:ascii="仿宋" w:hAnsi="仿宋" w:eastAsia="仿宋" w:cs="Times New Roman"/>
                <w:b/>
                <w:color w:val="000000"/>
                <w:sz w:val="24"/>
                <w:szCs w:val="24"/>
                <w:lang w:eastAsia="zh-CN"/>
              </w:rPr>
              <w:t>品</w:t>
            </w:r>
            <w:r>
              <w:rPr>
                <w:rFonts w:ascii="仿宋" w:hAnsi="仿宋" w:eastAsia="仿宋" w:cs="Times New Roman"/>
                <w:b/>
                <w:color w:val="000000"/>
                <w:sz w:val="24"/>
                <w:szCs w:val="24"/>
              </w:rPr>
              <w:t>？</w:t>
            </w:r>
          </w:p>
        </w:tc>
        <w:tc>
          <w:tcPr>
            <w:tcW w:w="3048" w:type="dxa"/>
            <w:tcBorders>
              <w:bottom w:val="single" w:color="auto" w:sz="4" w:space="0"/>
            </w:tcBorders>
            <w:vAlign w:val="top"/>
          </w:tcPr>
          <w:p w14:paraId="0CBEF0F4">
            <w:pPr>
              <w:pStyle w:val="60"/>
              <w:snapToGrid w:val="0"/>
              <w:spacing w:before="0" w:after="0" w:line="240" w:lineRule="auto"/>
              <w:ind w:left="4" w:leftChars="-10" w:hanging="24" w:hangingChars="10"/>
              <w:rPr>
                <w:rFonts w:ascii="仿宋" w:hAnsi="仿宋" w:eastAsia="仿宋" w:cs="Times New Roman"/>
                <w:b/>
                <w:color w:val="000000"/>
                <w:sz w:val="24"/>
                <w:szCs w:val="24"/>
              </w:rPr>
            </w:pPr>
          </w:p>
          <w:p w14:paraId="142E662F">
            <w:pPr>
              <w:pStyle w:val="60"/>
              <w:snapToGrid w:val="0"/>
              <w:spacing w:before="0" w:after="0" w:line="240" w:lineRule="auto"/>
              <w:ind w:left="4" w:leftChars="-10" w:hanging="24" w:hangingChars="10"/>
              <w:rPr>
                <w:rFonts w:ascii="仿宋" w:hAnsi="仿宋" w:eastAsia="仿宋" w:cs="Times New Roman"/>
                <w:b/>
                <w:color w:val="000000"/>
                <w:sz w:val="24"/>
                <w:szCs w:val="24"/>
              </w:rPr>
            </w:pPr>
            <w:r>
              <w:rPr>
                <w:rFonts w:ascii="仿宋" w:hAnsi="仿宋" w:eastAsia="仿宋" w:cs="Times New Roman"/>
                <w:b/>
                <w:color w:val="000000"/>
                <w:sz w:val="24"/>
                <w:szCs w:val="24"/>
              </w:rPr>
              <w:t>風險評分</w:t>
            </w:r>
          </w:p>
        </w:tc>
      </w:tr>
      <w:tr w14:paraId="19BAE0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48" w:type="dxa"/>
            <w:tcBorders>
              <w:left w:val="single" w:color="auto" w:sz="4" w:space="0"/>
            </w:tcBorders>
            <w:vAlign w:val="top"/>
          </w:tcPr>
          <w:p>
            <w:r>
              <w:t>資料未載明是否為複雜產品。</w:t>
            </w:r>
          </w:p>
        </w:tc>
        <w:tc>
          <w:tcPr>
            <w:tcW w:w="3048" w:type="dxa"/>
            <w:tcBorders>
              <w:top w:val="single" w:color="auto" w:sz="4" w:space="0"/>
            </w:tcBorders>
            <w:vAlign w:val="top"/>
          </w:tcPr>
          <w:p w14:paraId="3D14AA79">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不是</w:t>
            </w:r>
          </w:p>
        </w:tc>
        <w:tc>
          <w:tcPr>
            <w:tcW w:w="3048" w:type="dxa"/>
            <w:tcBorders>
              <w:right w:val="single" w:color="auto" w:sz="4" w:space="0"/>
            </w:tcBorders>
            <w:vAlign w:val="top"/>
          </w:tcPr>
          <w:p w14:paraId="5CDCB28E">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hint="eastAsia" w:ascii="仿宋" w:hAnsi="仿宋" w:eastAsia="仿宋" w:cs="Times New Roman"/>
                <w:color w:val="000000"/>
                <w:sz w:val="24"/>
                <w:szCs w:val="24"/>
              </w:rPr>
              <w:t>0</w:t>
            </w:r>
          </w:p>
        </w:tc>
      </w:tr>
      <w:tr w14:paraId="51D64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8" w:hRule="atLeast"/>
          <w:jc w:val="center"/>
        </w:trPr>
        <w:tc>
          <w:tcPr>
            <w:tcW w:w="3048" w:type="dxa"/>
            <w:tcBorders>
              <w:left w:val="single" w:color="auto" w:sz="4" w:space="0"/>
            </w:tcBorders>
            <w:vAlign w:val="top"/>
          </w:tcPr>
          <w:p>
            <w:r>
              <w:t>資料未載明是否為複雜產品。</w:t>
            </w:r>
          </w:p>
        </w:tc>
        <w:tc>
          <w:tcPr>
            <w:tcW w:w="3048" w:type="dxa"/>
            <w:vAlign w:val="top"/>
          </w:tcPr>
          <w:p w14:paraId="2B31522C">
            <w:pPr>
              <w:pStyle w:val="60"/>
              <w:snapToGrid w:val="0"/>
              <w:spacing w:before="0" w:after="0" w:line="240" w:lineRule="auto"/>
              <w:ind w:left="0" w:leftChars="0"/>
              <w:rPr>
                <w:rFonts w:ascii="仿宋" w:hAnsi="仿宋" w:eastAsia="仿宋" w:cs="Times New Roman"/>
                <w:color w:val="000000"/>
                <w:sz w:val="24"/>
                <w:szCs w:val="24"/>
              </w:rPr>
            </w:pPr>
            <w:r>
              <w:rPr>
                <w:rFonts w:hint="eastAsia" w:ascii="仿宋" w:hAnsi="仿宋" w:eastAsia="仿宋" w:cs="Times New Roman"/>
                <w:color w:val="000000"/>
                <w:sz w:val="24"/>
                <w:szCs w:val="24"/>
              </w:rPr>
              <w:t>是</w:t>
            </w:r>
          </w:p>
        </w:tc>
        <w:tc>
          <w:tcPr>
            <w:tcW w:w="3048" w:type="dxa"/>
            <w:tcBorders>
              <w:right w:val="single" w:color="auto" w:sz="4" w:space="0"/>
            </w:tcBorders>
            <w:vAlign w:val="top"/>
          </w:tcPr>
          <w:p w14:paraId="1E2A24E6">
            <w:pPr>
              <w:pStyle w:val="60"/>
              <w:snapToGrid w:val="0"/>
              <w:spacing w:before="0" w:after="0" w:line="240" w:lineRule="auto"/>
              <w:ind w:left="0" w:leftChars="0"/>
              <w:rPr>
                <w:rFonts w:ascii="仿宋" w:hAnsi="仿宋" w:eastAsia="仿宋" w:cs="Times New Roman"/>
                <w:color w:val="000000"/>
                <w:sz w:val="24"/>
                <w:szCs w:val="24"/>
              </w:rPr>
            </w:pPr>
            <w:r>
              <w:rPr>
                <w:rFonts w:ascii="仿宋" w:hAnsi="仿宋" w:eastAsia="仿宋"/>
                <w:sz w:val="24"/>
              </w:rPr>
              <w:t xml:space="preserve">□ </w:t>
            </w:r>
            <w:r>
              <w:rPr>
                <w:rFonts w:ascii="仿宋" w:hAnsi="仿宋" w:eastAsia="仿宋" w:cs="Times New Roman"/>
                <w:color w:val="000000"/>
                <w:sz w:val="24"/>
                <w:szCs w:val="24"/>
              </w:rPr>
              <w:t>5</w:t>
            </w:r>
          </w:p>
        </w:tc>
      </w:tr>
    </w:tbl>
    <w:p w14:paraId="246ABA00">
      <w:pPr>
        <w:pStyle w:val="60"/>
        <w:shd w:val="clear" w:color="auto" w:fill="FFFFFF"/>
        <w:snapToGrid w:val="0"/>
        <w:spacing w:before="0" w:after="0" w:line="240" w:lineRule="auto"/>
        <w:ind w:left="425" w:leftChars="0"/>
        <w:rPr>
          <w:rFonts w:ascii="仿宋" w:hAnsi="仿宋" w:eastAsia="仿宋" w:cs="Times New Roman"/>
          <w:b/>
          <w:color w:val="000000"/>
          <w:sz w:val="24"/>
          <w:szCs w:val="24"/>
        </w:rPr>
      </w:pPr>
    </w:p>
    <w:p w14:paraId="2D6E60AD">
      <w:pPr>
        <w:pStyle w:val="60"/>
        <w:numPr>
          <w:ilvl w:val="0"/>
          <w:numId w:val="1"/>
        </w:numPr>
        <w:shd w:val="clear" w:color="auto" w:fill="FFFFFF"/>
        <w:spacing w:before="0" w:after="0" w:line="240" w:lineRule="auto"/>
        <w:ind w:left="270" w:leftChars="0" w:right="-142" w:rightChars="-71" w:hanging="180"/>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 xml:space="preserve">基金主要風險 </w:t>
      </w:r>
    </w:p>
    <w:tbl>
      <w:tblPr>
        <w:tblStyle w:val="80"/>
        <w:tblW w:w="5000" w:type="pct"/>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CellMar>
          <w:top w:w="0" w:type="dxa"/>
          <w:left w:w="108" w:type="dxa"/>
          <w:bottom w:w="0" w:type="dxa"/>
          <w:right w:w="108" w:type="dxa"/>
        </w:tblCellMar>
      </w:tblPr>
      <w:tblGrid>
        <w:gridCol w:w="10247"/>
      </w:tblGrid>
      <w:tr w14:paraId="009251FA">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1647" w:hRule="atLeast"/>
        </w:trPr>
        <w:tc>
          <w:tcPr>
            <w:tcW w:w="9144" w:type="dxa"/>
            <w:tcBorders>
              <w:bottom w:val="single" w:color="666666" w:themeColor="text1" w:themeTint="99" w:sz="12" w:space="0"/>
              <w:insideH w:val="single" w:sz="12" w:space="0"/>
            </w:tcBorders>
            <w:vAlign w:val="top"/>
          </w:tcPr>
          <w:p>
            <w:r>
              <w:t>基金主要面临投资风险，包括子基金投资组合价值可能下跌且不保证偿还本金。具体风险因素涵盖债务证券风险（如信贷、利率、主权债务风险等）、银行存款风险、回购协议风险、流动性风险及交易对手风险。此外，还包括与中国有关的风险（含RQFII制度及中国银行间债券市场风险）、货币风险（含人民币货币风险）、对冲及衍生工具风险、新兴市场风险、估值风险、运营及结算风险、监管风险以及从资本中支付分派的风险等。</w:t>
            </w:r>
          </w:p>
        </w:tc>
      </w:tr>
    </w:tbl>
    <w:p w14:paraId="085FA097">
      <w:pPr>
        <w:pStyle w:val="60"/>
        <w:numPr>
          <w:ilvl w:val="0"/>
          <w:numId w:val="1"/>
        </w:numPr>
        <w:shd w:val="clear" w:color="auto" w:fill="FFFFFF"/>
        <w:spacing w:before="0" w:after="0" w:line="240" w:lineRule="auto"/>
        <w:ind w:left="270" w:leftChars="0" w:right="-142" w:rightChars="-71" w:hanging="180"/>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投資經理介紹</w:t>
      </w:r>
    </w:p>
    <w:tbl>
      <w:tblPr>
        <w:tblStyle w:val="80"/>
        <w:tblW w:w="5000" w:type="pct"/>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CellMar>
          <w:top w:w="0" w:type="dxa"/>
          <w:left w:w="108" w:type="dxa"/>
          <w:bottom w:w="0" w:type="dxa"/>
          <w:right w:w="108" w:type="dxa"/>
        </w:tblCellMar>
      </w:tblPr>
      <w:tblGrid>
        <w:gridCol w:w="10247"/>
      </w:tblGrid>
      <w:tr w14:paraId="4364C97D">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1647" w:hRule="atLeast"/>
        </w:trPr>
        <w:tc>
          <w:tcPr>
            <w:tcW w:w="9144" w:type="dxa"/>
            <w:tcBorders>
              <w:bottom w:val="single" w:color="666666" w:themeColor="text1" w:themeTint="99" w:sz="12" w:space="0"/>
              <w:insideH w:val="single" w:sz="12" w:space="0"/>
            </w:tcBorders>
            <w:vAlign w:val="top"/>
          </w:tcPr>
          <w:p>
            <w:r>
              <w:t>经理人为大成国际资产管理有限公司，获证监会发牌从事第1、4及9类受规管活动，中央编号ATE045。董事谭晓冈现任大成基金首席执行官，拥有哈佛大学公共行政管理硕士学位；副总经理肖剑拥有哈佛大学公共管理硕士学位；副总经理姚余栋拥有英国剑桥大学经济学博士学位。资料未载明具体负责的投资经理个人过往业绩数据。</w:t>
            </w:r>
          </w:p>
        </w:tc>
      </w:tr>
      <w:bookmarkEnd w:id="0"/>
    </w:tbl>
    <w:p w14:paraId="0C92A56B">
      <w:pPr>
        <w:pStyle w:val="60"/>
        <w:shd w:val="clear" w:color="auto" w:fill="FFFFFF"/>
        <w:spacing w:before="0" w:after="0" w:line="240" w:lineRule="auto"/>
        <w:ind w:left="270" w:leftChars="0" w:right="-142" w:rightChars="-71"/>
        <w:rPr>
          <w:rFonts w:ascii="仿宋" w:hAnsi="仿宋" w:eastAsia="仿宋" w:cs="Times New Roman"/>
          <w:b/>
          <w:color w:val="000000"/>
          <w:sz w:val="24"/>
          <w:szCs w:val="24"/>
          <w:u w:val="single"/>
        </w:rPr>
      </w:pPr>
    </w:p>
    <w:p w14:paraId="70E0A7A6">
      <w:pPr>
        <w:pStyle w:val="60"/>
        <w:numPr>
          <w:ilvl w:val="0"/>
          <w:numId w:val="1"/>
        </w:numPr>
        <w:shd w:val="clear" w:color="auto" w:fill="FFFFFF"/>
        <w:spacing w:before="0" w:after="0" w:line="240" w:lineRule="auto"/>
        <w:ind w:left="270" w:leftChars="0" w:right="-142" w:rightChars="-71" w:hanging="180"/>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其他補充資料</w:t>
      </w:r>
    </w:p>
    <w:tbl>
      <w:tblPr>
        <w:tblStyle w:val="80"/>
        <w:tblW w:w="5000" w:type="pct"/>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CellMar>
          <w:top w:w="0" w:type="dxa"/>
          <w:left w:w="108" w:type="dxa"/>
          <w:bottom w:w="0" w:type="dxa"/>
          <w:right w:w="108" w:type="dxa"/>
        </w:tblCellMar>
      </w:tblPr>
      <w:tblGrid>
        <w:gridCol w:w="10247"/>
      </w:tblGrid>
      <w:tr w14:paraId="22AD34A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1647" w:hRule="atLeast"/>
        </w:trPr>
        <w:tc>
          <w:tcPr>
            <w:tcW w:w="9144" w:type="dxa"/>
            <w:tcBorders>
              <w:bottom w:val="single" w:color="666666" w:themeColor="text1" w:themeTint="99" w:sz="12" w:space="0"/>
              <w:insideH w:val="single" w:sz="12" w:space="0"/>
            </w:tcBorders>
            <w:vAlign w:val="top"/>
          </w:tcPr>
          <w:p>
            <w:r>
              <w:t>本基金為大成投資信託基金的子基金，依證券及期貨條例第104條獲證監會認可。單位未根據美國證券法註冊，不得向美國人士發售。經理人網站未經證監會審閱。資料未載明其他補充事項。</w:t>
            </w:r>
          </w:p>
        </w:tc>
      </w:tr>
      <w:bookmarkEnd w:id="1"/>
    </w:tbl>
    <w:p w14:paraId="69C8BCC2">
      <w:pPr>
        <w:pStyle w:val="60"/>
        <w:spacing w:before="0" w:after="0"/>
        <w:ind w:left="360" w:leftChars="0"/>
        <w:rPr>
          <w:rFonts w:ascii="仿宋" w:hAnsi="仿宋" w:eastAsia="仿宋" w:cs="Times New Roman"/>
          <w:b/>
          <w:color w:val="000000"/>
          <w:sz w:val="24"/>
          <w:szCs w:val="24"/>
        </w:rPr>
      </w:pPr>
    </w:p>
    <w:p w14:paraId="54FE4820">
      <w:pPr>
        <w:pStyle w:val="60"/>
        <w:numPr>
          <w:ilvl w:val="0"/>
          <w:numId w:val="1"/>
        </w:numPr>
        <w:shd w:val="clear" w:color="auto" w:fill="FFFFFF"/>
        <w:spacing w:before="0" w:after="0" w:line="240" w:lineRule="auto"/>
        <w:ind w:left="270" w:leftChars="0" w:right="-142" w:rightChars="-71" w:hanging="180"/>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評估結果</w:t>
      </w:r>
    </w:p>
    <w:p w14:paraId="3A21D1CF">
      <w:pPr>
        <w:spacing w:before="0" w:after="0"/>
        <w:rPr>
          <w:rFonts w:ascii="仿宋" w:hAnsi="仿宋" w:eastAsia="仿宋" w:cs="Times New Roman"/>
          <w:b/>
          <w:color w:val="000000"/>
          <w:sz w:val="24"/>
          <w:szCs w:val="24"/>
          <w:u w:val="single"/>
        </w:rPr>
      </w:pPr>
      <w:r>
        <w:rPr>
          <w:rFonts w:hint="eastAsia" w:ascii="仿宋" w:hAnsi="仿宋" w:eastAsia="仿宋" w:cs="Times New Roman"/>
          <w:b/>
          <w:color w:val="000000"/>
          <w:sz w:val="24"/>
          <w:szCs w:val="24"/>
          <w:u w:val="single"/>
        </w:rPr>
        <w:t>風險等級分類</w:t>
      </w:r>
    </w:p>
    <w:tbl>
      <w:tblPr>
        <w:tblStyle w:val="81"/>
        <w:tblW w:w="5000" w:type="pct"/>
        <w:tblInd w:w="0" w:type="dxa"/>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Layout w:type="fixed"/>
        <w:tblCellMar>
          <w:top w:w="0" w:type="dxa"/>
          <w:left w:w="108" w:type="dxa"/>
          <w:bottom w:w="0" w:type="dxa"/>
          <w:right w:w="108" w:type="dxa"/>
        </w:tblCellMar>
      </w:tblPr>
      <w:tblGrid>
        <w:gridCol w:w="2077"/>
        <w:gridCol w:w="2431"/>
        <w:gridCol w:w="519"/>
        <w:gridCol w:w="5655"/>
      </w:tblGrid>
      <w:tr w14:paraId="4268B941">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04" w:hRule="atLeast"/>
        </w:trPr>
        <w:tc>
          <w:tcPr>
            <w:tcW w:w="2286" w:type="dxa"/>
            <w:tcBorders>
              <w:top w:val="single" w:color="000000" w:themeColor="text1" w:sz="4" w:space="0"/>
              <w:left w:val="single" w:color="000000" w:themeColor="text1" w:sz="4" w:space="0"/>
              <w:bottom w:val="single" w:color="000000" w:themeColor="text1" w:sz="4" w:space="0"/>
              <w:right w:val="nil"/>
              <w:insideH w:val="single" w:sz="4" w:space="0"/>
              <w:insideV w:val="nil"/>
            </w:tcBorders>
            <w:shd w:val="clear" w:color="auto" w:fill="000000" w:themeFill="text1"/>
            <w:vAlign w:val="top"/>
          </w:tcPr>
          <w:p>
            <w:r>
              <w:t>资料未载明具体风险评分总分。</w:t>
            </w:r>
          </w:p>
        </w:tc>
        <w:tc>
          <w:tcPr>
            <w:tcW w:w="2286" w:type="dxa"/>
            <w:gridSpan w:val="2"/>
            <w:tcBorders>
              <w:top w:val="single" w:color="000000" w:themeColor="text1" w:sz="4" w:space="0"/>
              <w:bottom w:val="single" w:color="000000" w:themeColor="text1" w:sz="4" w:space="0"/>
              <w:right w:val="nil"/>
              <w:insideH w:val="single" w:sz="4" w:space="0"/>
              <w:insideV w:val="nil"/>
            </w:tcBorders>
            <w:shd w:val="clear" w:color="auto" w:fill="000000" w:themeFill="text1"/>
            <w:vAlign w:val="top"/>
          </w:tcPr>
          <w:p>
            <w:r>
              <w:t>资料未载明风险等级评估结果。</w:t>
            </w:r>
          </w:p>
        </w:tc>
        <w:tc>
          <w:tcPr>
            <w:tcW w:w="2286" w:type="dxa"/>
            <w:tcBorders>
              <w:top w:val="single" w:color="000000" w:themeColor="text1" w:sz="4" w:space="0"/>
              <w:bottom w:val="single" w:color="000000" w:themeColor="text1" w:sz="4" w:space="0"/>
              <w:right w:val="single" w:color="000000" w:themeColor="text1" w:sz="4" w:space="0"/>
              <w:insideH w:val="single" w:sz="4" w:space="0"/>
              <w:insideV w:val="nil"/>
            </w:tcBorders>
            <w:shd w:val="clear" w:color="auto" w:fill="000000" w:themeFill="text1"/>
            <w:vAlign w:val="top"/>
          </w:tcPr>
          <w:p w14:paraId="0DBA62B0">
            <w:pPr>
              <w:spacing w:after="0" w:line="360" w:lineRule="atLeast"/>
              <w:jc w:val="center"/>
              <w:rPr>
                <w:rFonts w:ascii="仿宋" w:hAnsi="仿宋" w:eastAsia="仿宋" w:cs="Times New Roman"/>
                <w:b w:val="0"/>
                <w:bCs w:val="0"/>
                <w:color w:val="FFFFFF" w:themeColor="background1"/>
                <w:sz w:val="24"/>
                <w:szCs w:val="24"/>
                <w14:textFill>
                  <w14:solidFill>
                    <w14:schemeClr w14:val="bg1"/>
                  </w14:solidFill>
                </w14:textFill>
              </w:rPr>
            </w:pPr>
            <w:r>
              <w:rPr>
                <w:rFonts w:hint="eastAsia" w:ascii="仿宋" w:hAnsi="仿宋" w:eastAsia="仿宋" w:cs="Times New Roman"/>
                <w:b/>
                <w:bCs/>
                <w:color w:val="FFFFFF" w:themeColor="background1"/>
                <w:sz w:val="24"/>
                <w:szCs w:val="24"/>
                <w14:textFill>
                  <w14:solidFill>
                    <w14:schemeClr w14:val="bg1"/>
                  </w14:solidFill>
                </w14:textFill>
              </w:rPr>
              <w:t>備注</w:t>
            </w:r>
          </w:p>
        </w:tc>
      </w:tr>
      <w:tr w14:paraId="5F147489">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634" w:hRule="atLeast"/>
        </w:trPr>
        <w:tc>
          <w:tcPr>
            <w:tcW w:w="2286" w:type="dxa"/>
            <w:shd w:val="clear" w:color="auto" w:fill="CCCCCC" w:themeFill="text1" w:themeFillTint="33"/>
            <w:vAlign w:val="top"/>
          </w:tcPr>
          <w:p w14:paraId="4697B8BF">
            <w:pPr>
              <w:spacing w:after="0" w:line="330" w:lineRule="atLeast"/>
              <w:jc w:val="both"/>
              <w:rPr>
                <w:rFonts w:ascii="仿宋" w:hAnsi="仿宋" w:eastAsia="仿宋"/>
                <w:b/>
                <w:bCs w:val="0"/>
                <w:color w:val="000000"/>
                <w:sz w:val="24"/>
                <w:szCs w:val="24"/>
              </w:rPr>
            </w:pPr>
            <w:r>
              <w:rPr>
                <w:rFonts w:ascii="仿宋" w:hAnsi="仿宋" w:eastAsia="仿宋"/>
                <w:b w:val="0"/>
                <w:bCs/>
                <w:color w:val="000000"/>
                <w:sz w:val="24"/>
                <w:szCs w:val="24"/>
              </w:rPr>
              <w:t>8分或以下</w:t>
            </w:r>
          </w:p>
        </w:tc>
        <w:tc>
          <w:tcPr>
            <w:tcW w:w="2286" w:type="dxa"/>
            <w:shd w:val="clear" w:color="auto" w:fill="CCCCCC" w:themeFill="text1" w:themeFillTint="33"/>
            <w:vAlign w:val="top"/>
          </w:tcPr>
          <w:p w14:paraId="459751D3">
            <w:pPr>
              <w:pStyle w:val="60"/>
              <w:spacing w:after="0" w:line="330" w:lineRule="atLeast"/>
              <w:ind w:left="0" w:leftChars="0"/>
              <w:jc w:val="center"/>
              <w:rPr>
                <w:rFonts w:ascii="仿宋" w:hAnsi="仿宋" w:eastAsia="仿宋" w:cs="PMingLiU"/>
                <w:color w:val="000000"/>
                <w:sz w:val="24"/>
                <w:szCs w:val="24"/>
              </w:rPr>
            </w:pPr>
            <w:r>
              <w:rPr>
                <w:rFonts w:ascii="仿宋" w:hAnsi="仿宋" w:eastAsia="仿宋" w:cs="PMingLiU"/>
                <w:color w:val="000000"/>
                <w:sz w:val="24"/>
                <w:szCs w:val="24"/>
              </w:rPr>
              <w:t>低風險</w:t>
            </w:r>
          </w:p>
        </w:tc>
        <w:tc>
          <w:tcPr>
            <w:tcW w:w="2286" w:type="dxa"/>
            <w:gridSpan w:val="2"/>
            <w:shd w:val="clear" w:color="auto" w:fill="CCCCCC" w:themeFill="text1" w:themeFillTint="33"/>
            <w:vAlign w:val="top"/>
          </w:tcPr>
          <w:p w14:paraId="592AEEB5">
            <w:pPr>
              <w:spacing w:after="0" w:line="330" w:lineRule="atLeast"/>
              <w:jc w:val="both"/>
              <w:rPr>
                <w:rFonts w:ascii="仿宋" w:hAnsi="仿宋" w:eastAsia="仿宋" w:cs="PMingLiU"/>
                <w:color w:val="000000"/>
                <w:sz w:val="24"/>
                <w:szCs w:val="24"/>
              </w:rPr>
            </w:pPr>
            <w:r>
              <w:rPr>
                <w:rFonts w:ascii="仿宋" w:hAnsi="仿宋" w:eastAsia="仿宋" w:cs="PMingLiU"/>
                <w:color w:val="000000"/>
                <w:sz w:val="24"/>
                <w:szCs w:val="24"/>
              </w:rPr>
              <w:t>在投資過程中會有輕微機會損失大部分的資產（縱使不能保證）。在一段短時間內，預期會有輕微的價值波動。</w:t>
            </w:r>
          </w:p>
        </w:tc>
      </w:tr>
      <w:tr w14:paraId="2D611826">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04" w:hRule="atLeast"/>
        </w:trPr>
        <w:tc>
          <w:tcPr>
            <w:tcW w:w="2286" w:type="dxa"/>
            <w:vAlign w:val="top"/>
          </w:tcPr>
          <w:p w14:paraId="2EC7A35B">
            <w:pPr>
              <w:spacing w:after="0" w:line="330" w:lineRule="atLeast"/>
              <w:jc w:val="both"/>
              <w:rPr>
                <w:rFonts w:ascii="仿宋" w:hAnsi="仿宋" w:eastAsia="仿宋"/>
                <w:b/>
                <w:bCs w:val="0"/>
                <w:color w:val="000000"/>
                <w:sz w:val="24"/>
                <w:szCs w:val="24"/>
              </w:rPr>
            </w:pPr>
            <w:r>
              <w:rPr>
                <w:rFonts w:ascii="仿宋" w:hAnsi="仿宋" w:eastAsia="仿宋" w:cs="PMingLiU"/>
                <w:b w:val="0"/>
                <w:bCs/>
                <w:color w:val="000000"/>
                <w:sz w:val="24"/>
                <w:szCs w:val="24"/>
              </w:rPr>
              <w:t>9分 ~ 16分</w:t>
            </w:r>
          </w:p>
        </w:tc>
        <w:tc>
          <w:tcPr>
            <w:tcW w:w="2286" w:type="dxa"/>
            <w:vAlign w:val="top"/>
          </w:tcPr>
          <w:p w14:paraId="3BD2B000">
            <w:pPr>
              <w:spacing w:after="0" w:line="330" w:lineRule="atLeast"/>
              <w:jc w:val="center"/>
              <w:rPr>
                <w:rFonts w:ascii="仿宋" w:hAnsi="仿宋" w:eastAsia="仿宋" w:cs="PMingLiU"/>
                <w:color w:val="000000"/>
                <w:sz w:val="24"/>
                <w:szCs w:val="24"/>
              </w:rPr>
            </w:pPr>
            <w:r>
              <w:rPr>
                <w:rFonts w:ascii="仿宋" w:hAnsi="仿宋" w:eastAsia="仿宋" w:cs="PMingLiU"/>
                <w:color w:val="000000"/>
                <w:sz w:val="24"/>
                <w:szCs w:val="24"/>
              </w:rPr>
              <w:t>中低風險</w:t>
            </w:r>
          </w:p>
        </w:tc>
        <w:tc>
          <w:tcPr>
            <w:tcW w:w="2286" w:type="dxa"/>
            <w:gridSpan w:val="2"/>
            <w:vAlign w:val="top"/>
          </w:tcPr>
          <w:p w14:paraId="1CB6D6F4">
            <w:pPr>
              <w:spacing w:after="0" w:line="330" w:lineRule="atLeast"/>
              <w:jc w:val="both"/>
              <w:rPr>
                <w:rFonts w:ascii="仿宋" w:hAnsi="仿宋" w:eastAsia="仿宋" w:cs="PMingLiU"/>
                <w:color w:val="000000"/>
                <w:sz w:val="24"/>
                <w:szCs w:val="24"/>
              </w:rPr>
            </w:pPr>
            <w:r>
              <w:rPr>
                <w:rFonts w:ascii="仿宋" w:hAnsi="仿宋" w:eastAsia="仿宋" w:cs="PMingLiU"/>
                <w:color w:val="000000"/>
                <w:sz w:val="24"/>
                <w:szCs w:val="24"/>
              </w:rPr>
              <w:t>在投資過程中會有低機會損失大部分的資產（縱使不能保證）。在一段短時間內，預期會有適度低程度的價值波動。</w:t>
            </w:r>
          </w:p>
        </w:tc>
      </w:tr>
      <w:tr w14:paraId="73D87D23">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824" w:hRule="atLeast"/>
        </w:trPr>
        <w:tc>
          <w:tcPr>
            <w:tcW w:w="2286" w:type="dxa"/>
            <w:shd w:val="clear" w:color="auto" w:fill="CCCCCC" w:themeFill="text1" w:themeFillTint="33"/>
            <w:vAlign w:val="top"/>
          </w:tcPr>
          <w:p w14:paraId="00E8248D">
            <w:pPr>
              <w:spacing w:after="0" w:line="330" w:lineRule="atLeast"/>
              <w:jc w:val="both"/>
              <w:rPr>
                <w:rFonts w:ascii="仿宋" w:hAnsi="仿宋" w:eastAsia="仿宋"/>
                <w:b/>
                <w:bCs w:val="0"/>
                <w:color w:val="000000"/>
                <w:sz w:val="24"/>
                <w:szCs w:val="24"/>
              </w:rPr>
            </w:pPr>
            <w:r>
              <w:rPr>
                <w:rFonts w:ascii="仿宋" w:hAnsi="仿宋" w:eastAsia="仿宋" w:cs="PMingLiU"/>
                <w:b w:val="0"/>
                <w:bCs/>
                <w:color w:val="000000"/>
                <w:sz w:val="24"/>
                <w:szCs w:val="24"/>
              </w:rPr>
              <w:t>17分 ~ 26分</w:t>
            </w:r>
          </w:p>
        </w:tc>
        <w:tc>
          <w:tcPr>
            <w:tcW w:w="2286" w:type="dxa"/>
            <w:shd w:val="clear" w:color="auto" w:fill="CCCCCC" w:themeFill="text1" w:themeFillTint="33"/>
            <w:vAlign w:val="top"/>
          </w:tcPr>
          <w:p w14:paraId="64CEF848">
            <w:pPr>
              <w:pStyle w:val="60"/>
              <w:spacing w:after="0" w:line="330" w:lineRule="atLeast"/>
              <w:ind w:left="0" w:leftChars="0"/>
              <w:jc w:val="center"/>
              <w:rPr>
                <w:rFonts w:ascii="仿宋" w:hAnsi="仿宋" w:eastAsia="仿宋" w:cs="PMingLiU"/>
                <w:color w:val="000000"/>
                <w:sz w:val="24"/>
                <w:szCs w:val="24"/>
              </w:rPr>
            </w:pPr>
            <w:r>
              <w:rPr>
                <w:rFonts w:ascii="仿宋" w:hAnsi="仿宋" w:eastAsia="仿宋" w:cs="PMingLiU"/>
                <w:color w:val="000000"/>
                <w:sz w:val="24"/>
                <w:szCs w:val="24"/>
              </w:rPr>
              <w:t>中風險</w:t>
            </w:r>
          </w:p>
        </w:tc>
        <w:tc>
          <w:tcPr>
            <w:tcW w:w="2286" w:type="dxa"/>
            <w:gridSpan w:val="2"/>
            <w:shd w:val="clear" w:color="auto" w:fill="CCCCCC" w:themeFill="text1" w:themeFillTint="33"/>
            <w:vAlign w:val="top"/>
          </w:tcPr>
          <w:p w14:paraId="7317D1CC">
            <w:pPr>
              <w:spacing w:after="0" w:line="330" w:lineRule="atLeast"/>
              <w:jc w:val="both"/>
              <w:rPr>
                <w:rFonts w:ascii="仿宋" w:hAnsi="仿宋" w:eastAsia="仿宋" w:cs="PMingLiU"/>
                <w:color w:val="000000"/>
                <w:sz w:val="24"/>
                <w:szCs w:val="24"/>
              </w:rPr>
            </w:pPr>
            <w:r>
              <w:rPr>
                <w:rFonts w:ascii="仿宋" w:hAnsi="仿宋" w:eastAsia="仿宋" w:cs="PMingLiU"/>
                <w:color w:val="000000"/>
                <w:sz w:val="24"/>
                <w:szCs w:val="24"/>
              </w:rPr>
              <w:t>在投資過程中會有中度機會損失大部分的資產（縱使不能保證）。在一段短時間內，預期會有中度的價值波動。</w:t>
            </w:r>
          </w:p>
        </w:tc>
      </w:tr>
      <w:tr w14:paraId="15F4139C">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4" w:hRule="atLeast"/>
        </w:trPr>
        <w:tc>
          <w:tcPr>
            <w:tcW w:w="2286" w:type="dxa"/>
            <w:vAlign w:val="top"/>
          </w:tcPr>
          <w:p w14:paraId="534595A2">
            <w:pPr>
              <w:spacing w:after="0" w:line="330" w:lineRule="atLeast"/>
              <w:jc w:val="both"/>
              <w:rPr>
                <w:rFonts w:ascii="仿宋" w:hAnsi="仿宋" w:eastAsia="仿宋"/>
                <w:b w:val="0"/>
                <w:bCs w:val="0"/>
                <w:color w:val="000000"/>
                <w:sz w:val="24"/>
                <w:szCs w:val="24"/>
              </w:rPr>
            </w:pPr>
            <w:r>
              <w:rPr>
                <w:rFonts w:ascii="仿宋" w:hAnsi="仿宋" w:eastAsia="仿宋" w:cs="PMingLiU"/>
                <w:b w:val="0"/>
                <w:bCs/>
                <w:color w:val="000000"/>
                <w:sz w:val="24"/>
                <w:szCs w:val="24"/>
              </w:rPr>
              <w:t>27分 ~ 38分</w:t>
            </w:r>
          </w:p>
        </w:tc>
        <w:tc>
          <w:tcPr>
            <w:tcW w:w="2286" w:type="dxa"/>
            <w:vAlign w:val="top"/>
          </w:tcPr>
          <w:p w14:paraId="2F8A53AD">
            <w:pPr>
              <w:spacing w:after="0" w:line="330" w:lineRule="atLeast"/>
              <w:jc w:val="center"/>
              <w:rPr>
                <w:rFonts w:ascii="仿宋" w:hAnsi="仿宋" w:eastAsia="仿宋" w:cs="PMingLiU"/>
                <w:color w:val="000000"/>
                <w:sz w:val="24"/>
                <w:szCs w:val="24"/>
              </w:rPr>
            </w:pPr>
            <w:r>
              <w:rPr>
                <w:rFonts w:ascii="仿宋" w:hAnsi="仿宋" w:eastAsia="仿宋" w:cs="PMingLiU"/>
                <w:color w:val="000000"/>
                <w:sz w:val="24"/>
                <w:szCs w:val="24"/>
              </w:rPr>
              <w:t>中高風險</w:t>
            </w:r>
          </w:p>
        </w:tc>
        <w:tc>
          <w:tcPr>
            <w:tcW w:w="2286" w:type="dxa"/>
            <w:gridSpan w:val="2"/>
            <w:vAlign w:val="top"/>
          </w:tcPr>
          <w:p w14:paraId="68B8D5EF">
            <w:pPr>
              <w:spacing w:after="0" w:line="330" w:lineRule="atLeast"/>
              <w:jc w:val="both"/>
              <w:rPr>
                <w:rFonts w:ascii="仿宋" w:hAnsi="仿宋" w:eastAsia="仿宋" w:cs="PMingLiU"/>
                <w:color w:val="000000"/>
                <w:sz w:val="24"/>
                <w:szCs w:val="24"/>
              </w:rPr>
            </w:pPr>
            <w:r>
              <w:rPr>
                <w:rFonts w:ascii="仿宋" w:hAnsi="仿宋" w:eastAsia="仿宋" w:cs="PMingLiU"/>
                <w:color w:val="000000"/>
                <w:sz w:val="24"/>
                <w:szCs w:val="24"/>
              </w:rPr>
              <w:t>在投資過程中會有偏高度機會損失大部分的資產（縱使不能保證）。在一段短時間內，預期會有偏高度的價值波動。</w:t>
            </w:r>
          </w:p>
        </w:tc>
      </w:tr>
      <w:tr w14:paraId="361C67C0">
        <w:tblPrEx>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CellMar>
            <w:top w:w="0" w:type="dxa"/>
            <w:left w:w="108" w:type="dxa"/>
            <w:bottom w:w="0" w:type="dxa"/>
            <w:right w:w="108" w:type="dxa"/>
          </w:tblCellMar>
        </w:tblPrEx>
        <w:trPr>
          <w:trHeight w:val="434" w:hRule="atLeast"/>
        </w:trPr>
        <w:tc>
          <w:tcPr>
            <w:tcW w:w="2286" w:type="dxa"/>
            <w:shd w:val="clear" w:color="auto" w:fill="CCCCCC" w:themeFill="text1" w:themeFillTint="33"/>
            <w:vAlign w:val="top"/>
          </w:tcPr>
          <w:p w14:paraId="4FA0FCB8">
            <w:pPr>
              <w:spacing w:after="0" w:line="330" w:lineRule="atLeast"/>
              <w:jc w:val="both"/>
              <w:rPr>
                <w:rFonts w:ascii="仿宋" w:hAnsi="仿宋" w:eastAsia="仿宋"/>
                <w:b/>
                <w:bCs w:val="0"/>
                <w:color w:val="000000"/>
                <w:sz w:val="24"/>
                <w:szCs w:val="24"/>
              </w:rPr>
            </w:pPr>
            <w:r>
              <w:rPr>
                <w:rFonts w:ascii="仿宋" w:hAnsi="仿宋" w:eastAsia="仿宋"/>
                <w:b w:val="0"/>
                <w:bCs/>
                <w:color w:val="000000"/>
                <w:sz w:val="24"/>
                <w:szCs w:val="24"/>
              </w:rPr>
              <w:t>39分或以上</w:t>
            </w:r>
          </w:p>
        </w:tc>
        <w:tc>
          <w:tcPr>
            <w:tcW w:w="2286" w:type="dxa"/>
            <w:shd w:val="clear" w:color="auto" w:fill="CCCCCC" w:themeFill="text1" w:themeFillTint="33"/>
            <w:vAlign w:val="top"/>
          </w:tcPr>
          <w:p w14:paraId="6E0C0FC2">
            <w:pPr>
              <w:spacing w:after="0" w:line="330" w:lineRule="atLeast"/>
              <w:jc w:val="center"/>
              <w:rPr>
                <w:rFonts w:ascii="仿宋" w:hAnsi="仿宋" w:eastAsia="仿宋" w:cs="PMingLiU"/>
                <w:color w:val="000000"/>
                <w:sz w:val="24"/>
                <w:szCs w:val="24"/>
              </w:rPr>
            </w:pPr>
            <w:r>
              <w:rPr>
                <w:rFonts w:ascii="仿宋" w:hAnsi="仿宋" w:eastAsia="仿宋" w:cs="PMingLiU"/>
                <w:color w:val="000000"/>
                <w:sz w:val="24"/>
                <w:szCs w:val="24"/>
              </w:rPr>
              <w:t>高風險</w:t>
            </w:r>
          </w:p>
        </w:tc>
        <w:tc>
          <w:tcPr>
            <w:tcW w:w="2286" w:type="dxa"/>
            <w:gridSpan w:val="2"/>
            <w:shd w:val="clear" w:color="auto" w:fill="CCCCCC" w:themeFill="text1" w:themeFillTint="33"/>
            <w:vAlign w:val="top"/>
          </w:tcPr>
          <w:p w14:paraId="5FC57B69">
            <w:pPr>
              <w:spacing w:after="0" w:line="330" w:lineRule="atLeast"/>
              <w:jc w:val="both"/>
              <w:rPr>
                <w:rFonts w:ascii="仿宋" w:hAnsi="仿宋" w:eastAsia="仿宋" w:cs="PMingLiU"/>
                <w:color w:val="000000"/>
                <w:sz w:val="24"/>
                <w:szCs w:val="24"/>
              </w:rPr>
            </w:pPr>
            <w:r>
              <w:rPr>
                <w:rFonts w:ascii="仿宋" w:hAnsi="仿宋" w:eastAsia="仿宋" w:cs="PMingLiU"/>
                <w:color w:val="000000"/>
                <w:sz w:val="24"/>
                <w:szCs w:val="24"/>
              </w:rPr>
              <w:t>在投資過程中會有高機會損失大部分的資產。在一段短時間內，預期會有高程度的價值波動。</w:t>
            </w:r>
          </w:p>
        </w:tc>
      </w:tr>
    </w:tbl>
    <w:p w14:paraId="7AC50D35">
      <w:pPr>
        <w:spacing w:before="0" w:after="0"/>
        <w:rPr>
          <w:rFonts w:ascii="仿宋" w:hAnsi="仿宋" w:eastAsia="仿宋" w:cs="Times New Roman"/>
          <w:b/>
          <w:color w:val="000000"/>
          <w:sz w:val="24"/>
          <w:szCs w:val="24"/>
        </w:rPr>
      </w:pPr>
    </w:p>
    <w:p w14:paraId="7498AFFF">
      <w:pPr>
        <w:spacing w:before="0" w:after="0" w:line="500" w:lineRule="exact"/>
        <w:rPr>
          <w:rFonts w:hint="eastAsia" w:ascii="仿宋" w:hAnsi="仿宋" w:eastAsia="仿宋" w:cs="Times New Roman"/>
          <w:b/>
          <w:color w:val="000000"/>
          <w:sz w:val="24"/>
          <w:szCs w:val="24"/>
        </w:rPr>
      </w:pPr>
      <w:r>
        <w:rPr>
          <w:rFonts w:hint="eastAsia" w:ascii="仿宋" w:hAnsi="仿宋" w:eastAsia="仿宋" w:cs="Times New Roman"/>
          <w:b/>
          <w:color w:val="000000"/>
          <w:sz w:val="24"/>
          <w:szCs w:val="24"/>
        </w:rPr>
        <w:t>風險評分 :</w:t>
      </w:r>
    </w:p>
    <w:tbl>
      <w:tblPr>
        <w:tblStyle w:val="24"/>
        <w:tblW w:w="5000" w:type="pct"/>
        <w:tblInd w:w="0" w:type="dxa"/>
        <w:tblBorders>
          <w:top w:val="none" w:color="auto" w:sz="0" w:space="0"/>
          <w:left w:val="none" w:color="auto" w:sz="0" w:space="0"/>
          <w:bottom w:val="single" w:color="auto" w:sz="4" w:space="0"/>
          <w:right w:val="none" w:color="auto" w:sz="0" w:space="0"/>
          <w:insideH w:val="single" w:color="auto" w:sz="4" w:space="0"/>
          <w:insideV w:val="none" w:color="auto" w:sz="0" w:space="0"/>
        </w:tblBorders>
        <w:shd w:val="clear" w:color="auto" w:fill="FFFFFF" w:themeFill="background1"/>
        <w:tblLayout w:type="fixed"/>
        <w:tblCellMar>
          <w:top w:w="0" w:type="dxa"/>
          <w:left w:w="0" w:type="dxa"/>
          <w:bottom w:w="0" w:type="dxa"/>
          <w:right w:w="0" w:type="dxa"/>
        </w:tblCellMar>
      </w:tblPr>
      <w:tblGrid>
        <w:gridCol w:w="2022"/>
        <w:gridCol w:w="4797"/>
      </w:tblGrid>
      <w:tr w14:paraId="67D640F4">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shd w:val="clear" w:color="auto" w:fill="FFFFFF" w:themeFill="background1"/>
          <w:tblCellMar>
            <w:top w:w="0" w:type="dxa"/>
            <w:left w:w="0" w:type="dxa"/>
            <w:bottom w:w="0" w:type="dxa"/>
            <w:right w:w="0" w:type="dxa"/>
          </w:tblCellMar>
        </w:tblPrEx>
        <w:trPr>
          <w:trHeight w:val="511" w:hRule="atLeast"/>
        </w:trPr>
        <w:tc>
          <w:tcPr>
            <w:tcW w:w="4572" w:type="dxa"/>
            <w:tcBorders>
              <w:top w:val="nil"/>
              <w:left w:val="nil"/>
              <w:bottom w:val="nil"/>
              <w:right w:val="nil"/>
            </w:tcBorders>
            <w:shd w:val="clear" w:color="auto" w:fill="FFFFFF" w:themeFill="background1"/>
            <w:tcMar>
              <w:top w:w="0" w:type="dxa"/>
              <w:left w:w="0" w:type="dxa"/>
              <w:bottom w:w="0" w:type="dxa"/>
              <w:right w:w="0" w:type="dxa"/>
            </w:tcMar>
            <w:vAlign w:val="top"/>
          </w:tcPr>
          <w:p w14:paraId="68BFD76A">
            <w:pPr>
              <w:spacing w:before="0" w:after="0" w:line="500" w:lineRule="exact"/>
              <w:jc w:val="left"/>
              <w:rPr>
                <w:rFonts w:hint="eastAsia" w:ascii="仿宋" w:hAnsi="仿宋" w:eastAsia="仿宋" w:cs="Times New Roman"/>
                <w:b/>
                <w:color w:val="000000"/>
                <w:sz w:val="24"/>
                <w:szCs w:val="24"/>
                <w:vertAlign w:val="baseline"/>
              </w:rPr>
            </w:pPr>
            <w:r>
              <w:rPr>
                <w:rFonts w:hint="eastAsia" w:ascii="仿宋" w:hAnsi="仿宋" w:eastAsia="仿宋" w:cs="Times New Roman"/>
                <w:b/>
                <w:color w:val="000000"/>
                <w:sz w:val="24"/>
                <w:szCs w:val="24"/>
              </w:rPr>
              <w:t>總分為：</w:t>
            </w:r>
          </w:p>
        </w:tc>
        <w:tc>
          <w:tcPr>
            <w:tcW w:w="4572" w:type="dxa"/>
            <w:tcBorders>
              <w:left w:val="nil"/>
              <w:tl2br w:val="nil"/>
              <w:tr2bl w:val="nil"/>
            </w:tcBorders>
            <w:shd w:val="clear" w:color="auto" w:fill="FFFFFF" w:themeFill="background1"/>
            <w:tcMar>
              <w:top w:w="0" w:type="dxa"/>
              <w:left w:w="0" w:type="dxa"/>
              <w:bottom w:w="0" w:type="dxa"/>
              <w:right w:w="0" w:type="dxa"/>
            </w:tcMar>
            <w:vAlign w:val="top"/>
          </w:tcPr>
          <w:p>
            <w:r>
              <w:t>资料未载明最终计算的总分数值。</w:t>
            </w:r>
          </w:p>
        </w:tc>
      </w:tr>
      <w:tr w14:paraId="0FF2D22A">
        <w:tblPrEx>
          <w:tblBorders>
            <w:top w:val="none" w:color="auto" w:sz="0" w:space="0"/>
            <w:left w:val="none" w:color="auto" w:sz="0" w:space="0"/>
            <w:bottom w:val="single" w:color="auto" w:sz="4" w:space="0"/>
            <w:right w:val="none" w:color="auto" w:sz="0" w:space="0"/>
            <w:insideH w:val="single" w:color="auto" w:sz="4" w:space="0"/>
            <w:insideV w:val="none" w:color="auto" w:sz="0" w:space="0"/>
          </w:tblBorders>
          <w:shd w:val="clear" w:color="auto" w:fill="FFFFFF" w:themeFill="background1"/>
          <w:tblCellMar>
            <w:top w:w="0" w:type="dxa"/>
            <w:left w:w="0" w:type="dxa"/>
            <w:bottom w:w="0" w:type="dxa"/>
            <w:right w:w="0" w:type="dxa"/>
          </w:tblCellMar>
        </w:tblPrEx>
        <w:trPr>
          <w:trHeight w:val="531" w:hRule="atLeast"/>
        </w:trPr>
        <w:tc>
          <w:tcPr>
            <w:tcW w:w="4572" w:type="dxa"/>
            <w:tcBorders>
              <w:top w:val="nil"/>
              <w:bottom w:val="nil"/>
            </w:tcBorders>
            <w:shd w:val="clear" w:color="auto" w:fill="FFFFFF" w:themeFill="background1"/>
            <w:tcMar>
              <w:top w:w="0" w:type="dxa"/>
              <w:left w:w="0" w:type="dxa"/>
              <w:bottom w:w="0" w:type="dxa"/>
              <w:right w:w="0" w:type="dxa"/>
            </w:tcMar>
            <w:vAlign w:val="top"/>
          </w:tcPr>
          <w:p w14:paraId="508D01F8">
            <w:pPr>
              <w:spacing w:before="0" w:after="0" w:line="500" w:lineRule="exact"/>
              <w:jc w:val="left"/>
              <w:rPr>
                <w:rFonts w:hint="eastAsia" w:ascii="仿宋" w:hAnsi="仿宋" w:eastAsia="仿宋" w:cs="Times New Roman"/>
                <w:b/>
                <w:color w:val="000000"/>
                <w:sz w:val="24"/>
                <w:szCs w:val="24"/>
                <w:vertAlign w:val="baseline"/>
              </w:rPr>
            </w:pPr>
            <w:r>
              <w:rPr>
                <w:rFonts w:hint="eastAsia" w:ascii="仿宋" w:hAnsi="仿宋" w:eastAsia="仿宋" w:cs="Times New Roman"/>
                <w:b/>
                <w:color w:val="000000"/>
                <w:sz w:val="24"/>
                <w:szCs w:val="24"/>
              </w:rPr>
              <w:t>風險評級為：</w:t>
            </w:r>
          </w:p>
        </w:tc>
        <w:tc>
          <w:tcPr>
            <w:tcW w:w="4572" w:type="dxa"/>
            <w:tcBorders>
              <w:tl2br w:val="nil"/>
              <w:tr2bl w:val="nil"/>
            </w:tcBorders>
            <w:shd w:val="clear" w:color="auto" w:fill="FFFFFF" w:themeFill="background1"/>
            <w:tcMar>
              <w:top w:w="0" w:type="dxa"/>
              <w:left w:w="0" w:type="dxa"/>
              <w:bottom w:w="0" w:type="dxa"/>
              <w:right w:w="0" w:type="dxa"/>
            </w:tcMar>
            <w:vAlign w:val="top"/>
          </w:tcPr>
          <w:p>
            <w:r>
              <w:t>资料未载明具体风险评级结果。</w:t>
            </w:r>
          </w:p>
        </w:tc>
      </w:tr>
    </w:tbl>
    <w:p w14:paraId="73E22DF7">
      <w:pPr>
        <w:keepNext w:val="0"/>
        <w:keepLines w:val="0"/>
        <w:pageBreakBefore w:val="0"/>
        <w:widowControl/>
        <w:shd w:val="clear" w:color="auto" w:fill="FFFFFF"/>
        <w:kinsoku/>
        <w:wordWrap/>
        <w:overflowPunct/>
        <w:topLinePunct w:val="0"/>
        <w:autoSpaceDE/>
        <w:autoSpaceDN/>
        <w:bidi w:val="0"/>
        <w:adjustRightInd/>
        <w:snapToGrid/>
        <w:spacing w:before="0" w:after="0" w:line="20" w:lineRule="exact"/>
        <w:textAlignment w:val="auto"/>
        <w:rPr>
          <w:rFonts w:hint="eastAsia" w:ascii="仿宋" w:hAnsi="仿宋" w:eastAsia="仿宋" w:cs="Times New Roman"/>
          <w:b/>
          <w:color w:val="000000"/>
          <w:sz w:val="24"/>
          <w:szCs w:val="24"/>
          <w:u w:val="single"/>
          <w:lang w:eastAsia="zh-CN"/>
        </w:rPr>
      </w:pPr>
      <w:r>
        <w:rPr>
          <w:rFonts w:hint="eastAsia" w:ascii="仿宋" w:hAnsi="仿宋" w:eastAsia="仿宋" w:cs="Times New Roman"/>
          <w:b/>
          <w:color w:val="000000"/>
          <w:sz w:val="24"/>
          <w:szCs w:val="24"/>
          <w:u w:val="none"/>
        </w:rPr>
        <w:t xml:space="preserve">    </w:t>
      </w:r>
    </w:p>
    <w:sectPr>
      <w:headerReference r:id="rId5" w:type="default"/>
      <w:footerReference r:id="rId6" w:type="default"/>
      <w:pgSz w:w="11906" w:h="16838"/>
      <w:pgMar w:top="1008" w:right="720" w:bottom="720" w:left="720" w:header="283" w:footer="0" w:gutter="0"/>
      <w:pgBorders>
        <w:top w:val="none" w:sz="0" w:space="0"/>
        <w:left w:val="none" w:sz="0" w:space="0"/>
        <w:bottom w:val="none" w:sz="0" w:space="0"/>
        <w:right w:val="none" w:sz="0" w:space="0"/>
      </w:pgBorders>
      <w:cols w:space="425" w:num="1"/>
      <w:docGrid w:type="lines"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PMingLiU">
    <w:altName w:val="PMingLiU-ExtB"/>
    <w:panose1 w:val="02020500000000000000"/>
    <w:charset w:val="88"/>
    <w:family w:val="roman"/>
    <w:pitch w:val="default"/>
    <w:sig w:usb0="00000000" w:usb1="00000000" w:usb2="00000016" w:usb3="00000000" w:csb0="00100001" w:csb1="00000000"/>
  </w:font>
  <w:font w:name="PMingLiU-ExtB">
    <w:panose1 w:val="02020500000000000000"/>
    <w:charset w:val="88"/>
    <w:family w:val="auto"/>
    <w:pitch w:val="default"/>
    <w:sig w:usb0="8000002F" w:usb1="02000008" w:usb2="00000000" w:usb3="00000000" w:csb0="00100001" w:csb1="00000000"/>
  </w:font>
  <w:font w:name="Lucida Grande">
    <w:altName w:val="Courier New"/>
    <w:panose1 w:val="00000000000000000000"/>
    <w:charset w:val="00"/>
    <w:family w:val="auto"/>
    <w:pitch w:val="default"/>
    <w:sig w:usb0="00000000" w:usb1="00000000" w:usb2="00000000" w:usb3="00000000" w:csb0="200001BF" w:csb1="4F010000"/>
  </w:font>
  <w:font w:name="Helvetica">
    <w:altName w:val="Arial"/>
    <w:panose1 w:val="020B0604020202020204"/>
    <w:charset w:val="00"/>
    <w:family w:val="swiss"/>
    <w:pitch w:val="default"/>
    <w:sig w:usb0="00000000" w:usb1="00000000" w:usb2="00000000" w:usb3="00000000" w:csb0="2000019F" w:csb1="4F010000"/>
  </w:font>
  <w:font w:name="仿宋">
    <w:panose1 w:val="02010609060101010101"/>
    <w:charset w:val="86"/>
    <w:family w:val="modern"/>
    <w:pitch w:val="default"/>
    <w:sig w:usb0="800002BF" w:usb1="38CF7CFA" w:usb2="00000016" w:usb3="00000000" w:csb0="00040001" w:csb1="00000000"/>
  </w:font>
  <w:font w:name="標楷體">
    <w:altName w:val="宋体"/>
    <w:panose1 w:val="03000509000000000000"/>
    <w:charset w:val="88"/>
    <w:family w:val="script"/>
    <w:pitch w:val="default"/>
    <w:sig w:usb0="00000000" w:usb1="00000000"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BFBD63">
    <w:pPr>
      <w:pStyle w:val="16"/>
      <w:rPr>
        <w:color w:val="595959" w:themeColor="text1" w:themeTint="A6"/>
        <w:sz w:val="18"/>
        <w:szCs w:val="18"/>
        <w14:textFill>
          <w14:solidFill>
            <w14:schemeClr w14:val="tx1">
              <w14:lumMod w14:val="65000"/>
              <w14:lumOff w14:val="35000"/>
            </w14:schemeClr>
          </w14:solidFill>
        </w14:textFill>
      </w:rPr>
    </w:pPr>
    <w:r>
      <w:rPr>
        <w:color w:val="595959" w:themeColor="text1" w:themeTint="A6"/>
        <w:sz w:val="18"/>
        <w:szCs w:val="18"/>
        <w14:textFill>
          <w14:solidFill>
            <w14:schemeClr w14:val="tx1">
              <w14:lumMod w14:val="65000"/>
              <w14:lumOff w14:val="35000"/>
            </w14:schemeClr>
          </w14:solidFill>
        </w14:textFill>
      </w:rPr>
      <w:ptab w:relativeTo="margin" w:alignment="right" w:leader="none"/>
    </w:r>
    <w:r>
      <w:rPr>
        <w:color w:val="595959" w:themeColor="text1" w:themeTint="A6"/>
        <w:sz w:val="18"/>
        <w:szCs w:val="18"/>
        <w:lang w:val="zh-TW"/>
        <w14:textFill>
          <w14:solidFill>
            <w14:schemeClr w14:val="tx1">
              <w14:lumMod w14:val="65000"/>
              <w14:lumOff w14:val="35000"/>
            </w14:schemeClr>
          </w14:solidFill>
        </w14:textFill>
      </w:rPr>
      <w:t xml:space="preserve"> </w:t>
    </w:r>
  </w:p>
  <w:p w14:paraId="31D13D4E">
    <w:pPr>
      <w:pStyle w:val="16"/>
      <w:rPr>
        <w:sz w:val="16"/>
        <w:szCs w:val="16"/>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520741F">
    <w:pPr>
      <w:pStyle w:val="17"/>
    </w:pPr>
    <w:r>
      <w:rPr>
        <w:rFonts w:hint="eastAsia"/>
        <w:lang w:eastAsia="zh-CN"/>
      </w:rPr>
      <w:drawing>
        <wp:inline distT="0" distB="0" distL="114300" distR="114300">
          <wp:extent cx="1830705" cy="563245"/>
          <wp:effectExtent l="0" t="0" r="0" b="20955"/>
          <wp:docPr id="6" name="图片 6" descr="default-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default-logo"/>
                  <pic:cNvPicPr>
                    <a:picLocks noChangeAspect="1"/>
                  </pic:cNvPicPr>
                </pic:nvPicPr>
                <pic:blipFill>
                  <a:blip r:embed="rId1"/>
                  <a:stretch>
                    <a:fillRect/>
                  </a:stretch>
                </pic:blipFill>
                <pic:spPr>
                  <a:xfrm>
                    <a:off x="0" y="0"/>
                    <a:ext cx="1830705" cy="56324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0F3093"/>
    <w:multiLevelType w:val="multilevel"/>
    <w:tmpl w:val="0D0F3093"/>
    <w:lvl w:ilvl="0" w:tentative="0">
      <w:start w:val="1"/>
      <w:numFmt w:val="decimal"/>
      <w:lvlText w:val="(%1)"/>
      <w:lvlJc w:val="left"/>
      <w:pPr>
        <w:ind w:left="360" w:hanging="360"/>
      </w:pPr>
      <w:rPr>
        <w:rFonts w:hint="default" w:ascii="Calibri" w:hAnsi="Calibri"/>
        <w:b/>
      </w:rPr>
    </w:lvl>
    <w:lvl w:ilvl="1" w:tentative="0">
      <w:start w:val="1"/>
      <w:numFmt w:val="decimal"/>
      <w:lvlText w:val="%2."/>
      <w:lvlJc w:val="left"/>
      <w:pPr>
        <w:ind w:left="840" w:hanging="360"/>
      </w:pPr>
      <w:rPr>
        <w:rFonts w:hint="default" w:ascii="Calibri" w:hAnsi="Calibri"/>
      </w:r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1">
    <w:nsid w:val="0E1149D0"/>
    <w:multiLevelType w:val="multilevel"/>
    <w:tmpl w:val="0E1149D0"/>
    <w:lvl w:ilvl="0" w:tentative="0">
      <w:start w:val="1"/>
      <w:numFmt w:val="lowerRoman"/>
      <w:lvlText w:val="(%1)"/>
      <w:lvlJc w:val="left"/>
      <w:pPr>
        <w:ind w:left="720" w:hanging="720"/>
      </w:pPr>
      <w:rPr>
        <w:rFonts w:hint="default" w:ascii="Calibri" w:hAnsi="Calibri"/>
      </w:rPr>
    </w:lvl>
    <w:lvl w:ilvl="1" w:tentative="0">
      <w:start w:val="1"/>
      <w:numFmt w:val="ideographTraditional"/>
      <w:lvlText w:val="%2、"/>
      <w:lvlJc w:val="left"/>
      <w:pPr>
        <w:ind w:left="960" w:hanging="480"/>
      </w:pPr>
    </w:lvl>
    <w:lvl w:ilvl="2" w:tentative="0">
      <w:start w:val="1"/>
      <w:numFmt w:val="lowerRoman"/>
      <w:lvlText w:val="%3."/>
      <w:lvlJc w:val="right"/>
      <w:pPr>
        <w:ind w:left="1440" w:hanging="480"/>
      </w:pPr>
    </w:lvl>
    <w:lvl w:ilvl="3" w:tentative="0">
      <w:start w:val="1"/>
      <w:numFmt w:val="decimal"/>
      <w:lvlText w:val="%4."/>
      <w:lvlJc w:val="left"/>
      <w:pPr>
        <w:ind w:left="1920" w:hanging="480"/>
      </w:pPr>
    </w:lvl>
    <w:lvl w:ilvl="4" w:tentative="0">
      <w:start w:val="1"/>
      <w:numFmt w:val="ideographTraditional"/>
      <w:lvlText w:val="%5、"/>
      <w:lvlJc w:val="left"/>
      <w:pPr>
        <w:ind w:left="2400" w:hanging="480"/>
      </w:pPr>
    </w:lvl>
    <w:lvl w:ilvl="5" w:tentative="0">
      <w:start w:val="1"/>
      <w:numFmt w:val="lowerRoman"/>
      <w:lvlText w:val="%6."/>
      <w:lvlJc w:val="right"/>
      <w:pPr>
        <w:ind w:left="2880" w:hanging="480"/>
      </w:pPr>
    </w:lvl>
    <w:lvl w:ilvl="6" w:tentative="0">
      <w:start w:val="1"/>
      <w:numFmt w:val="decimal"/>
      <w:lvlText w:val="%7."/>
      <w:lvlJc w:val="left"/>
      <w:pPr>
        <w:ind w:left="3360" w:hanging="480"/>
      </w:pPr>
    </w:lvl>
    <w:lvl w:ilvl="7" w:tentative="0">
      <w:start w:val="1"/>
      <w:numFmt w:val="ideographTraditional"/>
      <w:lvlText w:val="%8、"/>
      <w:lvlJc w:val="left"/>
      <w:pPr>
        <w:ind w:left="3840" w:hanging="480"/>
      </w:pPr>
    </w:lvl>
    <w:lvl w:ilvl="8" w:tentative="0">
      <w:start w:val="1"/>
      <w:numFmt w:val="lowerRoman"/>
      <w:lvlText w:val="%9."/>
      <w:lvlJc w:val="right"/>
      <w:pPr>
        <w:ind w:left="4320" w:hanging="480"/>
      </w:pPr>
    </w:lvl>
  </w:abstractNum>
  <w:abstractNum w:abstractNumId="2">
    <w:nsid w:val="5E412854"/>
    <w:multiLevelType w:val="multilevel"/>
    <w:tmpl w:val="5E412854"/>
    <w:lvl w:ilvl="0" w:tentative="0">
      <w:start w:val="1"/>
      <w:numFmt w:val="decimal"/>
      <w:lvlText w:val="%1."/>
      <w:lvlJc w:val="left"/>
      <w:pPr>
        <w:ind w:left="720" w:hanging="360"/>
      </w:pPr>
      <w:rPr>
        <w:rFonts w:hint="default" w:ascii="Calibri" w:hAnsi="Calibri"/>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627B59AB"/>
    <w:multiLevelType w:val="multilevel"/>
    <w:tmpl w:val="627B59AB"/>
    <w:lvl w:ilvl="0" w:tentative="0">
      <w:start w:val="6"/>
      <w:numFmt w:val="bullet"/>
      <w:lvlText w:val="-"/>
      <w:lvlJc w:val="left"/>
      <w:pPr>
        <w:ind w:left="360" w:hanging="360"/>
      </w:pPr>
      <w:rPr>
        <w:rFonts w:hint="default" w:ascii="Calibri" w:hAnsi="Calibri" w:eastAsia="標楷體" w:cs="Arial"/>
      </w:rPr>
    </w:lvl>
    <w:lvl w:ilvl="1" w:tentative="0">
      <w:start w:val="1"/>
      <w:numFmt w:val="bullet"/>
      <w:lvlText w:val=""/>
      <w:lvlJc w:val="left"/>
      <w:pPr>
        <w:ind w:left="960" w:hanging="480"/>
      </w:pPr>
      <w:rPr>
        <w:rFonts w:hint="default" w:ascii="Wingdings" w:hAnsi="Wingdings"/>
      </w:rPr>
    </w:lvl>
    <w:lvl w:ilvl="2" w:tentative="0">
      <w:start w:val="1"/>
      <w:numFmt w:val="bullet"/>
      <w:lvlText w:val=""/>
      <w:lvlJc w:val="left"/>
      <w:pPr>
        <w:ind w:left="1440" w:hanging="480"/>
      </w:pPr>
      <w:rPr>
        <w:rFonts w:hint="default" w:ascii="Wingdings" w:hAnsi="Wingdings"/>
      </w:rPr>
    </w:lvl>
    <w:lvl w:ilvl="3" w:tentative="0">
      <w:start w:val="1"/>
      <w:numFmt w:val="bullet"/>
      <w:lvlText w:val=""/>
      <w:lvlJc w:val="left"/>
      <w:pPr>
        <w:ind w:left="1920" w:hanging="480"/>
      </w:pPr>
      <w:rPr>
        <w:rFonts w:hint="default" w:ascii="Wingdings" w:hAnsi="Wingdings"/>
      </w:rPr>
    </w:lvl>
    <w:lvl w:ilvl="4" w:tentative="0">
      <w:start w:val="1"/>
      <w:numFmt w:val="bullet"/>
      <w:lvlText w:val=""/>
      <w:lvlJc w:val="left"/>
      <w:pPr>
        <w:ind w:left="2400" w:hanging="480"/>
      </w:pPr>
      <w:rPr>
        <w:rFonts w:hint="default" w:ascii="Wingdings" w:hAnsi="Wingdings"/>
      </w:rPr>
    </w:lvl>
    <w:lvl w:ilvl="5" w:tentative="0">
      <w:start w:val="1"/>
      <w:numFmt w:val="bullet"/>
      <w:lvlText w:val=""/>
      <w:lvlJc w:val="left"/>
      <w:pPr>
        <w:ind w:left="2880" w:hanging="480"/>
      </w:pPr>
      <w:rPr>
        <w:rFonts w:hint="default" w:ascii="Wingdings" w:hAnsi="Wingdings"/>
      </w:rPr>
    </w:lvl>
    <w:lvl w:ilvl="6" w:tentative="0">
      <w:start w:val="1"/>
      <w:numFmt w:val="bullet"/>
      <w:lvlText w:val=""/>
      <w:lvlJc w:val="left"/>
      <w:pPr>
        <w:ind w:left="3360" w:hanging="480"/>
      </w:pPr>
      <w:rPr>
        <w:rFonts w:hint="default" w:ascii="Wingdings" w:hAnsi="Wingdings"/>
      </w:rPr>
    </w:lvl>
    <w:lvl w:ilvl="7" w:tentative="0">
      <w:start w:val="1"/>
      <w:numFmt w:val="bullet"/>
      <w:lvlText w:val=""/>
      <w:lvlJc w:val="left"/>
      <w:pPr>
        <w:ind w:left="3840" w:hanging="480"/>
      </w:pPr>
      <w:rPr>
        <w:rFonts w:hint="default" w:ascii="Wingdings" w:hAnsi="Wingdings"/>
      </w:rPr>
    </w:lvl>
    <w:lvl w:ilvl="8" w:tentative="0">
      <w:start w:val="1"/>
      <w:numFmt w:val="bullet"/>
      <w:lvlText w:val=""/>
      <w:lvlJc w:val="left"/>
      <w:pPr>
        <w:ind w:left="4320" w:hanging="480"/>
      </w:pPr>
      <w:rPr>
        <w:rFonts w:hint="default" w:ascii="Wingdings" w:hAnsi="Wingdings"/>
      </w:rPr>
    </w:lvl>
  </w:abstractNum>
  <w:num w:numId="1">
    <w:abstractNumId w:val="2"/>
  </w:num>
  <w:num w:numId="2">
    <w:abstractNumId w:val="0"/>
  </w:num>
  <w:num w:numId="3">
    <w:abstractNumId w:val="3"/>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bordersDoNotSurroundHeader w:val="0"/>
  <w:bordersDoNotSurroundFooter w:val="0"/>
  <w:documentProtection w:enforcement="0"/>
  <w:defaultTabStop w:val="480"/>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OTVmODUwMDljY2ZkMzY3ODQ0YTVmMTE2MjZiYTg0NmEifQ=="/>
  </w:docVars>
  <w:rsids>
    <w:rsidRoot w:val="006A22DD"/>
    <w:rsid w:val="000001A2"/>
    <w:rsid w:val="00000937"/>
    <w:rsid w:val="00000F4D"/>
    <w:rsid w:val="000039C1"/>
    <w:rsid w:val="0001071C"/>
    <w:rsid w:val="00011B93"/>
    <w:rsid w:val="000126A4"/>
    <w:rsid w:val="000222EA"/>
    <w:rsid w:val="00022E9D"/>
    <w:rsid w:val="00022F2B"/>
    <w:rsid w:val="00023CE0"/>
    <w:rsid w:val="00027180"/>
    <w:rsid w:val="0003012A"/>
    <w:rsid w:val="00033A4A"/>
    <w:rsid w:val="000367B3"/>
    <w:rsid w:val="00036D12"/>
    <w:rsid w:val="00040A8C"/>
    <w:rsid w:val="0004133E"/>
    <w:rsid w:val="00046FE1"/>
    <w:rsid w:val="000506EF"/>
    <w:rsid w:val="000508EF"/>
    <w:rsid w:val="00053AE9"/>
    <w:rsid w:val="000566D1"/>
    <w:rsid w:val="00060225"/>
    <w:rsid w:val="00067090"/>
    <w:rsid w:val="00076495"/>
    <w:rsid w:val="00077C85"/>
    <w:rsid w:val="00077E8C"/>
    <w:rsid w:val="0008510D"/>
    <w:rsid w:val="000874A3"/>
    <w:rsid w:val="00087A20"/>
    <w:rsid w:val="00093078"/>
    <w:rsid w:val="00093383"/>
    <w:rsid w:val="0009527D"/>
    <w:rsid w:val="00097F15"/>
    <w:rsid w:val="000A1F29"/>
    <w:rsid w:val="000A4AD8"/>
    <w:rsid w:val="000A5D11"/>
    <w:rsid w:val="000A618A"/>
    <w:rsid w:val="000A7FF4"/>
    <w:rsid w:val="000B003A"/>
    <w:rsid w:val="000B2F9E"/>
    <w:rsid w:val="000B5EA5"/>
    <w:rsid w:val="000B67DC"/>
    <w:rsid w:val="000C2A9D"/>
    <w:rsid w:val="000C2E8A"/>
    <w:rsid w:val="000C7BDC"/>
    <w:rsid w:val="000D0AC6"/>
    <w:rsid w:val="000D1453"/>
    <w:rsid w:val="000D3AE3"/>
    <w:rsid w:val="000D4770"/>
    <w:rsid w:val="000D58D0"/>
    <w:rsid w:val="000E0D55"/>
    <w:rsid w:val="000E13B0"/>
    <w:rsid w:val="000E23E8"/>
    <w:rsid w:val="000E5CEA"/>
    <w:rsid w:val="000F088B"/>
    <w:rsid w:val="000F0C7B"/>
    <w:rsid w:val="000F48DC"/>
    <w:rsid w:val="000F564C"/>
    <w:rsid w:val="00101088"/>
    <w:rsid w:val="0010123E"/>
    <w:rsid w:val="00101811"/>
    <w:rsid w:val="001036BD"/>
    <w:rsid w:val="00106411"/>
    <w:rsid w:val="00106A3E"/>
    <w:rsid w:val="00110115"/>
    <w:rsid w:val="00113F17"/>
    <w:rsid w:val="0012235E"/>
    <w:rsid w:val="00122EC3"/>
    <w:rsid w:val="00124201"/>
    <w:rsid w:val="001245ED"/>
    <w:rsid w:val="00127A4D"/>
    <w:rsid w:val="001303AC"/>
    <w:rsid w:val="0013091E"/>
    <w:rsid w:val="00130D5E"/>
    <w:rsid w:val="00131B42"/>
    <w:rsid w:val="001329F4"/>
    <w:rsid w:val="001339DF"/>
    <w:rsid w:val="00134727"/>
    <w:rsid w:val="001348C1"/>
    <w:rsid w:val="00135C56"/>
    <w:rsid w:val="001367BC"/>
    <w:rsid w:val="00136826"/>
    <w:rsid w:val="00150921"/>
    <w:rsid w:val="001521FB"/>
    <w:rsid w:val="00153164"/>
    <w:rsid w:val="00154EEB"/>
    <w:rsid w:val="001575A8"/>
    <w:rsid w:val="00160A1B"/>
    <w:rsid w:val="00160F60"/>
    <w:rsid w:val="001677CD"/>
    <w:rsid w:val="00167A2D"/>
    <w:rsid w:val="00170667"/>
    <w:rsid w:val="0017087B"/>
    <w:rsid w:val="00172D88"/>
    <w:rsid w:val="0017458B"/>
    <w:rsid w:val="001829E7"/>
    <w:rsid w:val="00185AEA"/>
    <w:rsid w:val="00185DA5"/>
    <w:rsid w:val="00186870"/>
    <w:rsid w:val="00186DA9"/>
    <w:rsid w:val="0018776A"/>
    <w:rsid w:val="00187AFD"/>
    <w:rsid w:val="00195B19"/>
    <w:rsid w:val="00195F7E"/>
    <w:rsid w:val="001A06B3"/>
    <w:rsid w:val="001A0ABE"/>
    <w:rsid w:val="001A0FEA"/>
    <w:rsid w:val="001A1C5C"/>
    <w:rsid w:val="001A36CC"/>
    <w:rsid w:val="001A38A8"/>
    <w:rsid w:val="001A60AB"/>
    <w:rsid w:val="001A6625"/>
    <w:rsid w:val="001A7200"/>
    <w:rsid w:val="001A78C8"/>
    <w:rsid w:val="001A7D8C"/>
    <w:rsid w:val="001B415E"/>
    <w:rsid w:val="001B4409"/>
    <w:rsid w:val="001B75BE"/>
    <w:rsid w:val="001C4FEA"/>
    <w:rsid w:val="001D2B97"/>
    <w:rsid w:val="001D3FBD"/>
    <w:rsid w:val="001D7102"/>
    <w:rsid w:val="001D78FD"/>
    <w:rsid w:val="001E00F4"/>
    <w:rsid w:val="001E0B21"/>
    <w:rsid w:val="001E39D3"/>
    <w:rsid w:val="001E4240"/>
    <w:rsid w:val="001F0AD1"/>
    <w:rsid w:val="001F13E7"/>
    <w:rsid w:val="001F19A1"/>
    <w:rsid w:val="001F53A2"/>
    <w:rsid w:val="001F6895"/>
    <w:rsid w:val="001F6E42"/>
    <w:rsid w:val="001F6F61"/>
    <w:rsid w:val="001F79EF"/>
    <w:rsid w:val="00200C19"/>
    <w:rsid w:val="00202698"/>
    <w:rsid w:val="0020284B"/>
    <w:rsid w:val="002061DC"/>
    <w:rsid w:val="00210107"/>
    <w:rsid w:val="00210F2A"/>
    <w:rsid w:val="00210F7A"/>
    <w:rsid w:val="00211DF9"/>
    <w:rsid w:val="0021272F"/>
    <w:rsid w:val="00214174"/>
    <w:rsid w:val="002147F4"/>
    <w:rsid w:val="00214D57"/>
    <w:rsid w:val="00217E88"/>
    <w:rsid w:val="00221C05"/>
    <w:rsid w:val="00222493"/>
    <w:rsid w:val="00226BA9"/>
    <w:rsid w:val="002300A0"/>
    <w:rsid w:val="00231470"/>
    <w:rsid w:val="00236514"/>
    <w:rsid w:val="00236865"/>
    <w:rsid w:val="00240FE9"/>
    <w:rsid w:val="00241AA3"/>
    <w:rsid w:val="00245342"/>
    <w:rsid w:val="00245E64"/>
    <w:rsid w:val="0025043E"/>
    <w:rsid w:val="002512A1"/>
    <w:rsid w:val="0025229B"/>
    <w:rsid w:val="00253F74"/>
    <w:rsid w:val="002544C0"/>
    <w:rsid w:val="00257038"/>
    <w:rsid w:val="00263604"/>
    <w:rsid w:val="002651AD"/>
    <w:rsid w:val="002666BC"/>
    <w:rsid w:val="002709C2"/>
    <w:rsid w:val="002726AE"/>
    <w:rsid w:val="00272BF4"/>
    <w:rsid w:val="0027496B"/>
    <w:rsid w:val="002841BA"/>
    <w:rsid w:val="00285DF9"/>
    <w:rsid w:val="002862F2"/>
    <w:rsid w:val="00291169"/>
    <w:rsid w:val="002946F3"/>
    <w:rsid w:val="0029534D"/>
    <w:rsid w:val="00295FD8"/>
    <w:rsid w:val="00296228"/>
    <w:rsid w:val="00297901"/>
    <w:rsid w:val="00297E30"/>
    <w:rsid w:val="002A163C"/>
    <w:rsid w:val="002A2941"/>
    <w:rsid w:val="002A4A96"/>
    <w:rsid w:val="002A527A"/>
    <w:rsid w:val="002A7A87"/>
    <w:rsid w:val="002B2E48"/>
    <w:rsid w:val="002B2F2E"/>
    <w:rsid w:val="002B304B"/>
    <w:rsid w:val="002B3367"/>
    <w:rsid w:val="002B543E"/>
    <w:rsid w:val="002B6FA4"/>
    <w:rsid w:val="002B7C2E"/>
    <w:rsid w:val="002C0002"/>
    <w:rsid w:val="002C1598"/>
    <w:rsid w:val="002C1C52"/>
    <w:rsid w:val="002C25E5"/>
    <w:rsid w:val="002C677A"/>
    <w:rsid w:val="002C6B41"/>
    <w:rsid w:val="002D050A"/>
    <w:rsid w:val="002D142D"/>
    <w:rsid w:val="002D2E97"/>
    <w:rsid w:val="002D3397"/>
    <w:rsid w:val="002D396C"/>
    <w:rsid w:val="002D4C48"/>
    <w:rsid w:val="002E0143"/>
    <w:rsid w:val="002E04FB"/>
    <w:rsid w:val="002E0F0E"/>
    <w:rsid w:val="002E18EC"/>
    <w:rsid w:val="002F34E3"/>
    <w:rsid w:val="002F5022"/>
    <w:rsid w:val="002F5577"/>
    <w:rsid w:val="002F587A"/>
    <w:rsid w:val="00302969"/>
    <w:rsid w:val="00303ADF"/>
    <w:rsid w:val="003061F8"/>
    <w:rsid w:val="0030687E"/>
    <w:rsid w:val="003077D8"/>
    <w:rsid w:val="00307E54"/>
    <w:rsid w:val="00310048"/>
    <w:rsid w:val="00311A24"/>
    <w:rsid w:val="00316769"/>
    <w:rsid w:val="00316934"/>
    <w:rsid w:val="00320058"/>
    <w:rsid w:val="00321CB6"/>
    <w:rsid w:val="00322F66"/>
    <w:rsid w:val="00325448"/>
    <w:rsid w:val="00327A03"/>
    <w:rsid w:val="00330314"/>
    <w:rsid w:val="00330522"/>
    <w:rsid w:val="00330715"/>
    <w:rsid w:val="00330ED1"/>
    <w:rsid w:val="00334084"/>
    <w:rsid w:val="00336169"/>
    <w:rsid w:val="003372D3"/>
    <w:rsid w:val="0034046C"/>
    <w:rsid w:val="00341968"/>
    <w:rsid w:val="00343036"/>
    <w:rsid w:val="0034533C"/>
    <w:rsid w:val="00350749"/>
    <w:rsid w:val="00350F2C"/>
    <w:rsid w:val="00352E96"/>
    <w:rsid w:val="003538C1"/>
    <w:rsid w:val="003543CE"/>
    <w:rsid w:val="00354AC6"/>
    <w:rsid w:val="003560E3"/>
    <w:rsid w:val="00356230"/>
    <w:rsid w:val="003601F8"/>
    <w:rsid w:val="00360D41"/>
    <w:rsid w:val="003618EB"/>
    <w:rsid w:val="00362EC6"/>
    <w:rsid w:val="00367A41"/>
    <w:rsid w:val="0037340D"/>
    <w:rsid w:val="00374128"/>
    <w:rsid w:val="0037498D"/>
    <w:rsid w:val="00375108"/>
    <w:rsid w:val="003754F4"/>
    <w:rsid w:val="00376657"/>
    <w:rsid w:val="00381110"/>
    <w:rsid w:val="00381137"/>
    <w:rsid w:val="00381F93"/>
    <w:rsid w:val="00382AE4"/>
    <w:rsid w:val="00384A49"/>
    <w:rsid w:val="00384B99"/>
    <w:rsid w:val="00385265"/>
    <w:rsid w:val="003913F5"/>
    <w:rsid w:val="00392402"/>
    <w:rsid w:val="0039505F"/>
    <w:rsid w:val="00395148"/>
    <w:rsid w:val="003955E1"/>
    <w:rsid w:val="00397BC9"/>
    <w:rsid w:val="003A0D61"/>
    <w:rsid w:val="003A3034"/>
    <w:rsid w:val="003A5957"/>
    <w:rsid w:val="003B0911"/>
    <w:rsid w:val="003B0EA0"/>
    <w:rsid w:val="003B3525"/>
    <w:rsid w:val="003B55C9"/>
    <w:rsid w:val="003B6BBA"/>
    <w:rsid w:val="003B731B"/>
    <w:rsid w:val="003B75F1"/>
    <w:rsid w:val="003B7939"/>
    <w:rsid w:val="003C09D0"/>
    <w:rsid w:val="003C1999"/>
    <w:rsid w:val="003C448B"/>
    <w:rsid w:val="003C4D56"/>
    <w:rsid w:val="003C52B6"/>
    <w:rsid w:val="003D29D8"/>
    <w:rsid w:val="003D4AF0"/>
    <w:rsid w:val="003D66E8"/>
    <w:rsid w:val="003E1E7F"/>
    <w:rsid w:val="003E26CF"/>
    <w:rsid w:val="003E38EF"/>
    <w:rsid w:val="003E632E"/>
    <w:rsid w:val="003E68D7"/>
    <w:rsid w:val="003E6A43"/>
    <w:rsid w:val="003E747B"/>
    <w:rsid w:val="003E7E28"/>
    <w:rsid w:val="003F3496"/>
    <w:rsid w:val="003F3C05"/>
    <w:rsid w:val="003F3FF3"/>
    <w:rsid w:val="003F56CA"/>
    <w:rsid w:val="0040014B"/>
    <w:rsid w:val="004007C2"/>
    <w:rsid w:val="004008BA"/>
    <w:rsid w:val="00401B2B"/>
    <w:rsid w:val="00401E03"/>
    <w:rsid w:val="0040308C"/>
    <w:rsid w:val="00403808"/>
    <w:rsid w:val="0040635E"/>
    <w:rsid w:val="00412F2C"/>
    <w:rsid w:val="004137AB"/>
    <w:rsid w:val="00414AFF"/>
    <w:rsid w:val="00414DD5"/>
    <w:rsid w:val="004161BE"/>
    <w:rsid w:val="004202EC"/>
    <w:rsid w:val="004204EA"/>
    <w:rsid w:val="0042081D"/>
    <w:rsid w:val="0042309E"/>
    <w:rsid w:val="00424377"/>
    <w:rsid w:val="00427AEC"/>
    <w:rsid w:val="004375D8"/>
    <w:rsid w:val="00437B31"/>
    <w:rsid w:val="00441704"/>
    <w:rsid w:val="0044292C"/>
    <w:rsid w:val="004526C5"/>
    <w:rsid w:val="0045333E"/>
    <w:rsid w:val="00456D8A"/>
    <w:rsid w:val="004607AD"/>
    <w:rsid w:val="00461097"/>
    <w:rsid w:val="00464C0C"/>
    <w:rsid w:val="00466F19"/>
    <w:rsid w:val="00472330"/>
    <w:rsid w:val="004736CF"/>
    <w:rsid w:val="0047568E"/>
    <w:rsid w:val="00475D09"/>
    <w:rsid w:val="00475ECA"/>
    <w:rsid w:val="004760FF"/>
    <w:rsid w:val="00477073"/>
    <w:rsid w:val="0048040E"/>
    <w:rsid w:val="00491910"/>
    <w:rsid w:val="00493DBD"/>
    <w:rsid w:val="004A3AA8"/>
    <w:rsid w:val="004A4378"/>
    <w:rsid w:val="004A5586"/>
    <w:rsid w:val="004A617C"/>
    <w:rsid w:val="004A66CD"/>
    <w:rsid w:val="004A69E1"/>
    <w:rsid w:val="004A727D"/>
    <w:rsid w:val="004B24C8"/>
    <w:rsid w:val="004B2C24"/>
    <w:rsid w:val="004B3A96"/>
    <w:rsid w:val="004B595C"/>
    <w:rsid w:val="004C205A"/>
    <w:rsid w:val="004D2A31"/>
    <w:rsid w:val="004D56D3"/>
    <w:rsid w:val="004D74FE"/>
    <w:rsid w:val="004E20EF"/>
    <w:rsid w:val="004E2117"/>
    <w:rsid w:val="004E2DD9"/>
    <w:rsid w:val="004E3843"/>
    <w:rsid w:val="004E5048"/>
    <w:rsid w:val="004E706E"/>
    <w:rsid w:val="004E7FA5"/>
    <w:rsid w:val="004F30A3"/>
    <w:rsid w:val="004F4429"/>
    <w:rsid w:val="004F5466"/>
    <w:rsid w:val="00504100"/>
    <w:rsid w:val="00504315"/>
    <w:rsid w:val="0050783F"/>
    <w:rsid w:val="005103FE"/>
    <w:rsid w:val="0051524E"/>
    <w:rsid w:val="00516506"/>
    <w:rsid w:val="0052030D"/>
    <w:rsid w:val="005206CF"/>
    <w:rsid w:val="00526674"/>
    <w:rsid w:val="00526F25"/>
    <w:rsid w:val="005275C2"/>
    <w:rsid w:val="00527D64"/>
    <w:rsid w:val="0053038D"/>
    <w:rsid w:val="00530513"/>
    <w:rsid w:val="005308A5"/>
    <w:rsid w:val="00530DCD"/>
    <w:rsid w:val="00531080"/>
    <w:rsid w:val="00532E50"/>
    <w:rsid w:val="005343FC"/>
    <w:rsid w:val="00535438"/>
    <w:rsid w:val="00536B39"/>
    <w:rsid w:val="00540595"/>
    <w:rsid w:val="00542AF6"/>
    <w:rsid w:val="005433B6"/>
    <w:rsid w:val="00544220"/>
    <w:rsid w:val="005444EB"/>
    <w:rsid w:val="00547883"/>
    <w:rsid w:val="00554221"/>
    <w:rsid w:val="00555390"/>
    <w:rsid w:val="00555AB5"/>
    <w:rsid w:val="00564A29"/>
    <w:rsid w:val="00564D1E"/>
    <w:rsid w:val="00564FEC"/>
    <w:rsid w:val="00565684"/>
    <w:rsid w:val="00566693"/>
    <w:rsid w:val="0057313F"/>
    <w:rsid w:val="0057468B"/>
    <w:rsid w:val="0057547A"/>
    <w:rsid w:val="0057604F"/>
    <w:rsid w:val="00582882"/>
    <w:rsid w:val="00584065"/>
    <w:rsid w:val="00585FD6"/>
    <w:rsid w:val="005871C0"/>
    <w:rsid w:val="00587928"/>
    <w:rsid w:val="005903FA"/>
    <w:rsid w:val="00591105"/>
    <w:rsid w:val="00592A26"/>
    <w:rsid w:val="00593DD3"/>
    <w:rsid w:val="005A3E9C"/>
    <w:rsid w:val="005A6952"/>
    <w:rsid w:val="005A6E6B"/>
    <w:rsid w:val="005B137A"/>
    <w:rsid w:val="005B2513"/>
    <w:rsid w:val="005B54D7"/>
    <w:rsid w:val="005B63D6"/>
    <w:rsid w:val="005B74C4"/>
    <w:rsid w:val="005B7DD7"/>
    <w:rsid w:val="005C088E"/>
    <w:rsid w:val="005C1C12"/>
    <w:rsid w:val="005C2249"/>
    <w:rsid w:val="005C353F"/>
    <w:rsid w:val="005C361F"/>
    <w:rsid w:val="005C44EA"/>
    <w:rsid w:val="005C4722"/>
    <w:rsid w:val="005C4F18"/>
    <w:rsid w:val="005C68F3"/>
    <w:rsid w:val="005C6E76"/>
    <w:rsid w:val="005D13BE"/>
    <w:rsid w:val="005D3AC2"/>
    <w:rsid w:val="005D5038"/>
    <w:rsid w:val="005D66B1"/>
    <w:rsid w:val="005E1066"/>
    <w:rsid w:val="005E2619"/>
    <w:rsid w:val="005E46FE"/>
    <w:rsid w:val="005E5C33"/>
    <w:rsid w:val="005F1B26"/>
    <w:rsid w:val="005F320D"/>
    <w:rsid w:val="005F32CC"/>
    <w:rsid w:val="005F6413"/>
    <w:rsid w:val="005F6CDB"/>
    <w:rsid w:val="00601086"/>
    <w:rsid w:val="0060159F"/>
    <w:rsid w:val="00602017"/>
    <w:rsid w:val="0060241E"/>
    <w:rsid w:val="00602D31"/>
    <w:rsid w:val="00604331"/>
    <w:rsid w:val="00606674"/>
    <w:rsid w:val="006079EE"/>
    <w:rsid w:val="006102C4"/>
    <w:rsid w:val="00610AFC"/>
    <w:rsid w:val="0061167B"/>
    <w:rsid w:val="00613298"/>
    <w:rsid w:val="00615BD1"/>
    <w:rsid w:val="006160AC"/>
    <w:rsid w:val="00616E83"/>
    <w:rsid w:val="006173C2"/>
    <w:rsid w:val="00617415"/>
    <w:rsid w:val="00620AE7"/>
    <w:rsid w:val="00620BD6"/>
    <w:rsid w:val="0062300F"/>
    <w:rsid w:val="0062582E"/>
    <w:rsid w:val="0062738E"/>
    <w:rsid w:val="006277C7"/>
    <w:rsid w:val="00627CE3"/>
    <w:rsid w:val="006303BC"/>
    <w:rsid w:val="006336BD"/>
    <w:rsid w:val="00634337"/>
    <w:rsid w:val="00634653"/>
    <w:rsid w:val="00635F01"/>
    <w:rsid w:val="0063619B"/>
    <w:rsid w:val="00636808"/>
    <w:rsid w:val="00643754"/>
    <w:rsid w:val="00644CB9"/>
    <w:rsid w:val="00646686"/>
    <w:rsid w:val="006466DC"/>
    <w:rsid w:val="00650939"/>
    <w:rsid w:val="00652913"/>
    <w:rsid w:val="006608C4"/>
    <w:rsid w:val="006612A9"/>
    <w:rsid w:val="00661AA8"/>
    <w:rsid w:val="00662A33"/>
    <w:rsid w:val="00664261"/>
    <w:rsid w:val="00667C16"/>
    <w:rsid w:val="00670C15"/>
    <w:rsid w:val="0067737E"/>
    <w:rsid w:val="00677A48"/>
    <w:rsid w:val="006800FA"/>
    <w:rsid w:val="00681AB2"/>
    <w:rsid w:val="00681E08"/>
    <w:rsid w:val="00684FE5"/>
    <w:rsid w:val="00686877"/>
    <w:rsid w:val="00686A26"/>
    <w:rsid w:val="00687127"/>
    <w:rsid w:val="00687733"/>
    <w:rsid w:val="00691EFA"/>
    <w:rsid w:val="00693BC7"/>
    <w:rsid w:val="00696B32"/>
    <w:rsid w:val="006A0862"/>
    <w:rsid w:val="006A1814"/>
    <w:rsid w:val="006A22DD"/>
    <w:rsid w:val="006A701B"/>
    <w:rsid w:val="006A7559"/>
    <w:rsid w:val="006A7F86"/>
    <w:rsid w:val="006A7F87"/>
    <w:rsid w:val="006B1DEC"/>
    <w:rsid w:val="006B311E"/>
    <w:rsid w:val="006B427B"/>
    <w:rsid w:val="006B43F3"/>
    <w:rsid w:val="006B485E"/>
    <w:rsid w:val="006B656B"/>
    <w:rsid w:val="006C7F01"/>
    <w:rsid w:val="006D2B36"/>
    <w:rsid w:val="006D6368"/>
    <w:rsid w:val="006D67FB"/>
    <w:rsid w:val="006E1CF5"/>
    <w:rsid w:val="006E285F"/>
    <w:rsid w:val="006E57A8"/>
    <w:rsid w:val="006E6165"/>
    <w:rsid w:val="006F14F8"/>
    <w:rsid w:val="006F285A"/>
    <w:rsid w:val="006F660F"/>
    <w:rsid w:val="006F7210"/>
    <w:rsid w:val="007012FA"/>
    <w:rsid w:val="00701BDA"/>
    <w:rsid w:val="00701ED7"/>
    <w:rsid w:val="00704C90"/>
    <w:rsid w:val="00706958"/>
    <w:rsid w:val="00713D85"/>
    <w:rsid w:val="00714276"/>
    <w:rsid w:val="00715E48"/>
    <w:rsid w:val="007177B2"/>
    <w:rsid w:val="00717A4C"/>
    <w:rsid w:val="00720371"/>
    <w:rsid w:val="00720B6E"/>
    <w:rsid w:val="007228AC"/>
    <w:rsid w:val="00722D0F"/>
    <w:rsid w:val="00722F1D"/>
    <w:rsid w:val="007240A1"/>
    <w:rsid w:val="00724E5B"/>
    <w:rsid w:val="00724E78"/>
    <w:rsid w:val="00725755"/>
    <w:rsid w:val="007261B9"/>
    <w:rsid w:val="007273EE"/>
    <w:rsid w:val="0073470D"/>
    <w:rsid w:val="00735B8D"/>
    <w:rsid w:val="00735CAA"/>
    <w:rsid w:val="00737484"/>
    <w:rsid w:val="00740D88"/>
    <w:rsid w:val="00743CC0"/>
    <w:rsid w:val="007447F3"/>
    <w:rsid w:val="00744EDE"/>
    <w:rsid w:val="00745BD4"/>
    <w:rsid w:val="00750431"/>
    <w:rsid w:val="00751AA3"/>
    <w:rsid w:val="00751FE0"/>
    <w:rsid w:val="00754E32"/>
    <w:rsid w:val="00761EDE"/>
    <w:rsid w:val="00765175"/>
    <w:rsid w:val="0076651B"/>
    <w:rsid w:val="00767173"/>
    <w:rsid w:val="00767840"/>
    <w:rsid w:val="00767D6C"/>
    <w:rsid w:val="0077592A"/>
    <w:rsid w:val="007778D5"/>
    <w:rsid w:val="00780543"/>
    <w:rsid w:val="0078102A"/>
    <w:rsid w:val="007832DB"/>
    <w:rsid w:val="00786B5D"/>
    <w:rsid w:val="00786C33"/>
    <w:rsid w:val="00786FB1"/>
    <w:rsid w:val="007907F6"/>
    <w:rsid w:val="00794633"/>
    <w:rsid w:val="0079566C"/>
    <w:rsid w:val="007A1AD0"/>
    <w:rsid w:val="007A1D9E"/>
    <w:rsid w:val="007A3ABF"/>
    <w:rsid w:val="007A4F85"/>
    <w:rsid w:val="007A506B"/>
    <w:rsid w:val="007A5F24"/>
    <w:rsid w:val="007A6066"/>
    <w:rsid w:val="007A68AC"/>
    <w:rsid w:val="007B0ADD"/>
    <w:rsid w:val="007B0F6E"/>
    <w:rsid w:val="007B483F"/>
    <w:rsid w:val="007B5AA3"/>
    <w:rsid w:val="007B5C8C"/>
    <w:rsid w:val="007B62A2"/>
    <w:rsid w:val="007C0EF6"/>
    <w:rsid w:val="007C1C6B"/>
    <w:rsid w:val="007C3364"/>
    <w:rsid w:val="007C384B"/>
    <w:rsid w:val="007C69D7"/>
    <w:rsid w:val="007D1E69"/>
    <w:rsid w:val="007D2008"/>
    <w:rsid w:val="007D21D3"/>
    <w:rsid w:val="007D31C9"/>
    <w:rsid w:val="007D335D"/>
    <w:rsid w:val="007D6BBD"/>
    <w:rsid w:val="007E03F8"/>
    <w:rsid w:val="007E23ED"/>
    <w:rsid w:val="007E3B2C"/>
    <w:rsid w:val="007E5908"/>
    <w:rsid w:val="007E613F"/>
    <w:rsid w:val="007F0B1E"/>
    <w:rsid w:val="007F3287"/>
    <w:rsid w:val="007F3E3B"/>
    <w:rsid w:val="007F464B"/>
    <w:rsid w:val="007F5B3A"/>
    <w:rsid w:val="007F7A03"/>
    <w:rsid w:val="007F7ED1"/>
    <w:rsid w:val="00802176"/>
    <w:rsid w:val="00804280"/>
    <w:rsid w:val="008052D6"/>
    <w:rsid w:val="0080563B"/>
    <w:rsid w:val="008062E9"/>
    <w:rsid w:val="00807473"/>
    <w:rsid w:val="008116E8"/>
    <w:rsid w:val="008146B3"/>
    <w:rsid w:val="00814BF0"/>
    <w:rsid w:val="00816D80"/>
    <w:rsid w:val="0082224C"/>
    <w:rsid w:val="008233CD"/>
    <w:rsid w:val="00823472"/>
    <w:rsid w:val="00823785"/>
    <w:rsid w:val="00826CDE"/>
    <w:rsid w:val="00826E51"/>
    <w:rsid w:val="008304A6"/>
    <w:rsid w:val="00830EE8"/>
    <w:rsid w:val="00831725"/>
    <w:rsid w:val="00831904"/>
    <w:rsid w:val="00832A8A"/>
    <w:rsid w:val="00832C9D"/>
    <w:rsid w:val="00834E60"/>
    <w:rsid w:val="00845B30"/>
    <w:rsid w:val="008504CF"/>
    <w:rsid w:val="00850897"/>
    <w:rsid w:val="00854D58"/>
    <w:rsid w:val="0085795D"/>
    <w:rsid w:val="00857A3F"/>
    <w:rsid w:val="00860C3D"/>
    <w:rsid w:val="00860E82"/>
    <w:rsid w:val="0086400D"/>
    <w:rsid w:val="008651C5"/>
    <w:rsid w:val="00866F6F"/>
    <w:rsid w:val="0087013F"/>
    <w:rsid w:val="00872F10"/>
    <w:rsid w:val="00873A30"/>
    <w:rsid w:val="00873BC5"/>
    <w:rsid w:val="0087426C"/>
    <w:rsid w:val="00876EFA"/>
    <w:rsid w:val="00881B8A"/>
    <w:rsid w:val="00890AAF"/>
    <w:rsid w:val="0089107C"/>
    <w:rsid w:val="0089241A"/>
    <w:rsid w:val="00892C46"/>
    <w:rsid w:val="00896D06"/>
    <w:rsid w:val="008A096A"/>
    <w:rsid w:val="008A0E7D"/>
    <w:rsid w:val="008A2CA7"/>
    <w:rsid w:val="008A3E83"/>
    <w:rsid w:val="008A6049"/>
    <w:rsid w:val="008A651D"/>
    <w:rsid w:val="008A7C02"/>
    <w:rsid w:val="008B3C4B"/>
    <w:rsid w:val="008B3F94"/>
    <w:rsid w:val="008B5F21"/>
    <w:rsid w:val="008B659D"/>
    <w:rsid w:val="008C435A"/>
    <w:rsid w:val="008C524D"/>
    <w:rsid w:val="008C6176"/>
    <w:rsid w:val="008C74AA"/>
    <w:rsid w:val="008D374D"/>
    <w:rsid w:val="008D516A"/>
    <w:rsid w:val="008D52D6"/>
    <w:rsid w:val="008D55F4"/>
    <w:rsid w:val="008D6A83"/>
    <w:rsid w:val="008D749C"/>
    <w:rsid w:val="008E261A"/>
    <w:rsid w:val="008E3FC3"/>
    <w:rsid w:val="008E7BEA"/>
    <w:rsid w:val="008F2F3F"/>
    <w:rsid w:val="008F6C37"/>
    <w:rsid w:val="008F72A5"/>
    <w:rsid w:val="00900D48"/>
    <w:rsid w:val="009048DC"/>
    <w:rsid w:val="009107C8"/>
    <w:rsid w:val="00913451"/>
    <w:rsid w:val="009151E8"/>
    <w:rsid w:val="00915A3A"/>
    <w:rsid w:val="009170A1"/>
    <w:rsid w:val="00922AF9"/>
    <w:rsid w:val="009241BB"/>
    <w:rsid w:val="009249FF"/>
    <w:rsid w:val="00931A7D"/>
    <w:rsid w:val="00936871"/>
    <w:rsid w:val="0093781A"/>
    <w:rsid w:val="00937A0A"/>
    <w:rsid w:val="00944084"/>
    <w:rsid w:val="00944FCB"/>
    <w:rsid w:val="00945607"/>
    <w:rsid w:val="00945E71"/>
    <w:rsid w:val="0094622A"/>
    <w:rsid w:val="009473BD"/>
    <w:rsid w:val="00947B9A"/>
    <w:rsid w:val="0095044F"/>
    <w:rsid w:val="009505EF"/>
    <w:rsid w:val="0095219D"/>
    <w:rsid w:val="00952355"/>
    <w:rsid w:val="00952709"/>
    <w:rsid w:val="009552E9"/>
    <w:rsid w:val="00962727"/>
    <w:rsid w:val="009667AD"/>
    <w:rsid w:val="00976248"/>
    <w:rsid w:val="00976ABA"/>
    <w:rsid w:val="009772B8"/>
    <w:rsid w:val="00977729"/>
    <w:rsid w:val="00977C09"/>
    <w:rsid w:val="009854D7"/>
    <w:rsid w:val="009875E4"/>
    <w:rsid w:val="00991827"/>
    <w:rsid w:val="00993214"/>
    <w:rsid w:val="00994E42"/>
    <w:rsid w:val="0099594F"/>
    <w:rsid w:val="009959CE"/>
    <w:rsid w:val="00996500"/>
    <w:rsid w:val="009970F0"/>
    <w:rsid w:val="00997471"/>
    <w:rsid w:val="00997B50"/>
    <w:rsid w:val="00997C87"/>
    <w:rsid w:val="009A0540"/>
    <w:rsid w:val="009A0F62"/>
    <w:rsid w:val="009A3C5D"/>
    <w:rsid w:val="009A4B7B"/>
    <w:rsid w:val="009A6ED3"/>
    <w:rsid w:val="009B1BF5"/>
    <w:rsid w:val="009B3438"/>
    <w:rsid w:val="009B3AA2"/>
    <w:rsid w:val="009B5EC8"/>
    <w:rsid w:val="009C2272"/>
    <w:rsid w:val="009C3DA6"/>
    <w:rsid w:val="009C61EC"/>
    <w:rsid w:val="009D1926"/>
    <w:rsid w:val="009D4E67"/>
    <w:rsid w:val="009D72CB"/>
    <w:rsid w:val="009E50C8"/>
    <w:rsid w:val="009E7018"/>
    <w:rsid w:val="009E7AB5"/>
    <w:rsid w:val="009F2118"/>
    <w:rsid w:val="009F256A"/>
    <w:rsid w:val="009F2648"/>
    <w:rsid w:val="009F535E"/>
    <w:rsid w:val="009F54FD"/>
    <w:rsid w:val="009F595E"/>
    <w:rsid w:val="009F6DD4"/>
    <w:rsid w:val="009F7172"/>
    <w:rsid w:val="009F7B3B"/>
    <w:rsid w:val="00A00CAC"/>
    <w:rsid w:val="00A03747"/>
    <w:rsid w:val="00A04EDD"/>
    <w:rsid w:val="00A10772"/>
    <w:rsid w:val="00A15A2D"/>
    <w:rsid w:val="00A222F6"/>
    <w:rsid w:val="00A240B9"/>
    <w:rsid w:val="00A24719"/>
    <w:rsid w:val="00A273D2"/>
    <w:rsid w:val="00A31614"/>
    <w:rsid w:val="00A325C5"/>
    <w:rsid w:val="00A34E79"/>
    <w:rsid w:val="00A37938"/>
    <w:rsid w:val="00A40042"/>
    <w:rsid w:val="00A41539"/>
    <w:rsid w:val="00A42A64"/>
    <w:rsid w:val="00A4380F"/>
    <w:rsid w:val="00A45B6C"/>
    <w:rsid w:val="00A4649F"/>
    <w:rsid w:val="00A51181"/>
    <w:rsid w:val="00A511BB"/>
    <w:rsid w:val="00A51CF8"/>
    <w:rsid w:val="00A55FEA"/>
    <w:rsid w:val="00A56F1C"/>
    <w:rsid w:val="00A62E8C"/>
    <w:rsid w:val="00A65378"/>
    <w:rsid w:val="00A65E93"/>
    <w:rsid w:val="00A736D9"/>
    <w:rsid w:val="00A75917"/>
    <w:rsid w:val="00A77E7D"/>
    <w:rsid w:val="00A8118A"/>
    <w:rsid w:val="00A83E2F"/>
    <w:rsid w:val="00A904BB"/>
    <w:rsid w:val="00A9091B"/>
    <w:rsid w:val="00A91F7A"/>
    <w:rsid w:val="00A92AD2"/>
    <w:rsid w:val="00A94B48"/>
    <w:rsid w:val="00A95591"/>
    <w:rsid w:val="00A95EBB"/>
    <w:rsid w:val="00A97735"/>
    <w:rsid w:val="00AA019D"/>
    <w:rsid w:val="00AA1245"/>
    <w:rsid w:val="00AA37D3"/>
    <w:rsid w:val="00AA58EB"/>
    <w:rsid w:val="00AA66EC"/>
    <w:rsid w:val="00AA7640"/>
    <w:rsid w:val="00AA7919"/>
    <w:rsid w:val="00AB0242"/>
    <w:rsid w:val="00AB1D0D"/>
    <w:rsid w:val="00AB2E5F"/>
    <w:rsid w:val="00AB36C6"/>
    <w:rsid w:val="00AB37B5"/>
    <w:rsid w:val="00AB5C76"/>
    <w:rsid w:val="00AB7FC3"/>
    <w:rsid w:val="00AC04B5"/>
    <w:rsid w:val="00AC0BC4"/>
    <w:rsid w:val="00AC552A"/>
    <w:rsid w:val="00AC5B18"/>
    <w:rsid w:val="00AD1D2D"/>
    <w:rsid w:val="00AD3736"/>
    <w:rsid w:val="00AD4769"/>
    <w:rsid w:val="00AD6956"/>
    <w:rsid w:val="00AD7212"/>
    <w:rsid w:val="00AD744A"/>
    <w:rsid w:val="00AD74E3"/>
    <w:rsid w:val="00AE0041"/>
    <w:rsid w:val="00AE0265"/>
    <w:rsid w:val="00AE5730"/>
    <w:rsid w:val="00AE6878"/>
    <w:rsid w:val="00AE6EB4"/>
    <w:rsid w:val="00AE6EF0"/>
    <w:rsid w:val="00AF0E56"/>
    <w:rsid w:val="00AF60A9"/>
    <w:rsid w:val="00AF68EC"/>
    <w:rsid w:val="00AF73F1"/>
    <w:rsid w:val="00AF79CD"/>
    <w:rsid w:val="00B00BD1"/>
    <w:rsid w:val="00B03EF2"/>
    <w:rsid w:val="00B04553"/>
    <w:rsid w:val="00B131B4"/>
    <w:rsid w:val="00B17C21"/>
    <w:rsid w:val="00B20319"/>
    <w:rsid w:val="00B23502"/>
    <w:rsid w:val="00B2570D"/>
    <w:rsid w:val="00B25EA3"/>
    <w:rsid w:val="00B31BB5"/>
    <w:rsid w:val="00B3403C"/>
    <w:rsid w:val="00B35795"/>
    <w:rsid w:val="00B377D3"/>
    <w:rsid w:val="00B40B88"/>
    <w:rsid w:val="00B45CD4"/>
    <w:rsid w:val="00B477B2"/>
    <w:rsid w:val="00B50005"/>
    <w:rsid w:val="00B52399"/>
    <w:rsid w:val="00B53BC8"/>
    <w:rsid w:val="00B5619E"/>
    <w:rsid w:val="00B56FBD"/>
    <w:rsid w:val="00B57F5D"/>
    <w:rsid w:val="00B61AEC"/>
    <w:rsid w:val="00B61C1F"/>
    <w:rsid w:val="00B632D8"/>
    <w:rsid w:val="00B66E6C"/>
    <w:rsid w:val="00B674BF"/>
    <w:rsid w:val="00B70377"/>
    <w:rsid w:val="00B70FE8"/>
    <w:rsid w:val="00B712D0"/>
    <w:rsid w:val="00B714F5"/>
    <w:rsid w:val="00B71518"/>
    <w:rsid w:val="00B717B4"/>
    <w:rsid w:val="00B72773"/>
    <w:rsid w:val="00B73F78"/>
    <w:rsid w:val="00B74659"/>
    <w:rsid w:val="00B77344"/>
    <w:rsid w:val="00B818D7"/>
    <w:rsid w:val="00B828FF"/>
    <w:rsid w:val="00B83516"/>
    <w:rsid w:val="00B87A16"/>
    <w:rsid w:val="00B90FC1"/>
    <w:rsid w:val="00B92F43"/>
    <w:rsid w:val="00B95C7A"/>
    <w:rsid w:val="00B96AED"/>
    <w:rsid w:val="00B97B1E"/>
    <w:rsid w:val="00B97B7D"/>
    <w:rsid w:val="00BA0420"/>
    <w:rsid w:val="00BA0CC3"/>
    <w:rsid w:val="00BA0F26"/>
    <w:rsid w:val="00BA462B"/>
    <w:rsid w:val="00BA4D40"/>
    <w:rsid w:val="00BA65F8"/>
    <w:rsid w:val="00BA6BF3"/>
    <w:rsid w:val="00BA6E3F"/>
    <w:rsid w:val="00BA7327"/>
    <w:rsid w:val="00BA7B2F"/>
    <w:rsid w:val="00BB13A0"/>
    <w:rsid w:val="00BB1779"/>
    <w:rsid w:val="00BB2265"/>
    <w:rsid w:val="00BB43F6"/>
    <w:rsid w:val="00BB7E44"/>
    <w:rsid w:val="00BC0770"/>
    <w:rsid w:val="00BC3383"/>
    <w:rsid w:val="00BC4649"/>
    <w:rsid w:val="00BC6938"/>
    <w:rsid w:val="00BC6AB6"/>
    <w:rsid w:val="00BD0BD2"/>
    <w:rsid w:val="00BD42BF"/>
    <w:rsid w:val="00BD49DC"/>
    <w:rsid w:val="00BD4C12"/>
    <w:rsid w:val="00BD6D37"/>
    <w:rsid w:val="00BD7E7C"/>
    <w:rsid w:val="00BE327C"/>
    <w:rsid w:val="00BE415D"/>
    <w:rsid w:val="00BE4205"/>
    <w:rsid w:val="00BE6911"/>
    <w:rsid w:val="00BF0606"/>
    <w:rsid w:val="00BF4D87"/>
    <w:rsid w:val="00BF5F72"/>
    <w:rsid w:val="00BF7127"/>
    <w:rsid w:val="00BF73E4"/>
    <w:rsid w:val="00BF752D"/>
    <w:rsid w:val="00BF7B02"/>
    <w:rsid w:val="00C05127"/>
    <w:rsid w:val="00C12371"/>
    <w:rsid w:val="00C12BF3"/>
    <w:rsid w:val="00C145F2"/>
    <w:rsid w:val="00C14E01"/>
    <w:rsid w:val="00C1729B"/>
    <w:rsid w:val="00C174CB"/>
    <w:rsid w:val="00C23065"/>
    <w:rsid w:val="00C25842"/>
    <w:rsid w:val="00C25D0E"/>
    <w:rsid w:val="00C2628A"/>
    <w:rsid w:val="00C328CB"/>
    <w:rsid w:val="00C32933"/>
    <w:rsid w:val="00C33F29"/>
    <w:rsid w:val="00C356DB"/>
    <w:rsid w:val="00C3587D"/>
    <w:rsid w:val="00C372C9"/>
    <w:rsid w:val="00C41190"/>
    <w:rsid w:val="00C43A99"/>
    <w:rsid w:val="00C445C1"/>
    <w:rsid w:val="00C44F40"/>
    <w:rsid w:val="00C4605A"/>
    <w:rsid w:val="00C46B6B"/>
    <w:rsid w:val="00C46FA7"/>
    <w:rsid w:val="00C5333B"/>
    <w:rsid w:val="00C548ED"/>
    <w:rsid w:val="00C54DF7"/>
    <w:rsid w:val="00C60D33"/>
    <w:rsid w:val="00C6111F"/>
    <w:rsid w:val="00C615B8"/>
    <w:rsid w:val="00C674A7"/>
    <w:rsid w:val="00C701D9"/>
    <w:rsid w:val="00C70459"/>
    <w:rsid w:val="00C707E6"/>
    <w:rsid w:val="00C71090"/>
    <w:rsid w:val="00C716F2"/>
    <w:rsid w:val="00C72E93"/>
    <w:rsid w:val="00C73400"/>
    <w:rsid w:val="00C756AD"/>
    <w:rsid w:val="00C756BD"/>
    <w:rsid w:val="00C76D39"/>
    <w:rsid w:val="00C822C6"/>
    <w:rsid w:val="00C83442"/>
    <w:rsid w:val="00C83B2D"/>
    <w:rsid w:val="00C9038E"/>
    <w:rsid w:val="00C90B82"/>
    <w:rsid w:val="00C91604"/>
    <w:rsid w:val="00C918D0"/>
    <w:rsid w:val="00C9210F"/>
    <w:rsid w:val="00C92B39"/>
    <w:rsid w:val="00C92F00"/>
    <w:rsid w:val="00CA1CC9"/>
    <w:rsid w:val="00CA3FD2"/>
    <w:rsid w:val="00CA65DC"/>
    <w:rsid w:val="00CB1080"/>
    <w:rsid w:val="00CB113E"/>
    <w:rsid w:val="00CB149B"/>
    <w:rsid w:val="00CB1D1E"/>
    <w:rsid w:val="00CB3273"/>
    <w:rsid w:val="00CB42F1"/>
    <w:rsid w:val="00CC53E0"/>
    <w:rsid w:val="00CC614F"/>
    <w:rsid w:val="00CD2D51"/>
    <w:rsid w:val="00CD4FB1"/>
    <w:rsid w:val="00CD61D1"/>
    <w:rsid w:val="00CD7B24"/>
    <w:rsid w:val="00CE0B96"/>
    <w:rsid w:val="00CE3F28"/>
    <w:rsid w:val="00CE5A7E"/>
    <w:rsid w:val="00CE66EB"/>
    <w:rsid w:val="00CE7C12"/>
    <w:rsid w:val="00CF146E"/>
    <w:rsid w:val="00CF36E7"/>
    <w:rsid w:val="00CF3902"/>
    <w:rsid w:val="00CF53F2"/>
    <w:rsid w:val="00CF5C4E"/>
    <w:rsid w:val="00D00AD3"/>
    <w:rsid w:val="00D022BE"/>
    <w:rsid w:val="00D025F2"/>
    <w:rsid w:val="00D041A4"/>
    <w:rsid w:val="00D05AC0"/>
    <w:rsid w:val="00D07117"/>
    <w:rsid w:val="00D10617"/>
    <w:rsid w:val="00D109DC"/>
    <w:rsid w:val="00D112F7"/>
    <w:rsid w:val="00D14531"/>
    <w:rsid w:val="00D17669"/>
    <w:rsid w:val="00D2101A"/>
    <w:rsid w:val="00D23435"/>
    <w:rsid w:val="00D248FA"/>
    <w:rsid w:val="00D2514C"/>
    <w:rsid w:val="00D30BE3"/>
    <w:rsid w:val="00D3439B"/>
    <w:rsid w:val="00D349B8"/>
    <w:rsid w:val="00D41B8B"/>
    <w:rsid w:val="00D4321E"/>
    <w:rsid w:val="00D43967"/>
    <w:rsid w:val="00D450F6"/>
    <w:rsid w:val="00D46810"/>
    <w:rsid w:val="00D4764A"/>
    <w:rsid w:val="00D5099E"/>
    <w:rsid w:val="00D50DD1"/>
    <w:rsid w:val="00D55675"/>
    <w:rsid w:val="00D5612D"/>
    <w:rsid w:val="00D6385E"/>
    <w:rsid w:val="00D678AA"/>
    <w:rsid w:val="00D72151"/>
    <w:rsid w:val="00D7286B"/>
    <w:rsid w:val="00D7444F"/>
    <w:rsid w:val="00D75508"/>
    <w:rsid w:val="00D75EBB"/>
    <w:rsid w:val="00D80391"/>
    <w:rsid w:val="00D808E5"/>
    <w:rsid w:val="00D80C18"/>
    <w:rsid w:val="00D810A6"/>
    <w:rsid w:val="00D8201B"/>
    <w:rsid w:val="00D82030"/>
    <w:rsid w:val="00D82354"/>
    <w:rsid w:val="00D84BF0"/>
    <w:rsid w:val="00D85D28"/>
    <w:rsid w:val="00D902ED"/>
    <w:rsid w:val="00D9370F"/>
    <w:rsid w:val="00DA1853"/>
    <w:rsid w:val="00DA3B48"/>
    <w:rsid w:val="00DA4707"/>
    <w:rsid w:val="00DB099B"/>
    <w:rsid w:val="00DB170C"/>
    <w:rsid w:val="00DB72CA"/>
    <w:rsid w:val="00DB74B0"/>
    <w:rsid w:val="00DC103A"/>
    <w:rsid w:val="00DC1B74"/>
    <w:rsid w:val="00DC4AA9"/>
    <w:rsid w:val="00DC4E65"/>
    <w:rsid w:val="00DC718B"/>
    <w:rsid w:val="00DD0BDA"/>
    <w:rsid w:val="00DD0C90"/>
    <w:rsid w:val="00DD0F7D"/>
    <w:rsid w:val="00DD1F9C"/>
    <w:rsid w:val="00DD30BD"/>
    <w:rsid w:val="00DD5F39"/>
    <w:rsid w:val="00DD6653"/>
    <w:rsid w:val="00DD760D"/>
    <w:rsid w:val="00DD7CEE"/>
    <w:rsid w:val="00DE1DA4"/>
    <w:rsid w:val="00DE47CE"/>
    <w:rsid w:val="00DF1532"/>
    <w:rsid w:val="00DF244C"/>
    <w:rsid w:val="00DF2B00"/>
    <w:rsid w:val="00DF2DAE"/>
    <w:rsid w:val="00DF3FAE"/>
    <w:rsid w:val="00DF4170"/>
    <w:rsid w:val="00DF4DF6"/>
    <w:rsid w:val="00DF68C0"/>
    <w:rsid w:val="00E0503E"/>
    <w:rsid w:val="00E05EE2"/>
    <w:rsid w:val="00E073A6"/>
    <w:rsid w:val="00E11F54"/>
    <w:rsid w:val="00E14ADA"/>
    <w:rsid w:val="00E15796"/>
    <w:rsid w:val="00E202C5"/>
    <w:rsid w:val="00E2081F"/>
    <w:rsid w:val="00E24298"/>
    <w:rsid w:val="00E24560"/>
    <w:rsid w:val="00E25600"/>
    <w:rsid w:val="00E32DC9"/>
    <w:rsid w:val="00E42E80"/>
    <w:rsid w:val="00E44DC5"/>
    <w:rsid w:val="00E4574D"/>
    <w:rsid w:val="00E46D71"/>
    <w:rsid w:val="00E5160E"/>
    <w:rsid w:val="00E51873"/>
    <w:rsid w:val="00E53434"/>
    <w:rsid w:val="00E57A44"/>
    <w:rsid w:val="00E60E60"/>
    <w:rsid w:val="00E62FDF"/>
    <w:rsid w:val="00E643C8"/>
    <w:rsid w:val="00E66382"/>
    <w:rsid w:val="00E66448"/>
    <w:rsid w:val="00E66F59"/>
    <w:rsid w:val="00E700BC"/>
    <w:rsid w:val="00E72F09"/>
    <w:rsid w:val="00E75028"/>
    <w:rsid w:val="00E75FEE"/>
    <w:rsid w:val="00E81BCD"/>
    <w:rsid w:val="00E916C8"/>
    <w:rsid w:val="00E918EE"/>
    <w:rsid w:val="00E933C6"/>
    <w:rsid w:val="00E965EB"/>
    <w:rsid w:val="00EA06B0"/>
    <w:rsid w:val="00EA0AAE"/>
    <w:rsid w:val="00EA13E9"/>
    <w:rsid w:val="00EA1668"/>
    <w:rsid w:val="00EA26D2"/>
    <w:rsid w:val="00EA3047"/>
    <w:rsid w:val="00EA4056"/>
    <w:rsid w:val="00EA5113"/>
    <w:rsid w:val="00EA7818"/>
    <w:rsid w:val="00EA7978"/>
    <w:rsid w:val="00EB13E5"/>
    <w:rsid w:val="00EB3508"/>
    <w:rsid w:val="00EB470D"/>
    <w:rsid w:val="00EB6239"/>
    <w:rsid w:val="00EC1684"/>
    <w:rsid w:val="00EC1FB8"/>
    <w:rsid w:val="00EC27CE"/>
    <w:rsid w:val="00EC2AB7"/>
    <w:rsid w:val="00EC2C3B"/>
    <w:rsid w:val="00EC3405"/>
    <w:rsid w:val="00EC5BA8"/>
    <w:rsid w:val="00EC6EED"/>
    <w:rsid w:val="00EC6FF8"/>
    <w:rsid w:val="00ED0223"/>
    <w:rsid w:val="00ED1483"/>
    <w:rsid w:val="00ED74E9"/>
    <w:rsid w:val="00EE3818"/>
    <w:rsid w:val="00EE7886"/>
    <w:rsid w:val="00EF0B70"/>
    <w:rsid w:val="00EF1B07"/>
    <w:rsid w:val="00EF36EC"/>
    <w:rsid w:val="00EF5006"/>
    <w:rsid w:val="00EF6453"/>
    <w:rsid w:val="00EF6B3A"/>
    <w:rsid w:val="00EF7173"/>
    <w:rsid w:val="00F01B0B"/>
    <w:rsid w:val="00F07620"/>
    <w:rsid w:val="00F078BA"/>
    <w:rsid w:val="00F07D71"/>
    <w:rsid w:val="00F10276"/>
    <w:rsid w:val="00F1554C"/>
    <w:rsid w:val="00F21627"/>
    <w:rsid w:val="00F21F46"/>
    <w:rsid w:val="00F22A97"/>
    <w:rsid w:val="00F23DE0"/>
    <w:rsid w:val="00F26BFE"/>
    <w:rsid w:val="00F34A02"/>
    <w:rsid w:val="00F35F2A"/>
    <w:rsid w:val="00F370C9"/>
    <w:rsid w:val="00F410E7"/>
    <w:rsid w:val="00F41FD7"/>
    <w:rsid w:val="00F42AAA"/>
    <w:rsid w:val="00F45147"/>
    <w:rsid w:val="00F4545B"/>
    <w:rsid w:val="00F45AF7"/>
    <w:rsid w:val="00F50361"/>
    <w:rsid w:val="00F50F8F"/>
    <w:rsid w:val="00F512C2"/>
    <w:rsid w:val="00F51306"/>
    <w:rsid w:val="00F53DA5"/>
    <w:rsid w:val="00F54221"/>
    <w:rsid w:val="00F612DD"/>
    <w:rsid w:val="00F637F7"/>
    <w:rsid w:val="00F6613F"/>
    <w:rsid w:val="00F6711C"/>
    <w:rsid w:val="00F71B91"/>
    <w:rsid w:val="00F71E5A"/>
    <w:rsid w:val="00F7520B"/>
    <w:rsid w:val="00F82C86"/>
    <w:rsid w:val="00F84CD4"/>
    <w:rsid w:val="00F85024"/>
    <w:rsid w:val="00F869D4"/>
    <w:rsid w:val="00F87175"/>
    <w:rsid w:val="00F877A0"/>
    <w:rsid w:val="00F944E0"/>
    <w:rsid w:val="00F95ACD"/>
    <w:rsid w:val="00F9714C"/>
    <w:rsid w:val="00F975B5"/>
    <w:rsid w:val="00FA1FE7"/>
    <w:rsid w:val="00FA240D"/>
    <w:rsid w:val="00FA338F"/>
    <w:rsid w:val="00FA4B87"/>
    <w:rsid w:val="00FA5C8E"/>
    <w:rsid w:val="00FA5DE8"/>
    <w:rsid w:val="00FB38F2"/>
    <w:rsid w:val="00FB3AD0"/>
    <w:rsid w:val="00FB3AF8"/>
    <w:rsid w:val="00FB52BD"/>
    <w:rsid w:val="00FB564F"/>
    <w:rsid w:val="00FC00C3"/>
    <w:rsid w:val="00FC1FB3"/>
    <w:rsid w:val="00FC43D9"/>
    <w:rsid w:val="00FC587A"/>
    <w:rsid w:val="00FC6AA5"/>
    <w:rsid w:val="00FD3469"/>
    <w:rsid w:val="00FD4765"/>
    <w:rsid w:val="00FD7FB8"/>
    <w:rsid w:val="00FE03DE"/>
    <w:rsid w:val="00FE094F"/>
    <w:rsid w:val="00FE15EF"/>
    <w:rsid w:val="00FE2A80"/>
    <w:rsid w:val="00FE3418"/>
    <w:rsid w:val="00FE3D21"/>
    <w:rsid w:val="00FE4E4E"/>
    <w:rsid w:val="00FE4F29"/>
    <w:rsid w:val="00FE7A28"/>
    <w:rsid w:val="00FE7D24"/>
    <w:rsid w:val="00FF01B5"/>
    <w:rsid w:val="00FF5661"/>
    <w:rsid w:val="01B42948"/>
    <w:rsid w:val="01E4322D"/>
    <w:rsid w:val="029A1B3E"/>
    <w:rsid w:val="041F0982"/>
    <w:rsid w:val="06DA4F3A"/>
    <w:rsid w:val="06F56C04"/>
    <w:rsid w:val="074D2288"/>
    <w:rsid w:val="0758774A"/>
    <w:rsid w:val="07ED0962"/>
    <w:rsid w:val="0868040D"/>
    <w:rsid w:val="0A165F4E"/>
    <w:rsid w:val="0ACB31DC"/>
    <w:rsid w:val="0BC963DF"/>
    <w:rsid w:val="0E214EC1"/>
    <w:rsid w:val="0E9A4FA3"/>
    <w:rsid w:val="0EB126E9"/>
    <w:rsid w:val="10CB5118"/>
    <w:rsid w:val="11F37030"/>
    <w:rsid w:val="14E2600B"/>
    <w:rsid w:val="1504186D"/>
    <w:rsid w:val="15083D4B"/>
    <w:rsid w:val="16464112"/>
    <w:rsid w:val="16F14C2B"/>
    <w:rsid w:val="18402737"/>
    <w:rsid w:val="1BA335E9"/>
    <w:rsid w:val="1DE22563"/>
    <w:rsid w:val="1E1E141D"/>
    <w:rsid w:val="1E5866DD"/>
    <w:rsid w:val="1F046673"/>
    <w:rsid w:val="1F412B3E"/>
    <w:rsid w:val="20AA21D1"/>
    <w:rsid w:val="21EF55AB"/>
    <w:rsid w:val="240C31E5"/>
    <w:rsid w:val="246652F8"/>
    <w:rsid w:val="24A3442A"/>
    <w:rsid w:val="254A0D4A"/>
    <w:rsid w:val="25A03144"/>
    <w:rsid w:val="25C56922"/>
    <w:rsid w:val="25C97EC1"/>
    <w:rsid w:val="26DE174A"/>
    <w:rsid w:val="26E22CCA"/>
    <w:rsid w:val="27677991"/>
    <w:rsid w:val="286F2FA1"/>
    <w:rsid w:val="29E654E5"/>
    <w:rsid w:val="2A364506"/>
    <w:rsid w:val="2C1047A7"/>
    <w:rsid w:val="2D197980"/>
    <w:rsid w:val="30AE7BC6"/>
    <w:rsid w:val="33FA04F6"/>
    <w:rsid w:val="362A0508"/>
    <w:rsid w:val="37EA299D"/>
    <w:rsid w:val="38145F52"/>
    <w:rsid w:val="39AB247D"/>
    <w:rsid w:val="3A4C2D90"/>
    <w:rsid w:val="3D2B3A1F"/>
    <w:rsid w:val="416A65A4"/>
    <w:rsid w:val="43BB6C43"/>
    <w:rsid w:val="4436276D"/>
    <w:rsid w:val="4441183E"/>
    <w:rsid w:val="45B8114E"/>
    <w:rsid w:val="45EC379D"/>
    <w:rsid w:val="467031B7"/>
    <w:rsid w:val="469F10C1"/>
    <w:rsid w:val="47750BF6"/>
    <w:rsid w:val="48E4595D"/>
    <w:rsid w:val="492C2801"/>
    <w:rsid w:val="495060B5"/>
    <w:rsid w:val="4B533C05"/>
    <w:rsid w:val="4BA2770C"/>
    <w:rsid w:val="4C417F01"/>
    <w:rsid w:val="4D297313"/>
    <w:rsid w:val="4DD947C2"/>
    <w:rsid w:val="4F6A776F"/>
    <w:rsid w:val="50321687"/>
    <w:rsid w:val="53332C9A"/>
    <w:rsid w:val="569752EE"/>
    <w:rsid w:val="570C644B"/>
    <w:rsid w:val="589046EA"/>
    <w:rsid w:val="5A7B6085"/>
    <w:rsid w:val="5B6A7475"/>
    <w:rsid w:val="5C855BE8"/>
    <w:rsid w:val="5E8347DF"/>
    <w:rsid w:val="5E9A1E1F"/>
    <w:rsid w:val="5F6D598C"/>
    <w:rsid w:val="61A46B11"/>
    <w:rsid w:val="61D5316E"/>
    <w:rsid w:val="620F042E"/>
    <w:rsid w:val="624831BC"/>
    <w:rsid w:val="628174C5"/>
    <w:rsid w:val="63626C83"/>
    <w:rsid w:val="642F6192"/>
    <w:rsid w:val="66A6332B"/>
    <w:rsid w:val="67453BE5"/>
    <w:rsid w:val="69D4743D"/>
    <w:rsid w:val="6B0A1F18"/>
    <w:rsid w:val="6C0F0C37"/>
    <w:rsid w:val="6C593CD1"/>
    <w:rsid w:val="6C766355"/>
    <w:rsid w:val="6CD04C5E"/>
    <w:rsid w:val="6CFEF521"/>
    <w:rsid w:val="6DB75505"/>
    <w:rsid w:val="70B36D70"/>
    <w:rsid w:val="711931E4"/>
    <w:rsid w:val="748663A5"/>
    <w:rsid w:val="76050C77"/>
    <w:rsid w:val="768259EA"/>
    <w:rsid w:val="7BDB4852"/>
    <w:rsid w:val="7BE51663"/>
    <w:rsid w:val="7C594C70"/>
    <w:rsid w:val="7C8A495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qFormat="1" w:uiPriority="99" w:semiHidden="0"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qFormat="1" w:uiPriority="99" w:semiHidden="0"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00" w:after="200" w:line="276" w:lineRule="auto"/>
    </w:pPr>
    <w:rPr>
      <w:rFonts w:asciiTheme="minorHAnsi" w:hAnsiTheme="minorHAnsi" w:eastAsiaTheme="minorEastAsia" w:cstheme="minorBidi"/>
      <w:lang w:val="en-US" w:eastAsia="zh-TW" w:bidi="ar-SA"/>
    </w:rPr>
  </w:style>
  <w:style w:type="paragraph" w:styleId="2">
    <w:name w:val="heading 1"/>
    <w:basedOn w:val="1"/>
    <w:next w:val="1"/>
    <w:link w:val="30"/>
    <w:qFormat/>
    <w:uiPriority w:val="9"/>
    <w:pPr>
      <w:pBdr>
        <w:top w:val="single" w:color="F09415" w:themeColor="accent1" w:sz="24" w:space="0"/>
        <w:left w:val="single" w:color="F09415" w:themeColor="accent1" w:sz="24" w:space="0"/>
        <w:bottom w:val="single" w:color="F09415" w:themeColor="accent1" w:sz="24" w:space="0"/>
        <w:right w:val="single" w:color="F09415" w:themeColor="accent1" w:sz="24" w:space="0"/>
      </w:pBdr>
      <w:shd w:val="clear" w:color="auto" w:fill="F09415" w:themeFill="accent1"/>
      <w:spacing w:after="0"/>
      <w:outlineLvl w:val="0"/>
    </w:pPr>
    <w:rPr>
      <w:caps/>
      <w:color w:val="FFFFFF" w:themeColor="background1"/>
      <w:spacing w:val="15"/>
      <w:sz w:val="22"/>
      <w:szCs w:val="22"/>
      <w14:textFill>
        <w14:solidFill>
          <w14:schemeClr w14:val="bg1"/>
        </w14:solidFill>
      </w14:textFill>
    </w:rPr>
  </w:style>
  <w:style w:type="paragraph" w:styleId="3">
    <w:name w:val="heading 2"/>
    <w:basedOn w:val="1"/>
    <w:next w:val="1"/>
    <w:link w:val="31"/>
    <w:unhideWhenUsed/>
    <w:qFormat/>
    <w:uiPriority w:val="9"/>
    <w:pPr>
      <w:pBdr>
        <w:top w:val="single" w:color="FBE9D0" w:themeColor="accent1" w:themeTint="33" w:sz="24" w:space="0"/>
        <w:left w:val="single" w:color="FBE9D0" w:themeColor="accent1" w:themeTint="33" w:sz="24" w:space="0"/>
        <w:bottom w:val="single" w:color="FBE9D0" w:themeColor="accent1" w:themeTint="33" w:sz="24" w:space="0"/>
        <w:right w:val="single" w:color="FBE9D0" w:themeColor="accent1" w:themeTint="33" w:sz="24" w:space="0"/>
      </w:pBdr>
      <w:shd w:val="clear" w:color="auto" w:fill="FBE9D0" w:themeFill="accent1" w:themeFillTint="33"/>
      <w:spacing w:after="0"/>
      <w:outlineLvl w:val="1"/>
    </w:pPr>
    <w:rPr>
      <w:caps/>
      <w:spacing w:val="15"/>
    </w:rPr>
  </w:style>
  <w:style w:type="paragraph" w:styleId="4">
    <w:name w:val="heading 3"/>
    <w:basedOn w:val="1"/>
    <w:next w:val="1"/>
    <w:link w:val="32"/>
    <w:unhideWhenUsed/>
    <w:qFormat/>
    <w:uiPriority w:val="9"/>
    <w:pPr>
      <w:pBdr>
        <w:top w:val="single" w:color="F09415" w:themeColor="accent1" w:sz="6" w:space="2"/>
      </w:pBdr>
      <w:spacing w:before="300" w:after="0"/>
      <w:outlineLvl w:val="2"/>
    </w:pPr>
    <w:rPr>
      <w:caps/>
      <w:color w:val="7B4A08" w:themeColor="accent1" w:themeShade="80"/>
      <w:spacing w:val="15"/>
    </w:rPr>
  </w:style>
  <w:style w:type="paragraph" w:styleId="5">
    <w:name w:val="heading 4"/>
    <w:basedOn w:val="1"/>
    <w:next w:val="1"/>
    <w:link w:val="33"/>
    <w:unhideWhenUsed/>
    <w:qFormat/>
    <w:uiPriority w:val="9"/>
    <w:pPr>
      <w:pBdr>
        <w:top w:val="dotted" w:color="F09415" w:themeColor="accent1" w:sz="6" w:space="2"/>
      </w:pBdr>
      <w:spacing w:before="200" w:after="0"/>
      <w:outlineLvl w:val="3"/>
    </w:pPr>
    <w:rPr>
      <w:caps/>
      <w:color w:val="B8700C" w:themeColor="accent1" w:themeShade="BF"/>
      <w:spacing w:val="10"/>
    </w:rPr>
  </w:style>
  <w:style w:type="paragraph" w:styleId="6">
    <w:name w:val="heading 5"/>
    <w:basedOn w:val="1"/>
    <w:next w:val="1"/>
    <w:link w:val="34"/>
    <w:semiHidden/>
    <w:unhideWhenUsed/>
    <w:qFormat/>
    <w:uiPriority w:val="9"/>
    <w:pPr>
      <w:pBdr>
        <w:bottom w:val="single" w:color="F09415" w:themeColor="accent1" w:sz="6" w:space="1"/>
      </w:pBdr>
      <w:spacing w:before="200" w:after="0"/>
      <w:outlineLvl w:val="4"/>
    </w:pPr>
    <w:rPr>
      <w:caps/>
      <w:color w:val="B8700C" w:themeColor="accent1" w:themeShade="BF"/>
      <w:spacing w:val="10"/>
    </w:rPr>
  </w:style>
  <w:style w:type="paragraph" w:styleId="7">
    <w:name w:val="heading 6"/>
    <w:basedOn w:val="1"/>
    <w:next w:val="1"/>
    <w:link w:val="35"/>
    <w:semiHidden/>
    <w:unhideWhenUsed/>
    <w:qFormat/>
    <w:uiPriority w:val="9"/>
    <w:pPr>
      <w:pBdr>
        <w:bottom w:val="dotted" w:color="F09415" w:themeColor="accent1" w:sz="6" w:space="1"/>
      </w:pBdr>
      <w:spacing w:before="200" w:after="0"/>
      <w:outlineLvl w:val="5"/>
    </w:pPr>
    <w:rPr>
      <w:caps/>
      <w:color w:val="B8700C" w:themeColor="accent1" w:themeShade="BF"/>
      <w:spacing w:val="10"/>
    </w:rPr>
  </w:style>
  <w:style w:type="paragraph" w:styleId="8">
    <w:name w:val="heading 7"/>
    <w:basedOn w:val="1"/>
    <w:next w:val="1"/>
    <w:link w:val="36"/>
    <w:semiHidden/>
    <w:unhideWhenUsed/>
    <w:qFormat/>
    <w:uiPriority w:val="9"/>
    <w:pPr>
      <w:spacing w:before="200" w:after="0"/>
      <w:outlineLvl w:val="6"/>
    </w:pPr>
    <w:rPr>
      <w:caps/>
      <w:color w:val="B8700C" w:themeColor="accent1" w:themeShade="BF"/>
      <w:spacing w:val="10"/>
    </w:rPr>
  </w:style>
  <w:style w:type="paragraph" w:styleId="9">
    <w:name w:val="heading 8"/>
    <w:basedOn w:val="1"/>
    <w:next w:val="1"/>
    <w:link w:val="37"/>
    <w:semiHidden/>
    <w:unhideWhenUsed/>
    <w:qFormat/>
    <w:uiPriority w:val="9"/>
    <w:pPr>
      <w:spacing w:before="200" w:after="0"/>
      <w:outlineLvl w:val="7"/>
    </w:pPr>
    <w:rPr>
      <w:caps/>
      <w:spacing w:val="10"/>
      <w:sz w:val="18"/>
      <w:szCs w:val="18"/>
    </w:rPr>
  </w:style>
  <w:style w:type="paragraph" w:styleId="10">
    <w:name w:val="heading 9"/>
    <w:basedOn w:val="1"/>
    <w:next w:val="1"/>
    <w:link w:val="38"/>
    <w:semiHidden/>
    <w:unhideWhenUsed/>
    <w:qFormat/>
    <w:uiPriority w:val="9"/>
    <w:pPr>
      <w:spacing w:before="200" w:after="0"/>
      <w:outlineLvl w:val="8"/>
    </w:pPr>
    <w:rPr>
      <w:i/>
      <w:iCs/>
      <w:caps/>
      <w:spacing w:val="10"/>
      <w:sz w:val="18"/>
      <w:szCs w:val="18"/>
    </w:rPr>
  </w:style>
  <w:style w:type="character" w:default="1" w:styleId="25">
    <w:name w:val="Default Paragraph Font"/>
    <w:semiHidden/>
    <w:unhideWhenUsed/>
    <w:qFormat/>
    <w:uiPriority w:val="1"/>
  </w:style>
  <w:style w:type="table" w:default="1" w:styleId="23">
    <w:name w:val="Normal Table"/>
    <w:semiHidden/>
    <w:unhideWhenUsed/>
    <w:qFormat/>
    <w:uiPriority w:val="99"/>
    <w:tblPr>
      <w:tblCellMar>
        <w:top w:w="0" w:type="dxa"/>
        <w:left w:w="108" w:type="dxa"/>
        <w:bottom w:w="0" w:type="dxa"/>
        <w:right w:w="108" w:type="dxa"/>
      </w:tblCellMar>
    </w:tblPr>
  </w:style>
  <w:style w:type="paragraph" w:styleId="11">
    <w:name w:val="caption"/>
    <w:basedOn w:val="1"/>
    <w:next w:val="1"/>
    <w:semiHidden/>
    <w:unhideWhenUsed/>
    <w:qFormat/>
    <w:uiPriority w:val="35"/>
    <w:rPr>
      <w:b/>
      <w:bCs/>
      <w:color w:val="B8700C" w:themeColor="accent1" w:themeShade="BF"/>
      <w:sz w:val="16"/>
      <w:szCs w:val="16"/>
    </w:rPr>
  </w:style>
  <w:style w:type="paragraph" w:styleId="12">
    <w:name w:val="annotation text"/>
    <w:basedOn w:val="1"/>
    <w:link w:val="82"/>
    <w:unhideWhenUsed/>
    <w:qFormat/>
    <w:uiPriority w:val="0"/>
    <w:pPr>
      <w:spacing w:line="240" w:lineRule="auto"/>
    </w:pPr>
  </w:style>
  <w:style w:type="paragraph" w:styleId="13">
    <w:name w:val="Salutation"/>
    <w:basedOn w:val="1"/>
    <w:next w:val="1"/>
    <w:link w:val="65"/>
    <w:unhideWhenUsed/>
    <w:qFormat/>
    <w:uiPriority w:val="99"/>
    <w:rPr>
      <w:rFonts w:ascii="PMingLiU" w:hAnsi="PMingLiU" w:eastAsia="PMingLiU" w:cs="PMingLiU"/>
      <w:b/>
      <w:color w:val="484848"/>
      <w:sz w:val="18"/>
      <w:szCs w:val="18"/>
    </w:rPr>
  </w:style>
  <w:style w:type="paragraph" w:styleId="14">
    <w:name w:val="Closing"/>
    <w:basedOn w:val="1"/>
    <w:link w:val="66"/>
    <w:unhideWhenUsed/>
    <w:qFormat/>
    <w:uiPriority w:val="99"/>
    <w:pPr>
      <w:ind w:left="100" w:leftChars="1800"/>
    </w:pPr>
    <w:rPr>
      <w:rFonts w:ascii="PMingLiU" w:hAnsi="PMingLiU" w:eastAsia="PMingLiU" w:cs="PMingLiU"/>
      <w:b/>
      <w:color w:val="484848"/>
      <w:sz w:val="18"/>
      <w:szCs w:val="18"/>
    </w:rPr>
  </w:style>
  <w:style w:type="paragraph" w:styleId="15">
    <w:name w:val="Balloon Text"/>
    <w:basedOn w:val="1"/>
    <w:link w:val="59"/>
    <w:semiHidden/>
    <w:unhideWhenUsed/>
    <w:qFormat/>
    <w:uiPriority w:val="99"/>
    <w:pPr>
      <w:spacing w:before="0" w:after="0" w:line="240" w:lineRule="auto"/>
    </w:pPr>
    <w:rPr>
      <w:rFonts w:ascii="Lucida Grande" w:hAnsi="Lucida Grande" w:cs="Lucida Grande"/>
      <w:sz w:val="18"/>
      <w:szCs w:val="18"/>
    </w:rPr>
  </w:style>
  <w:style w:type="paragraph" w:styleId="16">
    <w:name w:val="footer"/>
    <w:basedOn w:val="1"/>
    <w:link w:val="53"/>
    <w:unhideWhenUsed/>
    <w:qFormat/>
    <w:uiPriority w:val="99"/>
    <w:pPr>
      <w:tabs>
        <w:tab w:val="center" w:pos="4153"/>
        <w:tab w:val="right" w:pos="8306"/>
      </w:tabs>
      <w:snapToGrid w:val="0"/>
    </w:pPr>
  </w:style>
  <w:style w:type="paragraph" w:styleId="17">
    <w:name w:val="header"/>
    <w:basedOn w:val="1"/>
    <w:link w:val="52"/>
    <w:unhideWhenUsed/>
    <w:qFormat/>
    <w:uiPriority w:val="99"/>
    <w:pPr>
      <w:tabs>
        <w:tab w:val="center" w:pos="4153"/>
        <w:tab w:val="right" w:pos="8306"/>
      </w:tabs>
      <w:snapToGrid w:val="0"/>
    </w:pPr>
  </w:style>
  <w:style w:type="paragraph" w:styleId="18">
    <w:name w:val="Subtitle"/>
    <w:basedOn w:val="1"/>
    <w:next w:val="1"/>
    <w:link w:val="40"/>
    <w:qFormat/>
    <w:uiPriority w:val="11"/>
    <w:pPr>
      <w:spacing w:before="0" w:after="500" w:line="240" w:lineRule="auto"/>
    </w:pPr>
    <w:rPr>
      <w:caps/>
      <w:color w:val="595959" w:themeColor="text1" w:themeTint="A6"/>
      <w:spacing w:val="10"/>
      <w:sz w:val="21"/>
      <w:szCs w:val="21"/>
      <w14:textFill>
        <w14:solidFill>
          <w14:schemeClr w14:val="tx1">
            <w14:lumMod w14:val="65000"/>
            <w14:lumOff w14:val="35000"/>
          </w14:schemeClr>
        </w14:solidFill>
      </w14:textFill>
    </w:rPr>
  </w:style>
  <w:style w:type="paragraph" w:styleId="19">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20">
    <w:name w:val="Normal (Web)"/>
    <w:basedOn w:val="1"/>
    <w:unhideWhenUsed/>
    <w:qFormat/>
    <w:uiPriority w:val="99"/>
    <w:pPr>
      <w:spacing w:beforeAutospacing="1" w:after="100" w:afterAutospacing="1" w:line="240" w:lineRule="auto"/>
    </w:pPr>
    <w:rPr>
      <w:rFonts w:ascii="Times New Roman" w:hAnsi="Times New Roman" w:eastAsia="Times New Roman" w:cs="Times New Roman"/>
      <w:sz w:val="24"/>
      <w:szCs w:val="24"/>
    </w:rPr>
  </w:style>
  <w:style w:type="paragraph" w:styleId="21">
    <w:name w:val="Title"/>
    <w:basedOn w:val="1"/>
    <w:next w:val="1"/>
    <w:link w:val="39"/>
    <w:qFormat/>
    <w:uiPriority w:val="10"/>
    <w:pPr>
      <w:spacing w:before="0" w:after="0"/>
    </w:pPr>
    <w:rPr>
      <w:rFonts w:asciiTheme="majorHAnsi" w:hAnsiTheme="majorHAnsi" w:eastAsiaTheme="majorEastAsia" w:cstheme="majorBidi"/>
      <w:caps/>
      <w:color w:val="F09415" w:themeColor="accent1"/>
      <w:spacing w:val="10"/>
      <w:sz w:val="52"/>
      <w:szCs w:val="52"/>
      <w14:textFill>
        <w14:solidFill>
          <w14:schemeClr w14:val="accent1"/>
        </w14:solidFill>
      </w14:textFill>
    </w:rPr>
  </w:style>
  <w:style w:type="paragraph" w:styleId="22">
    <w:name w:val="annotation subject"/>
    <w:basedOn w:val="12"/>
    <w:next w:val="12"/>
    <w:link w:val="83"/>
    <w:semiHidden/>
    <w:unhideWhenUsed/>
    <w:qFormat/>
    <w:uiPriority w:val="99"/>
    <w:rPr>
      <w:b/>
      <w:bCs/>
    </w:rPr>
  </w:style>
  <w:style w:type="table" w:styleId="24">
    <w:name w:val="Table Grid"/>
    <w:basedOn w:val="23"/>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6">
    <w:name w:val="Strong"/>
    <w:qFormat/>
    <w:uiPriority w:val="22"/>
    <w:rPr>
      <w:b/>
      <w:bCs/>
    </w:rPr>
  </w:style>
  <w:style w:type="character" w:styleId="27">
    <w:name w:val="Emphasis"/>
    <w:qFormat/>
    <w:uiPriority w:val="20"/>
    <w:rPr>
      <w:caps/>
      <w:color w:val="7B4A08" w:themeColor="accent1" w:themeShade="80"/>
      <w:spacing w:val="5"/>
    </w:rPr>
  </w:style>
  <w:style w:type="character" w:styleId="28">
    <w:name w:val="Hyperlink"/>
    <w:basedOn w:val="25"/>
    <w:unhideWhenUsed/>
    <w:qFormat/>
    <w:uiPriority w:val="99"/>
    <w:rPr>
      <w:color w:val="0000FF"/>
      <w:u w:val="single"/>
    </w:rPr>
  </w:style>
  <w:style w:type="character" w:styleId="29">
    <w:name w:val="annotation reference"/>
    <w:basedOn w:val="25"/>
    <w:semiHidden/>
    <w:unhideWhenUsed/>
    <w:qFormat/>
    <w:uiPriority w:val="99"/>
    <w:rPr>
      <w:sz w:val="16"/>
      <w:szCs w:val="16"/>
    </w:rPr>
  </w:style>
  <w:style w:type="character" w:customStyle="1" w:styleId="30">
    <w:name w:val="Heading 1 Char"/>
    <w:basedOn w:val="25"/>
    <w:link w:val="2"/>
    <w:qFormat/>
    <w:uiPriority w:val="9"/>
    <w:rPr>
      <w:caps/>
      <w:color w:val="FFFFFF" w:themeColor="background1"/>
      <w:spacing w:val="15"/>
      <w:sz w:val="22"/>
      <w:szCs w:val="22"/>
      <w:shd w:val="clear" w:color="auto" w:fill="F09415" w:themeFill="accent1"/>
      <w14:textFill>
        <w14:solidFill>
          <w14:schemeClr w14:val="bg1"/>
        </w14:solidFill>
      </w14:textFill>
    </w:rPr>
  </w:style>
  <w:style w:type="character" w:customStyle="1" w:styleId="31">
    <w:name w:val="Heading 2 Char"/>
    <w:basedOn w:val="25"/>
    <w:link w:val="3"/>
    <w:qFormat/>
    <w:uiPriority w:val="9"/>
    <w:rPr>
      <w:caps/>
      <w:spacing w:val="15"/>
      <w:shd w:val="clear" w:color="auto" w:fill="FBE9D0" w:themeFill="accent1" w:themeFillTint="33"/>
    </w:rPr>
  </w:style>
  <w:style w:type="character" w:customStyle="1" w:styleId="32">
    <w:name w:val="Heading 3 Char"/>
    <w:basedOn w:val="25"/>
    <w:link w:val="4"/>
    <w:qFormat/>
    <w:uiPriority w:val="9"/>
    <w:rPr>
      <w:caps/>
      <w:color w:val="7B4A08" w:themeColor="accent1" w:themeShade="80"/>
      <w:spacing w:val="15"/>
    </w:rPr>
  </w:style>
  <w:style w:type="character" w:customStyle="1" w:styleId="33">
    <w:name w:val="Heading 4 Char"/>
    <w:basedOn w:val="25"/>
    <w:link w:val="5"/>
    <w:semiHidden/>
    <w:qFormat/>
    <w:uiPriority w:val="9"/>
    <w:rPr>
      <w:caps/>
      <w:color w:val="B8700C" w:themeColor="accent1" w:themeShade="BF"/>
      <w:spacing w:val="10"/>
    </w:rPr>
  </w:style>
  <w:style w:type="character" w:customStyle="1" w:styleId="34">
    <w:name w:val="Heading 5 Char"/>
    <w:basedOn w:val="25"/>
    <w:link w:val="6"/>
    <w:semiHidden/>
    <w:qFormat/>
    <w:uiPriority w:val="9"/>
    <w:rPr>
      <w:caps/>
      <w:color w:val="B8700C" w:themeColor="accent1" w:themeShade="BF"/>
      <w:spacing w:val="10"/>
    </w:rPr>
  </w:style>
  <w:style w:type="character" w:customStyle="1" w:styleId="35">
    <w:name w:val="Heading 6 Char"/>
    <w:basedOn w:val="25"/>
    <w:link w:val="7"/>
    <w:semiHidden/>
    <w:qFormat/>
    <w:uiPriority w:val="9"/>
    <w:rPr>
      <w:caps/>
      <w:color w:val="B8700C" w:themeColor="accent1" w:themeShade="BF"/>
      <w:spacing w:val="10"/>
    </w:rPr>
  </w:style>
  <w:style w:type="character" w:customStyle="1" w:styleId="36">
    <w:name w:val="Heading 7 Char"/>
    <w:basedOn w:val="25"/>
    <w:link w:val="8"/>
    <w:semiHidden/>
    <w:qFormat/>
    <w:uiPriority w:val="9"/>
    <w:rPr>
      <w:caps/>
      <w:color w:val="B8700C" w:themeColor="accent1" w:themeShade="BF"/>
      <w:spacing w:val="10"/>
    </w:rPr>
  </w:style>
  <w:style w:type="character" w:customStyle="1" w:styleId="37">
    <w:name w:val="Heading 8 Char"/>
    <w:basedOn w:val="25"/>
    <w:link w:val="9"/>
    <w:semiHidden/>
    <w:qFormat/>
    <w:uiPriority w:val="9"/>
    <w:rPr>
      <w:caps/>
      <w:spacing w:val="10"/>
      <w:sz w:val="18"/>
      <w:szCs w:val="18"/>
    </w:rPr>
  </w:style>
  <w:style w:type="character" w:customStyle="1" w:styleId="38">
    <w:name w:val="Heading 9 Char"/>
    <w:basedOn w:val="25"/>
    <w:link w:val="10"/>
    <w:semiHidden/>
    <w:qFormat/>
    <w:uiPriority w:val="9"/>
    <w:rPr>
      <w:i/>
      <w:iCs/>
      <w:caps/>
      <w:spacing w:val="10"/>
      <w:sz w:val="18"/>
      <w:szCs w:val="18"/>
    </w:rPr>
  </w:style>
  <w:style w:type="character" w:customStyle="1" w:styleId="39">
    <w:name w:val="Title Char"/>
    <w:basedOn w:val="25"/>
    <w:link w:val="21"/>
    <w:qFormat/>
    <w:uiPriority w:val="10"/>
    <w:rPr>
      <w:rFonts w:asciiTheme="majorHAnsi" w:hAnsiTheme="majorHAnsi" w:eastAsiaTheme="majorEastAsia" w:cstheme="majorBidi"/>
      <w:caps/>
      <w:color w:val="F09415" w:themeColor="accent1"/>
      <w:spacing w:val="10"/>
      <w:sz w:val="52"/>
      <w:szCs w:val="52"/>
      <w14:textFill>
        <w14:solidFill>
          <w14:schemeClr w14:val="accent1"/>
        </w14:solidFill>
      </w14:textFill>
    </w:rPr>
  </w:style>
  <w:style w:type="character" w:customStyle="1" w:styleId="40">
    <w:name w:val="Subtitle Char"/>
    <w:basedOn w:val="25"/>
    <w:link w:val="18"/>
    <w:qFormat/>
    <w:uiPriority w:val="11"/>
    <w:rPr>
      <w:caps/>
      <w:color w:val="595959" w:themeColor="text1" w:themeTint="A6"/>
      <w:spacing w:val="10"/>
      <w:sz w:val="21"/>
      <w:szCs w:val="21"/>
      <w14:textFill>
        <w14:solidFill>
          <w14:schemeClr w14:val="tx1">
            <w14:lumMod w14:val="65000"/>
            <w14:lumOff w14:val="35000"/>
          </w14:schemeClr>
        </w14:solidFill>
      </w14:textFill>
    </w:rPr>
  </w:style>
  <w:style w:type="paragraph" w:styleId="41">
    <w:name w:val="No Spacing"/>
    <w:qFormat/>
    <w:uiPriority w:val="1"/>
    <w:pPr>
      <w:spacing w:before="100"/>
    </w:pPr>
    <w:rPr>
      <w:rFonts w:asciiTheme="minorHAnsi" w:hAnsiTheme="minorHAnsi" w:eastAsiaTheme="minorEastAsia" w:cstheme="minorBidi"/>
      <w:lang w:val="en-US" w:eastAsia="zh-TW" w:bidi="ar-SA"/>
    </w:rPr>
  </w:style>
  <w:style w:type="paragraph" w:styleId="42">
    <w:name w:val="Quote"/>
    <w:basedOn w:val="1"/>
    <w:next w:val="1"/>
    <w:link w:val="43"/>
    <w:qFormat/>
    <w:uiPriority w:val="29"/>
    <w:rPr>
      <w:i/>
      <w:iCs/>
      <w:sz w:val="24"/>
      <w:szCs w:val="24"/>
    </w:rPr>
  </w:style>
  <w:style w:type="character" w:customStyle="1" w:styleId="43">
    <w:name w:val="Quote Char"/>
    <w:basedOn w:val="25"/>
    <w:link w:val="42"/>
    <w:qFormat/>
    <w:uiPriority w:val="29"/>
    <w:rPr>
      <w:i/>
      <w:iCs/>
      <w:sz w:val="24"/>
      <w:szCs w:val="24"/>
    </w:rPr>
  </w:style>
  <w:style w:type="paragraph" w:styleId="44">
    <w:name w:val="Intense Quote"/>
    <w:basedOn w:val="1"/>
    <w:next w:val="1"/>
    <w:link w:val="45"/>
    <w:qFormat/>
    <w:uiPriority w:val="30"/>
    <w:pPr>
      <w:spacing w:before="240" w:after="240" w:line="240" w:lineRule="auto"/>
      <w:ind w:left="1080" w:right="1080"/>
      <w:jc w:val="center"/>
    </w:pPr>
    <w:rPr>
      <w:color w:val="F09415" w:themeColor="accent1"/>
      <w:sz w:val="24"/>
      <w:szCs w:val="24"/>
      <w14:textFill>
        <w14:solidFill>
          <w14:schemeClr w14:val="accent1"/>
        </w14:solidFill>
      </w14:textFill>
    </w:rPr>
  </w:style>
  <w:style w:type="character" w:customStyle="1" w:styleId="45">
    <w:name w:val="Intense Quote Char"/>
    <w:basedOn w:val="25"/>
    <w:link w:val="44"/>
    <w:qFormat/>
    <w:uiPriority w:val="30"/>
    <w:rPr>
      <w:color w:val="F09415" w:themeColor="accent1"/>
      <w:sz w:val="24"/>
      <w:szCs w:val="24"/>
      <w14:textFill>
        <w14:solidFill>
          <w14:schemeClr w14:val="accent1"/>
        </w14:solidFill>
      </w14:textFill>
    </w:rPr>
  </w:style>
  <w:style w:type="character" w:customStyle="1" w:styleId="46">
    <w:name w:val="Subtle Emphasis1"/>
    <w:qFormat/>
    <w:uiPriority w:val="19"/>
    <w:rPr>
      <w:i/>
      <w:iCs/>
      <w:color w:val="7B4A08" w:themeColor="accent1" w:themeShade="80"/>
    </w:rPr>
  </w:style>
  <w:style w:type="character" w:customStyle="1" w:styleId="47">
    <w:name w:val="Intense Emphasis1"/>
    <w:qFormat/>
    <w:uiPriority w:val="21"/>
    <w:rPr>
      <w:b/>
      <w:bCs/>
      <w:caps/>
      <w:color w:val="7B4A08" w:themeColor="accent1" w:themeShade="80"/>
      <w:spacing w:val="10"/>
    </w:rPr>
  </w:style>
  <w:style w:type="character" w:customStyle="1" w:styleId="48">
    <w:name w:val="Subtle Reference1"/>
    <w:qFormat/>
    <w:uiPriority w:val="31"/>
    <w:rPr>
      <w:b/>
      <w:bCs/>
      <w:color w:val="F09415" w:themeColor="accent1"/>
      <w14:textFill>
        <w14:solidFill>
          <w14:schemeClr w14:val="accent1"/>
        </w14:solidFill>
      </w14:textFill>
    </w:rPr>
  </w:style>
  <w:style w:type="character" w:customStyle="1" w:styleId="49">
    <w:name w:val="Intense Reference1"/>
    <w:qFormat/>
    <w:uiPriority w:val="32"/>
    <w:rPr>
      <w:b/>
      <w:bCs/>
      <w:i/>
      <w:iCs/>
      <w:caps/>
      <w:color w:val="F09415" w:themeColor="accent1"/>
      <w14:textFill>
        <w14:solidFill>
          <w14:schemeClr w14:val="accent1"/>
        </w14:solidFill>
      </w14:textFill>
    </w:rPr>
  </w:style>
  <w:style w:type="character" w:customStyle="1" w:styleId="50">
    <w:name w:val="Book Title1"/>
    <w:qFormat/>
    <w:uiPriority w:val="33"/>
    <w:rPr>
      <w:b/>
      <w:bCs/>
      <w:i/>
      <w:iCs/>
      <w:spacing w:val="0"/>
    </w:rPr>
  </w:style>
  <w:style w:type="paragraph" w:customStyle="1" w:styleId="51">
    <w:name w:val="TOC Heading1"/>
    <w:basedOn w:val="2"/>
    <w:next w:val="1"/>
    <w:semiHidden/>
    <w:unhideWhenUsed/>
    <w:qFormat/>
    <w:uiPriority w:val="39"/>
    <w:pPr>
      <w:outlineLvl w:val="9"/>
    </w:pPr>
  </w:style>
  <w:style w:type="character" w:customStyle="1" w:styleId="52">
    <w:name w:val="Header Char"/>
    <w:basedOn w:val="25"/>
    <w:link w:val="17"/>
    <w:qFormat/>
    <w:uiPriority w:val="99"/>
  </w:style>
  <w:style w:type="character" w:customStyle="1" w:styleId="53">
    <w:name w:val="Footer Char"/>
    <w:basedOn w:val="25"/>
    <w:link w:val="16"/>
    <w:qFormat/>
    <w:uiPriority w:val="99"/>
  </w:style>
  <w:style w:type="table" w:customStyle="1" w:styleId="54">
    <w:name w:val="格線表格 1 淺色 - 輔色 11"/>
    <w:basedOn w:val="23"/>
    <w:qFormat/>
    <w:uiPriority w:val="46"/>
    <w:tblPr>
      <w:tblBorders>
        <w:top w:val="single" w:color="F8D4A1" w:themeColor="accent1" w:themeTint="66" w:sz="4" w:space="0"/>
        <w:left w:val="single" w:color="F8D4A1" w:themeColor="accent1" w:themeTint="66" w:sz="4" w:space="0"/>
        <w:bottom w:val="single" w:color="F8D4A1" w:themeColor="accent1" w:themeTint="66" w:sz="4" w:space="0"/>
        <w:right w:val="single" w:color="F8D4A1" w:themeColor="accent1" w:themeTint="66" w:sz="4" w:space="0"/>
        <w:insideH w:val="single" w:color="F8D4A1" w:themeColor="accent1" w:themeTint="66" w:sz="4" w:space="0"/>
        <w:insideV w:val="single" w:color="F8D4A1" w:themeColor="accent1" w:themeTint="66" w:sz="4" w:space="0"/>
      </w:tblBorders>
    </w:tblPr>
    <w:tblStylePr w:type="firstRow">
      <w:rPr>
        <w:b/>
        <w:bCs/>
      </w:rPr>
      <w:tcPr>
        <w:tcBorders>
          <w:bottom w:val="single" w:color="F5BE72" w:themeColor="accent1" w:themeTint="99" w:sz="12" w:space="0"/>
        </w:tcBorders>
      </w:tcPr>
    </w:tblStylePr>
    <w:tblStylePr w:type="lastRow">
      <w:rPr>
        <w:b/>
        <w:bCs/>
      </w:rPr>
      <w:tcPr>
        <w:tcBorders>
          <w:top w:val="double" w:color="F5BE72" w:themeColor="accent1" w:themeTint="99" w:sz="2" w:space="0"/>
        </w:tcBorders>
      </w:tcPr>
    </w:tblStylePr>
    <w:tblStylePr w:type="firstCol">
      <w:rPr>
        <w:b/>
        <w:bCs/>
      </w:rPr>
    </w:tblStylePr>
    <w:tblStylePr w:type="lastCol">
      <w:rPr>
        <w:b/>
        <w:bCs/>
      </w:rPr>
    </w:tblStylePr>
  </w:style>
  <w:style w:type="table" w:customStyle="1" w:styleId="55">
    <w:name w:val="格線表格 1 淺色 - 輔色 61"/>
    <w:basedOn w:val="23"/>
    <w:qFormat/>
    <w:uiPriority w:val="46"/>
    <w:tblPr>
      <w:tblBorders>
        <w:top w:val="single" w:color="FCCBBD" w:themeColor="accent6" w:themeTint="66" w:sz="4" w:space="0"/>
        <w:left w:val="single" w:color="FCCBBD" w:themeColor="accent6" w:themeTint="66" w:sz="4" w:space="0"/>
        <w:bottom w:val="single" w:color="FCCBBD" w:themeColor="accent6" w:themeTint="66" w:sz="4" w:space="0"/>
        <w:right w:val="single" w:color="FCCBBD" w:themeColor="accent6" w:themeTint="66" w:sz="4" w:space="0"/>
        <w:insideH w:val="single" w:color="FCCBBD" w:themeColor="accent6" w:themeTint="66" w:sz="4" w:space="0"/>
        <w:insideV w:val="single" w:color="FCCBBD" w:themeColor="accent6" w:themeTint="66" w:sz="4" w:space="0"/>
      </w:tblBorders>
    </w:tblPr>
    <w:tblStylePr w:type="firstRow">
      <w:rPr>
        <w:b/>
        <w:bCs/>
      </w:rPr>
      <w:tcPr>
        <w:tcBorders>
          <w:bottom w:val="single" w:color="FBB19D" w:themeColor="accent6" w:themeTint="99" w:sz="12" w:space="0"/>
        </w:tcBorders>
      </w:tcPr>
    </w:tblStylePr>
    <w:tblStylePr w:type="lastRow">
      <w:rPr>
        <w:b/>
        <w:bCs/>
      </w:rPr>
      <w:tcPr>
        <w:tcBorders>
          <w:top w:val="double" w:color="FBB19D" w:themeColor="accent6" w:themeTint="99" w:sz="2" w:space="0"/>
        </w:tcBorders>
      </w:tcPr>
    </w:tblStylePr>
    <w:tblStylePr w:type="firstCol">
      <w:rPr>
        <w:b/>
        <w:bCs/>
      </w:rPr>
    </w:tblStylePr>
    <w:tblStylePr w:type="lastCol">
      <w:rPr>
        <w:b/>
        <w:bCs/>
      </w:rPr>
    </w:tblStylePr>
  </w:style>
  <w:style w:type="table" w:customStyle="1" w:styleId="56">
    <w:name w:val="格線表格 1 淺色 - 輔色 51"/>
    <w:basedOn w:val="23"/>
    <w:qFormat/>
    <w:uiPriority w:val="46"/>
    <w:tblPr>
      <w:tblBorders>
        <w:top w:val="single" w:color="ECCAFC" w:themeColor="accent5" w:themeTint="66" w:sz="4" w:space="0"/>
        <w:left w:val="single" w:color="ECCAFC" w:themeColor="accent5" w:themeTint="66" w:sz="4" w:space="0"/>
        <w:bottom w:val="single" w:color="ECCAFC" w:themeColor="accent5" w:themeTint="66" w:sz="4" w:space="0"/>
        <w:right w:val="single" w:color="ECCAFC" w:themeColor="accent5" w:themeTint="66" w:sz="4" w:space="0"/>
        <w:insideH w:val="single" w:color="ECCAFC" w:themeColor="accent5" w:themeTint="66" w:sz="4" w:space="0"/>
        <w:insideV w:val="single" w:color="ECCAFC" w:themeColor="accent5" w:themeTint="66" w:sz="4" w:space="0"/>
      </w:tblBorders>
    </w:tblPr>
    <w:tblStylePr w:type="firstRow">
      <w:rPr>
        <w:b/>
        <w:bCs/>
      </w:rPr>
      <w:tcPr>
        <w:tcBorders>
          <w:bottom w:val="single" w:color="E3B0FB" w:themeColor="accent5" w:themeTint="99" w:sz="12" w:space="0"/>
        </w:tcBorders>
      </w:tcPr>
    </w:tblStylePr>
    <w:tblStylePr w:type="lastRow">
      <w:rPr>
        <w:b/>
        <w:bCs/>
      </w:rPr>
      <w:tcPr>
        <w:tcBorders>
          <w:top w:val="double" w:color="E3B0FB" w:themeColor="accent5" w:themeTint="99" w:sz="2" w:space="0"/>
        </w:tcBorders>
      </w:tcPr>
    </w:tblStylePr>
    <w:tblStylePr w:type="firstCol">
      <w:rPr>
        <w:b/>
        <w:bCs/>
      </w:rPr>
    </w:tblStylePr>
    <w:tblStylePr w:type="lastCol">
      <w:rPr>
        <w:b/>
        <w:bCs/>
      </w:rPr>
    </w:tblStylePr>
  </w:style>
  <w:style w:type="table" w:customStyle="1" w:styleId="57">
    <w:name w:val="純表格 51"/>
    <w:basedOn w:val="23"/>
    <w:qFormat/>
    <w:uiPriority w:val="45"/>
    <w:tblStylePr w:type="firstRow">
      <w:rPr>
        <w:rFonts w:asciiTheme="majorHAnsi" w:hAnsiTheme="majorHAnsi" w:eastAsiaTheme="majorEastAsia" w:cstheme="majorBidi"/>
        <w:i/>
        <w:iCs/>
        <w:sz w:val="26"/>
      </w:rPr>
      <w:tcPr>
        <w:tcBorders>
          <w:bottom w:val="single" w:color="7E7E7E"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7E7E7E"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7E7E7E"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7E7E7E" w:themeColor="text1" w:themeTint="80" w:sz="4" w:space="0"/>
        </w:tcBorders>
        <w:shd w:val="clear" w:color="auto" w:fill="FFFFFF" w:themeFill="background1"/>
      </w:tcPr>
    </w:tblStylePr>
    <w:tblStylePr w:type="band1Vert">
      <w:tcPr>
        <w:shd w:val="clear" w:color="auto" w:fill="F1F1F1" w:themeFill="background1" w:themeFillShade="F2"/>
      </w:tcPr>
    </w:tblStylePr>
    <w:tblStylePr w:type="band1Horz">
      <w:tcPr>
        <w:shd w:val="clear" w:color="auto" w:fill="F1F1F1" w:themeFill="background1" w:themeFillShade="F2"/>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character" w:styleId="58">
    <w:name w:val="Placeholder Text"/>
    <w:basedOn w:val="25"/>
    <w:semiHidden/>
    <w:qFormat/>
    <w:uiPriority w:val="99"/>
    <w:rPr>
      <w:color w:val="808080"/>
    </w:rPr>
  </w:style>
  <w:style w:type="character" w:customStyle="1" w:styleId="59">
    <w:name w:val="Balloon Text Char"/>
    <w:basedOn w:val="25"/>
    <w:link w:val="15"/>
    <w:semiHidden/>
    <w:qFormat/>
    <w:uiPriority w:val="99"/>
    <w:rPr>
      <w:rFonts w:ascii="Lucida Grande" w:hAnsi="Lucida Grande" w:cs="Lucida Grande"/>
      <w:sz w:val="18"/>
      <w:szCs w:val="18"/>
    </w:rPr>
  </w:style>
  <w:style w:type="paragraph" w:styleId="60">
    <w:name w:val="List Paragraph"/>
    <w:basedOn w:val="1"/>
    <w:qFormat/>
    <w:uiPriority w:val="34"/>
    <w:pPr>
      <w:ind w:left="480" w:leftChars="200"/>
    </w:pPr>
  </w:style>
  <w:style w:type="character" w:customStyle="1" w:styleId="61">
    <w:name w:val="st"/>
    <w:basedOn w:val="25"/>
    <w:qFormat/>
    <w:uiPriority w:val="0"/>
  </w:style>
  <w:style w:type="table" w:customStyle="1" w:styleId="62">
    <w:name w:val="格線表格 4 - 輔色 11"/>
    <w:basedOn w:val="23"/>
    <w:qFormat/>
    <w:uiPriority w:val="49"/>
    <w:tblPr>
      <w:tblBorders>
        <w:top w:val="single" w:color="F5BE72" w:themeColor="accent1" w:themeTint="99" w:sz="4" w:space="0"/>
        <w:left w:val="single" w:color="F5BE72" w:themeColor="accent1" w:themeTint="99" w:sz="4" w:space="0"/>
        <w:bottom w:val="single" w:color="F5BE72" w:themeColor="accent1" w:themeTint="99" w:sz="4" w:space="0"/>
        <w:right w:val="single" w:color="F5BE72" w:themeColor="accent1" w:themeTint="99" w:sz="4" w:space="0"/>
        <w:insideH w:val="single" w:color="F5BE72" w:themeColor="accent1" w:themeTint="99" w:sz="4" w:space="0"/>
        <w:insideV w:val="single" w:color="F5BE72" w:themeColor="accent1" w:themeTint="99" w:sz="4" w:space="0"/>
      </w:tblBorders>
    </w:tblPr>
    <w:tblStylePr w:type="firstRow">
      <w:rPr>
        <w:b/>
        <w:bCs/>
        <w:color w:val="FFFFFF" w:themeColor="background1"/>
        <w14:textFill>
          <w14:solidFill>
            <w14:schemeClr w14:val="bg1"/>
          </w14:solidFill>
        </w14:textFill>
      </w:rPr>
      <w:tcPr>
        <w:tcBorders>
          <w:top w:val="single" w:color="F09415" w:themeColor="accent1" w:sz="4" w:space="0"/>
          <w:left w:val="single" w:color="F09415" w:themeColor="accent1" w:sz="4" w:space="0"/>
          <w:bottom w:val="single" w:color="F09415" w:themeColor="accent1" w:sz="4" w:space="0"/>
          <w:right w:val="single" w:color="F09415" w:themeColor="accent1" w:sz="4" w:space="0"/>
          <w:insideH w:val="nil"/>
          <w:insideV w:val="nil"/>
        </w:tcBorders>
        <w:shd w:val="clear" w:color="auto" w:fill="F09415" w:themeFill="accent1"/>
      </w:tcPr>
    </w:tblStylePr>
    <w:tblStylePr w:type="lastRow">
      <w:rPr>
        <w:b/>
        <w:bCs/>
      </w:rPr>
      <w:tcPr>
        <w:tcBorders>
          <w:top w:val="double" w:color="F09415" w:themeColor="accent1" w:sz="4" w:space="0"/>
        </w:tcBorders>
      </w:tcPr>
    </w:tblStylePr>
    <w:tblStylePr w:type="firstCol">
      <w:rPr>
        <w:b/>
        <w:bCs/>
      </w:rPr>
    </w:tblStylePr>
    <w:tblStylePr w:type="lastCol">
      <w:rPr>
        <w:b/>
        <w:bCs/>
      </w:rPr>
    </w:tblStylePr>
    <w:tblStylePr w:type="band1Vert">
      <w:tcPr>
        <w:shd w:val="clear" w:color="auto" w:fill="FBE9D0" w:themeFill="accent1" w:themeFillTint="33"/>
      </w:tcPr>
    </w:tblStylePr>
    <w:tblStylePr w:type="band1Horz">
      <w:tcPr>
        <w:shd w:val="clear" w:color="auto" w:fill="FBE9D0" w:themeFill="accent1" w:themeFillTint="33"/>
      </w:tcPr>
    </w:tblStylePr>
  </w:style>
  <w:style w:type="character" w:customStyle="1" w:styleId="63">
    <w:name w:val="apple-converted-space"/>
    <w:basedOn w:val="25"/>
    <w:qFormat/>
    <w:uiPriority w:val="0"/>
  </w:style>
  <w:style w:type="table" w:customStyle="1" w:styleId="64">
    <w:name w:val="格線表格 1 淺色 - 輔色 12"/>
    <w:basedOn w:val="23"/>
    <w:qFormat/>
    <w:uiPriority w:val="46"/>
    <w:tblPr>
      <w:tblBorders>
        <w:top w:val="single" w:color="F8D4A1" w:themeColor="accent1" w:themeTint="66" w:sz="4" w:space="0"/>
        <w:left w:val="single" w:color="F8D4A1" w:themeColor="accent1" w:themeTint="66" w:sz="4" w:space="0"/>
        <w:bottom w:val="single" w:color="F8D4A1" w:themeColor="accent1" w:themeTint="66" w:sz="4" w:space="0"/>
        <w:right w:val="single" w:color="F8D4A1" w:themeColor="accent1" w:themeTint="66" w:sz="4" w:space="0"/>
        <w:insideH w:val="single" w:color="F8D4A1" w:themeColor="accent1" w:themeTint="66" w:sz="4" w:space="0"/>
        <w:insideV w:val="single" w:color="F8D4A1" w:themeColor="accent1" w:themeTint="66" w:sz="4" w:space="0"/>
      </w:tblBorders>
    </w:tblPr>
    <w:tblStylePr w:type="firstRow">
      <w:rPr>
        <w:b/>
        <w:bCs/>
      </w:rPr>
      <w:tcPr>
        <w:tcBorders>
          <w:bottom w:val="single" w:color="F5BE72" w:themeColor="accent1" w:themeTint="99" w:sz="12" w:space="0"/>
        </w:tcBorders>
      </w:tcPr>
    </w:tblStylePr>
    <w:tblStylePr w:type="lastRow">
      <w:rPr>
        <w:b/>
        <w:bCs/>
      </w:rPr>
      <w:tcPr>
        <w:tcBorders>
          <w:top w:val="double" w:color="F5BE72" w:themeColor="accent1" w:themeTint="99" w:sz="2" w:space="0"/>
        </w:tcBorders>
      </w:tcPr>
    </w:tblStylePr>
    <w:tblStylePr w:type="firstCol">
      <w:rPr>
        <w:b/>
        <w:bCs/>
      </w:rPr>
    </w:tblStylePr>
    <w:tblStylePr w:type="lastCol">
      <w:rPr>
        <w:b/>
        <w:bCs/>
      </w:rPr>
    </w:tblStylePr>
  </w:style>
  <w:style w:type="character" w:customStyle="1" w:styleId="65">
    <w:name w:val="Salutation Char"/>
    <w:basedOn w:val="25"/>
    <w:link w:val="13"/>
    <w:qFormat/>
    <w:uiPriority w:val="99"/>
    <w:rPr>
      <w:rFonts w:ascii="PMingLiU" w:hAnsi="PMingLiU" w:eastAsia="PMingLiU" w:cs="PMingLiU"/>
      <w:b/>
      <w:color w:val="484848"/>
      <w:sz w:val="18"/>
      <w:szCs w:val="18"/>
    </w:rPr>
  </w:style>
  <w:style w:type="character" w:customStyle="1" w:styleId="66">
    <w:name w:val="Closing Char"/>
    <w:basedOn w:val="25"/>
    <w:link w:val="14"/>
    <w:qFormat/>
    <w:uiPriority w:val="99"/>
    <w:rPr>
      <w:rFonts w:ascii="PMingLiU" w:hAnsi="PMingLiU" w:eastAsia="PMingLiU" w:cs="PMingLiU"/>
      <w:b/>
      <w:color w:val="484848"/>
      <w:sz w:val="18"/>
      <w:szCs w:val="18"/>
    </w:rPr>
  </w:style>
  <w:style w:type="table" w:customStyle="1" w:styleId="67">
    <w:name w:val="清單表格 3 - 輔色 11"/>
    <w:basedOn w:val="23"/>
    <w:qFormat/>
    <w:uiPriority w:val="48"/>
    <w:tblPr>
      <w:tblBorders>
        <w:top w:val="single" w:color="F09415" w:themeColor="accent1" w:sz="4" w:space="0"/>
        <w:left w:val="single" w:color="F09415" w:themeColor="accent1" w:sz="4" w:space="0"/>
        <w:bottom w:val="single" w:color="F09415" w:themeColor="accent1" w:sz="4" w:space="0"/>
        <w:right w:val="single" w:color="F09415" w:themeColor="accent1" w:sz="4" w:space="0"/>
      </w:tblBorders>
    </w:tblPr>
    <w:tblStylePr w:type="firstRow">
      <w:rPr>
        <w:b/>
        <w:bCs/>
        <w:color w:val="FFFFFF" w:themeColor="background1"/>
        <w14:textFill>
          <w14:solidFill>
            <w14:schemeClr w14:val="bg1"/>
          </w14:solidFill>
        </w14:textFill>
      </w:rPr>
      <w:tcPr>
        <w:shd w:val="clear" w:color="auto" w:fill="F09415" w:themeFill="accent1"/>
      </w:tcPr>
    </w:tblStylePr>
    <w:tblStylePr w:type="lastRow">
      <w:rPr>
        <w:b/>
        <w:bCs/>
      </w:rPr>
      <w:tcPr>
        <w:tcBorders>
          <w:top w:val="double" w:color="F09415" w:themeColor="accent1" w:sz="4" w:space="0"/>
        </w:tcBorders>
        <w:shd w:val="clear" w:color="auto" w:fill="FFFFFF" w:themeFill="background1"/>
      </w:tcPr>
    </w:tblStylePr>
    <w:tblStylePr w:type="firstCol">
      <w:rPr>
        <w:b/>
        <w:bCs/>
      </w:rPr>
      <w:tcPr>
        <w:tcBorders>
          <w:right w:val="nil"/>
        </w:tcBorders>
        <w:shd w:val="clear" w:color="auto" w:fill="FFFFFF" w:themeFill="background1"/>
      </w:tcPr>
    </w:tblStylePr>
    <w:tblStylePr w:type="lastCol">
      <w:rPr>
        <w:b/>
        <w:bCs/>
      </w:rPr>
      <w:tcPr>
        <w:tcBorders>
          <w:left w:val="nil"/>
        </w:tcBorders>
        <w:shd w:val="clear" w:color="auto" w:fill="FFFFFF" w:themeFill="background1"/>
      </w:tcPr>
    </w:tblStylePr>
    <w:tblStylePr w:type="band1Vert">
      <w:tcPr>
        <w:tcBorders>
          <w:left w:val="single" w:color="F09415" w:themeColor="accent1" w:sz="4" w:space="0"/>
          <w:right w:val="single" w:color="F09415" w:themeColor="accent1" w:sz="4" w:space="0"/>
        </w:tcBorders>
      </w:tcPr>
    </w:tblStylePr>
    <w:tblStylePr w:type="band1Horz">
      <w:tcPr>
        <w:tcBorders>
          <w:top w:val="single" w:color="F09415" w:themeColor="accent1" w:sz="4" w:space="0"/>
          <w:bottom w:val="single" w:color="F09415" w:themeColor="accent1" w:sz="4" w:space="0"/>
          <w:insideH w:val="nil"/>
        </w:tcBorders>
      </w:tcPr>
    </w:tblStylePr>
    <w:tblStylePr w:type="neCell">
      <w:tcPr>
        <w:tcBorders>
          <w:left w:val="nil"/>
          <w:bottom w:val="nil"/>
        </w:tcBorders>
      </w:tcPr>
    </w:tblStylePr>
    <w:tblStylePr w:type="nwCell">
      <w:tcPr>
        <w:tcBorders>
          <w:bottom w:val="nil"/>
          <w:right w:val="nil"/>
        </w:tcBorders>
      </w:tcPr>
    </w:tblStylePr>
    <w:tblStylePr w:type="seCell">
      <w:tcPr>
        <w:tcBorders>
          <w:top w:val="double" w:color="F09415" w:themeColor="accent1" w:sz="4" w:space="0"/>
          <w:left w:val="nil"/>
        </w:tcBorders>
      </w:tcPr>
    </w:tblStylePr>
    <w:tblStylePr w:type="swCell">
      <w:tcPr>
        <w:tcBorders>
          <w:top w:val="double" w:color="F09415" w:themeColor="accent1" w:sz="4" w:space="0"/>
          <w:right w:val="nil"/>
        </w:tcBorders>
      </w:tcPr>
    </w:tblStylePr>
  </w:style>
  <w:style w:type="table" w:customStyle="1" w:styleId="68">
    <w:name w:val="清單表格 7 彩色 - 輔色 11"/>
    <w:basedOn w:val="23"/>
    <w:qFormat/>
    <w:uiPriority w:val="52"/>
    <w:rPr>
      <w:color w:val="B8700C" w:themeColor="accent1" w:themeShade="BF"/>
    </w:rPr>
    <w:tblStylePr w:type="firstRow">
      <w:rPr>
        <w:rFonts w:asciiTheme="majorHAnsi" w:hAnsiTheme="majorHAnsi" w:eastAsiaTheme="majorEastAsia" w:cstheme="majorBidi"/>
        <w:i/>
        <w:iCs/>
        <w:sz w:val="26"/>
      </w:rPr>
      <w:tcPr>
        <w:tcBorders>
          <w:bottom w:val="single" w:color="F09415" w:themeColor="accent1" w:sz="4" w:space="0"/>
        </w:tcBorders>
        <w:shd w:val="clear" w:color="auto" w:fill="FFFFFF" w:themeFill="background1"/>
      </w:tcPr>
    </w:tblStylePr>
    <w:tblStylePr w:type="lastRow">
      <w:rPr>
        <w:rFonts w:asciiTheme="majorHAnsi" w:hAnsiTheme="majorHAnsi" w:eastAsiaTheme="majorEastAsia" w:cstheme="majorBidi"/>
        <w:i/>
        <w:iCs/>
        <w:sz w:val="26"/>
      </w:rPr>
      <w:tcPr>
        <w:tcBorders>
          <w:top w:val="single" w:color="F09415" w:themeColor="accent1"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cPr>
        <w:tcBorders>
          <w:right w:val="single" w:color="F09415" w:themeColor="accent1" w:sz="4" w:space="0"/>
        </w:tcBorders>
        <w:shd w:val="clear" w:color="auto" w:fill="FFFFFF" w:themeFill="background1"/>
      </w:tcPr>
    </w:tblStylePr>
    <w:tblStylePr w:type="lastCol">
      <w:rPr>
        <w:rFonts w:asciiTheme="majorHAnsi" w:hAnsiTheme="majorHAnsi" w:eastAsiaTheme="majorEastAsia" w:cstheme="majorBidi"/>
        <w:i/>
        <w:iCs/>
        <w:sz w:val="26"/>
      </w:rPr>
      <w:tcPr>
        <w:tcBorders>
          <w:left w:val="single" w:color="F09415" w:themeColor="accent1" w:sz="4" w:space="0"/>
        </w:tcBorders>
        <w:shd w:val="clear" w:color="auto" w:fill="FFFFFF" w:themeFill="background1"/>
      </w:tcPr>
    </w:tblStylePr>
    <w:tblStylePr w:type="band1Vert">
      <w:tcPr>
        <w:shd w:val="clear" w:color="auto" w:fill="FBE9D0" w:themeFill="accent1" w:themeFillTint="33"/>
      </w:tcPr>
    </w:tblStylePr>
    <w:tblStylePr w:type="band1Horz">
      <w:tcPr>
        <w:shd w:val="clear" w:color="auto" w:fill="FBE9D0" w:themeFill="accent1" w:themeFillTint="33"/>
      </w:tcPr>
    </w:tblStylePr>
    <w:tblStylePr w:type="neCell">
      <w:tcPr>
        <w:tcBorders>
          <w:left w:val="nil"/>
        </w:tcBorders>
      </w:tcPr>
    </w:tblStylePr>
    <w:tblStylePr w:type="nwCell">
      <w:tcPr>
        <w:tcBorders>
          <w:right w:val="nil"/>
        </w:tcBorders>
      </w:tcPr>
    </w:tblStylePr>
    <w:tblStylePr w:type="seCell">
      <w:tcPr>
        <w:tcBorders>
          <w:left w:val="nil"/>
        </w:tcBorders>
      </w:tcPr>
    </w:tblStylePr>
    <w:tblStylePr w:type="swCell">
      <w:tcPr>
        <w:tcBorders>
          <w:right w:val="nil"/>
        </w:tcBorders>
      </w:tcPr>
    </w:tblStylePr>
  </w:style>
  <w:style w:type="table" w:customStyle="1" w:styleId="69">
    <w:name w:val="格線表格 3 - 輔色 11"/>
    <w:basedOn w:val="23"/>
    <w:qFormat/>
    <w:uiPriority w:val="48"/>
    <w:tblPr>
      <w:tblBorders>
        <w:top w:val="single" w:color="F5BE72" w:themeColor="accent1" w:themeTint="99" w:sz="4" w:space="0"/>
        <w:left w:val="single" w:color="F5BE72" w:themeColor="accent1" w:themeTint="99" w:sz="4" w:space="0"/>
        <w:bottom w:val="single" w:color="F5BE72" w:themeColor="accent1" w:themeTint="99" w:sz="4" w:space="0"/>
        <w:right w:val="single" w:color="F5BE72" w:themeColor="accent1" w:themeTint="99" w:sz="4" w:space="0"/>
        <w:insideH w:val="single" w:color="F5BE72" w:themeColor="accent1" w:themeTint="99" w:sz="4" w:space="0"/>
        <w:insideV w:val="single" w:color="F5BE72" w:themeColor="accen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FBE9D0" w:themeFill="accent1" w:themeFillTint="33"/>
      </w:tcPr>
    </w:tblStylePr>
    <w:tblStylePr w:type="band1Horz">
      <w:tcPr>
        <w:shd w:val="clear" w:color="auto" w:fill="FBE9D0" w:themeFill="accent1" w:themeFillTint="33"/>
      </w:tcPr>
    </w:tblStylePr>
    <w:tblStylePr w:type="neCell">
      <w:tcPr>
        <w:tcBorders>
          <w:bottom w:val="single" w:color="F5BE72" w:themeColor="accent1" w:themeTint="99" w:sz="4" w:space="0"/>
        </w:tcBorders>
      </w:tcPr>
    </w:tblStylePr>
    <w:tblStylePr w:type="nwCell">
      <w:tcPr>
        <w:tcBorders>
          <w:bottom w:val="single" w:color="F5BE72" w:themeColor="accent1" w:themeTint="99" w:sz="4" w:space="0"/>
        </w:tcBorders>
      </w:tcPr>
    </w:tblStylePr>
    <w:tblStylePr w:type="seCell">
      <w:tcPr>
        <w:tcBorders>
          <w:top w:val="single" w:color="F5BE72" w:themeColor="accent1" w:themeTint="99" w:sz="4" w:space="0"/>
        </w:tcBorders>
      </w:tcPr>
    </w:tblStylePr>
    <w:tblStylePr w:type="swCell">
      <w:tcPr>
        <w:tcBorders>
          <w:top w:val="single" w:color="F5BE72" w:themeColor="accent1" w:themeTint="99" w:sz="4" w:space="0"/>
        </w:tcBorders>
      </w:tcPr>
    </w:tblStylePr>
  </w:style>
  <w:style w:type="table" w:customStyle="1" w:styleId="70">
    <w:name w:val="格線表格 5 深色 - 輔色 11"/>
    <w:basedOn w:val="23"/>
    <w:qFormat/>
    <w:uiPriority w:val="50"/>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BE9D0" w:themeFill="accent1"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F09415" w:themeFill="accent1"/>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F09415" w:themeFill="accent1"/>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F09415" w:themeFill="accent1"/>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F09415" w:themeFill="accent1"/>
      </w:tcPr>
    </w:tblStylePr>
    <w:tblStylePr w:type="band1Vert">
      <w:tcPr>
        <w:shd w:val="clear" w:color="auto" w:fill="F8D4A1" w:themeFill="accent1" w:themeFillTint="66"/>
      </w:tcPr>
    </w:tblStylePr>
    <w:tblStylePr w:type="band1Horz">
      <w:tcPr>
        <w:shd w:val="clear" w:color="auto" w:fill="F8D4A1" w:themeFill="accent1" w:themeFillTint="66"/>
      </w:tcPr>
    </w:tblStylePr>
  </w:style>
  <w:style w:type="table" w:customStyle="1" w:styleId="71">
    <w:name w:val="格線表格 4 - 輔色 61"/>
    <w:basedOn w:val="23"/>
    <w:qFormat/>
    <w:uiPriority w:val="49"/>
    <w:tblPr>
      <w:tblBorders>
        <w:top w:val="single" w:color="FBB19D" w:themeColor="accent6" w:themeTint="99" w:sz="4" w:space="0"/>
        <w:left w:val="single" w:color="FBB19D" w:themeColor="accent6" w:themeTint="99" w:sz="4" w:space="0"/>
        <w:bottom w:val="single" w:color="FBB19D" w:themeColor="accent6" w:themeTint="99" w:sz="4" w:space="0"/>
        <w:right w:val="single" w:color="FBB19D" w:themeColor="accent6" w:themeTint="99" w:sz="4" w:space="0"/>
        <w:insideH w:val="single" w:color="FBB19D" w:themeColor="accent6" w:themeTint="99" w:sz="4" w:space="0"/>
        <w:insideV w:val="single" w:color="FBB19D" w:themeColor="accent6" w:themeTint="99" w:sz="4" w:space="0"/>
      </w:tblBorders>
    </w:tblPr>
    <w:tblStylePr w:type="firstRow">
      <w:rPr>
        <w:b/>
        <w:bCs/>
        <w:color w:val="FFFFFF" w:themeColor="background1"/>
        <w14:textFill>
          <w14:solidFill>
            <w14:schemeClr w14:val="bg1"/>
          </w14:solidFill>
        </w14:textFill>
      </w:rPr>
      <w:tcPr>
        <w:tcBorders>
          <w:top w:val="single" w:color="FA7E5C" w:themeColor="accent6" w:sz="4" w:space="0"/>
          <w:left w:val="single" w:color="FA7E5C" w:themeColor="accent6" w:sz="4" w:space="0"/>
          <w:bottom w:val="single" w:color="FA7E5C" w:themeColor="accent6" w:sz="4" w:space="0"/>
          <w:right w:val="single" w:color="FA7E5C" w:themeColor="accent6" w:sz="4" w:space="0"/>
          <w:insideH w:val="nil"/>
          <w:insideV w:val="nil"/>
        </w:tcBorders>
        <w:shd w:val="clear" w:color="auto" w:fill="FA7E5C" w:themeFill="accent6"/>
      </w:tcPr>
    </w:tblStylePr>
    <w:tblStylePr w:type="lastRow">
      <w:rPr>
        <w:b/>
        <w:bCs/>
      </w:rPr>
      <w:tcPr>
        <w:tcBorders>
          <w:top w:val="double" w:color="FA7E5C" w:themeColor="accent6" w:sz="4" w:space="0"/>
        </w:tcBorders>
      </w:tcPr>
    </w:tblStylePr>
    <w:tblStylePr w:type="firstCol">
      <w:rPr>
        <w:b/>
        <w:bCs/>
      </w:rPr>
    </w:tblStylePr>
    <w:tblStylePr w:type="lastCol">
      <w:rPr>
        <w:b/>
        <w:bCs/>
      </w:rPr>
    </w:tblStylePr>
    <w:tblStylePr w:type="band1Vert">
      <w:tcPr>
        <w:shd w:val="clear" w:color="auto" w:fill="FDE5DE" w:themeFill="accent6" w:themeFillTint="33"/>
      </w:tcPr>
    </w:tblStylePr>
    <w:tblStylePr w:type="band1Horz">
      <w:tcPr>
        <w:shd w:val="clear" w:color="auto" w:fill="FDE5DE" w:themeFill="accent6" w:themeFillTint="33"/>
      </w:tcPr>
    </w:tblStylePr>
  </w:style>
  <w:style w:type="character" w:customStyle="1" w:styleId="72">
    <w:name w:val="content1"/>
    <w:basedOn w:val="25"/>
    <w:qFormat/>
    <w:uiPriority w:val="0"/>
    <w:rPr>
      <w:rFonts w:hint="default" w:ascii="Arial" w:hAnsi="Arial" w:cs="Arial"/>
      <w:color w:val="000000"/>
      <w:sz w:val="21"/>
      <w:szCs w:val="21"/>
      <w:u w:val="none"/>
    </w:rPr>
  </w:style>
  <w:style w:type="character" w:customStyle="1" w:styleId="73">
    <w:name w:val="q_stock_code_blue1"/>
    <w:basedOn w:val="25"/>
    <w:qFormat/>
    <w:uiPriority w:val="0"/>
    <w:rPr>
      <w:rFonts w:hint="default" w:ascii="Helvetica" w:hAnsi="Helvetica" w:cs="Helvetica"/>
      <w:color w:val="003366"/>
      <w:sz w:val="17"/>
      <w:szCs w:val="17"/>
      <w:u w:val="none"/>
    </w:rPr>
  </w:style>
  <w:style w:type="table" w:customStyle="1" w:styleId="74">
    <w:name w:val="格線表格 4 - 輔色 21"/>
    <w:basedOn w:val="23"/>
    <w:qFormat/>
    <w:uiPriority w:val="49"/>
    <w:rPr>
      <w:kern w:val="2"/>
      <w:sz w:val="24"/>
      <w:szCs w:val="22"/>
    </w:rPr>
    <w:tblPr>
      <w:tblBorders>
        <w:top w:val="single" w:color="D9D2A6" w:themeColor="accent2" w:themeTint="99" w:sz="4" w:space="0"/>
        <w:left w:val="single" w:color="D9D2A6" w:themeColor="accent2" w:themeTint="99" w:sz="4" w:space="0"/>
        <w:bottom w:val="single" w:color="D9D2A6" w:themeColor="accent2" w:themeTint="99" w:sz="4" w:space="0"/>
        <w:right w:val="single" w:color="D9D2A6" w:themeColor="accent2" w:themeTint="99" w:sz="4" w:space="0"/>
        <w:insideH w:val="single" w:color="D9D2A6" w:themeColor="accent2" w:themeTint="99" w:sz="4" w:space="0"/>
        <w:insideV w:val="single" w:color="D9D2A6" w:themeColor="accent2" w:themeTint="99" w:sz="4" w:space="0"/>
      </w:tblBorders>
    </w:tblPr>
    <w:tblStylePr w:type="firstRow">
      <w:rPr>
        <w:b/>
        <w:bCs/>
        <w:color w:val="FFFFFF" w:themeColor="background1"/>
        <w14:textFill>
          <w14:solidFill>
            <w14:schemeClr w14:val="bg1"/>
          </w14:solidFill>
        </w14:textFill>
      </w:rPr>
      <w:tcPr>
        <w:tcBorders>
          <w:top w:val="single" w:color="C1B56B" w:themeColor="accent2" w:sz="4" w:space="0"/>
          <w:left w:val="single" w:color="C1B56B" w:themeColor="accent2" w:sz="4" w:space="0"/>
          <w:bottom w:val="single" w:color="C1B56B" w:themeColor="accent2" w:sz="4" w:space="0"/>
          <w:right w:val="single" w:color="C1B56B" w:themeColor="accent2" w:sz="4" w:space="0"/>
          <w:insideH w:val="nil"/>
          <w:insideV w:val="nil"/>
        </w:tcBorders>
        <w:shd w:val="clear" w:color="auto" w:fill="C1B56B" w:themeFill="accent2"/>
      </w:tcPr>
    </w:tblStylePr>
    <w:tblStylePr w:type="lastRow">
      <w:rPr>
        <w:b/>
        <w:bCs/>
      </w:rPr>
      <w:tcPr>
        <w:tcBorders>
          <w:top w:val="double" w:color="C1B56B" w:themeColor="accent2" w:sz="4" w:space="0"/>
        </w:tcBorders>
      </w:tcPr>
    </w:tblStylePr>
    <w:tblStylePr w:type="firstCol">
      <w:rPr>
        <w:b/>
        <w:bCs/>
      </w:rPr>
    </w:tblStylePr>
    <w:tblStylePr w:type="lastCol">
      <w:rPr>
        <w:b/>
        <w:bCs/>
      </w:rPr>
    </w:tblStylePr>
    <w:tblStylePr w:type="band1Vert">
      <w:tcPr>
        <w:shd w:val="clear" w:color="auto" w:fill="F2F0E1" w:themeFill="accent2" w:themeFillTint="33"/>
      </w:tcPr>
    </w:tblStylePr>
    <w:tblStylePr w:type="band1Horz">
      <w:tcPr>
        <w:shd w:val="clear" w:color="auto" w:fill="F2F0E1" w:themeFill="accent2" w:themeFillTint="33"/>
      </w:tcPr>
    </w:tblStylePr>
  </w:style>
  <w:style w:type="table" w:customStyle="1" w:styleId="75">
    <w:name w:val="格線表格 5 深色 - 輔色 21"/>
    <w:basedOn w:val="23"/>
    <w:qFormat/>
    <w:uiPriority w:val="50"/>
    <w:rPr>
      <w:kern w:val="2"/>
      <w:sz w:val="24"/>
      <w:szCs w:val="22"/>
    </w:rPr>
    <w:tblPr>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Pr>
    <w:tcPr>
      <w:shd w:val="clear" w:color="auto" w:fill="F2F0E1" w:themeFill="accent2" w:themeFillTint="33"/>
    </w:tcPr>
    <w:tblStylePr w:type="firstRow">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right w:val="single" w:color="FFFFFF" w:themeColor="background1" w:sz="4" w:space="0"/>
          <w:insideH w:val="nil"/>
          <w:insideV w:val="nil"/>
        </w:tcBorders>
        <w:shd w:val="clear" w:color="auto" w:fill="C1B56B" w:themeFill="accent2"/>
      </w:tcPr>
    </w:tblStylePr>
    <w:tblStylePr w:type="lastRow">
      <w:rPr>
        <w:b/>
        <w:bCs/>
        <w:color w:val="FFFFFF" w:themeColor="background1"/>
        <w14:textFill>
          <w14:solidFill>
            <w14:schemeClr w14:val="bg1"/>
          </w14:solidFill>
        </w14:textFill>
      </w:rPr>
      <w:tcPr>
        <w:tcBorders>
          <w:left w:val="single" w:color="FFFFFF" w:themeColor="background1" w:sz="4" w:space="0"/>
          <w:bottom w:val="single" w:color="FFFFFF" w:themeColor="background1" w:sz="4" w:space="0"/>
          <w:right w:val="single" w:color="FFFFFF" w:themeColor="background1" w:sz="4" w:space="0"/>
          <w:insideH w:val="nil"/>
          <w:insideV w:val="nil"/>
        </w:tcBorders>
        <w:shd w:val="clear" w:color="auto" w:fill="C1B56B" w:themeFill="accent2"/>
      </w:tcPr>
    </w:tblStylePr>
    <w:tblStylePr w:type="firstCol">
      <w:rPr>
        <w:b/>
        <w:bCs/>
        <w:color w:val="FFFFFF" w:themeColor="background1"/>
        <w14:textFill>
          <w14:solidFill>
            <w14:schemeClr w14:val="bg1"/>
          </w14:solidFill>
        </w14:textFill>
      </w:rPr>
      <w:tcPr>
        <w:tcBorders>
          <w:top w:val="single" w:color="FFFFFF" w:themeColor="background1" w:sz="4" w:space="0"/>
          <w:left w:val="single" w:color="FFFFFF" w:themeColor="background1" w:sz="4" w:space="0"/>
          <w:bottom w:val="single" w:color="FFFFFF" w:themeColor="background1" w:sz="4" w:space="0"/>
          <w:insideV w:val="nil"/>
        </w:tcBorders>
        <w:shd w:val="clear" w:color="auto" w:fill="C1B56B" w:themeFill="accent2"/>
      </w:tcPr>
    </w:tblStylePr>
    <w:tblStylePr w:type="lastCol">
      <w:rPr>
        <w:b/>
        <w:bCs/>
        <w:color w:val="FFFFFF" w:themeColor="background1"/>
        <w14:textFill>
          <w14:solidFill>
            <w14:schemeClr w14:val="bg1"/>
          </w14:solidFill>
        </w14:textFill>
      </w:rPr>
      <w:tcPr>
        <w:tcBorders>
          <w:top w:val="single" w:color="FFFFFF" w:themeColor="background1" w:sz="4" w:space="0"/>
          <w:bottom w:val="single" w:color="FFFFFF" w:themeColor="background1" w:sz="4" w:space="0"/>
          <w:right w:val="single" w:color="FFFFFF" w:themeColor="background1" w:sz="4" w:space="0"/>
          <w:insideV w:val="nil"/>
        </w:tcBorders>
        <w:shd w:val="clear" w:color="auto" w:fill="C1B56B" w:themeFill="accent2"/>
      </w:tcPr>
    </w:tblStylePr>
    <w:tblStylePr w:type="band1Vert">
      <w:tcPr>
        <w:shd w:val="clear" w:color="auto" w:fill="E6E1C3" w:themeFill="accent2" w:themeFillTint="66"/>
      </w:tcPr>
    </w:tblStylePr>
    <w:tblStylePr w:type="band1Horz">
      <w:tcPr>
        <w:shd w:val="clear" w:color="auto" w:fill="E6E1C3" w:themeFill="accent2" w:themeFillTint="66"/>
      </w:tcPr>
    </w:tblStylePr>
  </w:style>
  <w:style w:type="table" w:customStyle="1" w:styleId="76">
    <w:name w:val="清單表格 2 - 輔色 11"/>
    <w:basedOn w:val="23"/>
    <w:qFormat/>
    <w:uiPriority w:val="47"/>
    <w:tblPr>
      <w:tblBorders>
        <w:top w:val="single" w:color="F5BE72" w:themeColor="accent1" w:themeTint="99" w:sz="4" w:space="0"/>
        <w:bottom w:val="single" w:color="F5BE72" w:themeColor="accent1" w:themeTint="99" w:sz="4" w:space="0"/>
        <w:insideH w:val="single" w:color="F5BE72" w:themeColor="accent1" w:themeTint="99" w:sz="4" w:space="0"/>
      </w:tblBorders>
    </w:tblPr>
    <w:tblStylePr w:type="firstRow">
      <w:rPr>
        <w:b/>
        <w:bCs/>
      </w:rPr>
    </w:tblStylePr>
    <w:tblStylePr w:type="lastRow">
      <w:rPr>
        <w:b/>
        <w:bCs/>
      </w:rPr>
    </w:tblStylePr>
    <w:tblStylePr w:type="firstCol">
      <w:rPr>
        <w:b/>
        <w:bCs/>
      </w:rPr>
    </w:tblStylePr>
    <w:tblStylePr w:type="lastCol">
      <w:rPr>
        <w:b/>
        <w:bCs/>
      </w:rPr>
    </w:tblStylePr>
    <w:tblStylePr w:type="band1Vert">
      <w:tcPr>
        <w:shd w:val="clear" w:color="auto" w:fill="FBE9D0" w:themeFill="accent1" w:themeFillTint="33"/>
      </w:tcPr>
    </w:tblStylePr>
    <w:tblStylePr w:type="band1Horz">
      <w:tcPr>
        <w:shd w:val="clear" w:color="auto" w:fill="FBE9D0" w:themeFill="accent1" w:themeFillTint="33"/>
      </w:tcPr>
    </w:tblStylePr>
  </w:style>
  <w:style w:type="table" w:customStyle="1" w:styleId="77">
    <w:name w:val="清單表格 4 - 輔色 11"/>
    <w:basedOn w:val="23"/>
    <w:qFormat/>
    <w:uiPriority w:val="49"/>
    <w:tblPr>
      <w:tblBorders>
        <w:top w:val="single" w:color="F5BE72" w:themeColor="accent1" w:themeTint="99" w:sz="4" w:space="0"/>
        <w:left w:val="single" w:color="F5BE72" w:themeColor="accent1" w:themeTint="99" w:sz="4" w:space="0"/>
        <w:bottom w:val="single" w:color="F5BE72" w:themeColor="accent1" w:themeTint="99" w:sz="4" w:space="0"/>
        <w:right w:val="single" w:color="F5BE72" w:themeColor="accent1" w:themeTint="99" w:sz="4" w:space="0"/>
        <w:insideH w:val="single" w:color="F5BE72" w:themeColor="accent1" w:themeTint="99" w:sz="4" w:space="0"/>
      </w:tblBorders>
    </w:tblPr>
    <w:tblStylePr w:type="firstRow">
      <w:rPr>
        <w:b/>
        <w:bCs/>
        <w:color w:val="FFFFFF" w:themeColor="background1"/>
        <w14:textFill>
          <w14:solidFill>
            <w14:schemeClr w14:val="bg1"/>
          </w14:solidFill>
        </w14:textFill>
      </w:rPr>
      <w:tcPr>
        <w:tcBorders>
          <w:top w:val="single" w:color="F09415" w:themeColor="accent1" w:sz="4" w:space="0"/>
          <w:left w:val="single" w:color="F09415" w:themeColor="accent1" w:sz="4" w:space="0"/>
          <w:bottom w:val="single" w:color="F09415" w:themeColor="accent1" w:sz="4" w:space="0"/>
          <w:right w:val="single" w:color="F09415" w:themeColor="accent1" w:sz="4" w:space="0"/>
          <w:insideH w:val="nil"/>
        </w:tcBorders>
        <w:shd w:val="clear" w:color="auto" w:fill="F09415" w:themeFill="accent1"/>
      </w:tcPr>
    </w:tblStylePr>
    <w:tblStylePr w:type="lastRow">
      <w:rPr>
        <w:b/>
        <w:bCs/>
      </w:rPr>
      <w:tcPr>
        <w:tcBorders>
          <w:top w:val="double" w:color="F5BE72" w:themeColor="accent1" w:themeTint="99" w:sz="4" w:space="0"/>
        </w:tcBorders>
      </w:tcPr>
    </w:tblStylePr>
    <w:tblStylePr w:type="firstCol">
      <w:rPr>
        <w:b/>
        <w:bCs/>
      </w:rPr>
    </w:tblStylePr>
    <w:tblStylePr w:type="lastCol">
      <w:rPr>
        <w:b/>
        <w:bCs/>
      </w:rPr>
    </w:tblStylePr>
    <w:tblStylePr w:type="band1Vert">
      <w:tcPr>
        <w:shd w:val="clear" w:color="auto" w:fill="FBE9D0" w:themeFill="accent1" w:themeFillTint="33"/>
      </w:tcPr>
    </w:tblStylePr>
    <w:tblStylePr w:type="band1Horz">
      <w:tcPr>
        <w:shd w:val="clear" w:color="auto" w:fill="FBE9D0" w:themeFill="accent1" w:themeFillTint="33"/>
      </w:tcPr>
    </w:tblStylePr>
  </w:style>
  <w:style w:type="table" w:customStyle="1" w:styleId="78">
    <w:name w:val="Grid Table 31"/>
    <w:basedOn w:val="23"/>
    <w:qFormat/>
    <w:uiPriority w:val="48"/>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top w:val="nil"/>
          <w:left w:val="nil"/>
          <w:right w:val="nil"/>
          <w:insideH w:val="nil"/>
          <w:insideV w:val="nil"/>
        </w:tcBorders>
        <w:shd w:val="clear" w:color="auto" w:fill="FFFFFF" w:themeFill="background1"/>
      </w:tcPr>
    </w:tblStylePr>
    <w:tblStylePr w:type="lastRow">
      <w:rPr>
        <w:b/>
        <w:bCs/>
      </w:rPr>
      <w:tcPr>
        <w:tcBorders>
          <w:left w:val="nil"/>
          <w:bottom w:val="nil"/>
          <w:right w:val="nil"/>
          <w:insideH w:val="nil"/>
          <w:insideV w:val="nil"/>
        </w:tcBorders>
        <w:shd w:val="clear" w:color="auto" w:fill="FFFFFF" w:themeFill="background1"/>
      </w:tcPr>
    </w:tblStylePr>
    <w:tblStylePr w:type="firstCol">
      <w:pPr>
        <w:jc w:val="right"/>
      </w:pPr>
      <w:rPr>
        <w:i/>
        <w:iCs/>
      </w:rPr>
      <w:tcPr>
        <w:tcBorders>
          <w:top w:val="nil"/>
          <w:left w:val="nil"/>
          <w:bottom w:val="nil"/>
          <w:insideH w:val="nil"/>
          <w:insideV w:val="nil"/>
        </w:tcBorders>
        <w:shd w:val="clear" w:color="auto" w:fill="FFFFFF" w:themeFill="background1"/>
      </w:tcPr>
    </w:tblStylePr>
    <w:tblStylePr w:type="lastCol">
      <w:rPr>
        <w:i/>
        <w:iCs/>
      </w:rPr>
      <w:tcPr>
        <w:tcBorders>
          <w:top w:val="nil"/>
          <w:bottom w:val="nil"/>
          <w:right w:val="nil"/>
          <w:insideH w:val="nil"/>
          <w:insideV w:val="nil"/>
        </w:tcBorders>
        <w:shd w:val="clear" w:color="auto" w:fill="FFFFFF" w:themeFill="background1"/>
      </w:tcPr>
    </w:tblStylePr>
    <w:tblStylePr w:type="band1Vert">
      <w:tcPr>
        <w:shd w:val="clear" w:color="auto" w:fill="CCCCCC" w:themeFill="text1" w:themeFillTint="33"/>
      </w:tcPr>
    </w:tblStylePr>
    <w:tblStylePr w:type="band1Horz">
      <w:tcPr>
        <w:shd w:val="clear" w:color="auto" w:fill="CCCCCC" w:themeFill="text1" w:themeFillTint="33"/>
      </w:tcPr>
    </w:tblStylePr>
    <w:tblStylePr w:type="neCell">
      <w:tcPr>
        <w:tcBorders>
          <w:bottom w:val="single" w:color="666666" w:themeColor="text1" w:themeTint="99" w:sz="4" w:space="0"/>
        </w:tcBorders>
      </w:tcPr>
    </w:tblStylePr>
    <w:tblStylePr w:type="nwCell">
      <w:tcPr>
        <w:tcBorders>
          <w:bottom w:val="single" w:color="666666" w:themeColor="text1" w:themeTint="99" w:sz="4" w:space="0"/>
        </w:tcBorders>
      </w:tcPr>
    </w:tblStylePr>
    <w:tblStylePr w:type="seCell">
      <w:tcPr>
        <w:tcBorders>
          <w:top w:val="single" w:color="666666" w:themeColor="text1" w:themeTint="99" w:sz="4" w:space="0"/>
        </w:tcBorders>
      </w:tcPr>
    </w:tblStylePr>
    <w:tblStylePr w:type="swCell">
      <w:tcPr>
        <w:tcBorders>
          <w:top w:val="single" w:color="666666" w:themeColor="text1" w:themeTint="99" w:sz="4" w:space="0"/>
        </w:tcBorders>
      </w:tcPr>
    </w:tblStylePr>
  </w:style>
  <w:style w:type="table" w:customStyle="1" w:styleId="79">
    <w:name w:val="Grid Table 21"/>
    <w:basedOn w:val="23"/>
    <w:qFormat/>
    <w:uiPriority w:val="47"/>
    <w:tblPr>
      <w:tblBorders>
        <w:top w:val="single" w:color="666666" w:themeColor="text1" w:themeTint="99" w:sz="2" w:space="0"/>
        <w:bottom w:val="single" w:color="666666" w:themeColor="text1" w:themeTint="99" w:sz="2" w:space="0"/>
        <w:insideH w:val="single" w:color="666666" w:themeColor="text1" w:themeTint="99" w:sz="2" w:space="0"/>
        <w:insideV w:val="single" w:color="666666" w:themeColor="text1" w:themeTint="99" w:sz="2" w:space="0"/>
      </w:tblBorders>
    </w:tblPr>
    <w:tblStylePr w:type="firstRow">
      <w:rPr>
        <w:b/>
        <w:bCs/>
      </w:rPr>
      <w:tcPr>
        <w:tcBorders>
          <w:top w:val="nil"/>
          <w:bottom w:val="single" w:color="666666" w:themeColor="text1" w:themeTint="99" w:sz="12" w:space="0"/>
          <w:insideH w:val="nil"/>
          <w:insideV w:val="nil"/>
        </w:tcBorders>
        <w:shd w:val="clear" w:color="auto" w:fill="FFFFFF" w:themeFill="background1"/>
      </w:tcPr>
    </w:tblStylePr>
    <w:tblStylePr w:type="lastRow">
      <w:rPr>
        <w:b/>
        <w:bCs/>
      </w:rPr>
      <w:tcPr>
        <w:tcBorders>
          <w:top w:val="double" w:color="666666" w:themeColor="text1" w:themeTint="99" w:sz="2" w:space="0"/>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0">
    <w:name w:val="Grid Table 6 Colorful1"/>
    <w:basedOn w:val="23"/>
    <w:qFormat/>
    <w:uiPriority w:val="51"/>
    <w:rPr>
      <w:color w:val="000000" w:themeColor="text1"/>
      <w14:textFill>
        <w14:solidFill>
          <w14:schemeClr w14:val="tx1"/>
        </w14:solidFill>
      </w14:textFill>
    </w:rPr>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rPr>
      <w:tcPr>
        <w:tcBorders>
          <w:bottom w:val="single" w:color="666666" w:themeColor="text1" w:themeTint="99" w:sz="12" w:space="0"/>
        </w:tcBorders>
      </w:tcPr>
    </w:tblStylePr>
    <w:tblStylePr w:type="lastRow">
      <w:rPr>
        <w:b/>
        <w:bCs/>
      </w:rPr>
      <w:tcPr>
        <w:tcBorders>
          <w:top w:val="double" w:color="666666" w:themeColor="text1" w:themeTint="99"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table" w:customStyle="1" w:styleId="81">
    <w:name w:val="Grid Table 41"/>
    <w:basedOn w:val="23"/>
    <w:qFormat/>
    <w:uiPriority w:val="49"/>
    <w:tblPr>
      <w:tblBorders>
        <w:top w:val="single" w:color="666666" w:themeColor="text1" w:themeTint="99" w:sz="4" w:space="0"/>
        <w:left w:val="single" w:color="666666" w:themeColor="text1" w:themeTint="99" w:sz="4" w:space="0"/>
        <w:bottom w:val="single" w:color="666666" w:themeColor="text1" w:themeTint="99" w:sz="4" w:space="0"/>
        <w:right w:val="single" w:color="666666" w:themeColor="text1" w:themeTint="99" w:sz="4" w:space="0"/>
        <w:insideH w:val="single" w:color="666666" w:themeColor="text1" w:themeTint="99" w:sz="4" w:space="0"/>
        <w:insideV w:val="single" w:color="666666" w:themeColor="text1" w:themeTint="99" w:sz="4" w:space="0"/>
      </w:tblBorders>
    </w:tblPr>
    <w:tblStylePr w:type="firstRow">
      <w:rPr>
        <w:b/>
        <w:bCs/>
        <w:color w:val="FFFFFF" w:themeColor="background1"/>
        <w14:textFill>
          <w14:solidFill>
            <w14:schemeClr w14:val="bg1"/>
          </w14:solidFill>
        </w14:textFill>
      </w:rPr>
      <w:tcPr>
        <w:tcBorders>
          <w:top w:val="single" w:color="000000" w:themeColor="text1" w:sz="4" w:space="0"/>
          <w:left w:val="single" w:color="000000" w:themeColor="text1" w:sz="4" w:space="0"/>
          <w:bottom w:val="single" w:color="000000" w:themeColor="text1" w:sz="4" w:space="0"/>
          <w:right w:val="single" w:color="000000" w:themeColor="text1" w:sz="4" w:space="0"/>
          <w:insideH w:val="nil"/>
          <w:insideV w:val="nil"/>
        </w:tcBorders>
        <w:shd w:val="clear" w:color="auto" w:fill="000000" w:themeFill="text1"/>
      </w:tcPr>
    </w:tblStylePr>
    <w:tblStylePr w:type="lastRow">
      <w:rPr>
        <w:b/>
        <w:bCs/>
      </w:rPr>
      <w:tcPr>
        <w:tcBorders>
          <w:top w:val="double" w:color="000000" w:themeColor="text1" w:sz="4" w:space="0"/>
        </w:tcBorders>
      </w:tcPr>
    </w:tblStylePr>
    <w:tblStylePr w:type="firstCol">
      <w:rPr>
        <w:b/>
        <w:bCs/>
      </w:rPr>
    </w:tblStylePr>
    <w:tblStylePr w:type="lastCol">
      <w:rPr>
        <w:b/>
        <w:bCs/>
      </w:rPr>
    </w:tblStylePr>
    <w:tblStylePr w:type="band1Vert">
      <w:tcPr>
        <w:shd w:val="clear" w:color="auto" w:fill="CCCCCC" w:themeFill="text1" w:themeFillTint="33"/>
      </w:tcPr>
    </w:tblStylePr>
    <w:tblStylePr w:type="band1Horz">
      <w:tcPr>
        <w:shd w:val="clear" w:color="auto" w:fill="CCCCCC" w:themeFill="text1" w:themeFillTint="33"/>
      </w:tcPr>
    </w:tblStylePr>
  </w:style>
  <w:style w:type="character" w:customStyle="1" w:styleId="82">
    <w:name w:val="Comment Text Char"/>
    <w:basedOn w:val="25"/>
    <w:link w:val="12"/>
    <w:qFormat/>
    <w:uiPriority w:val="0"/>
  </w:style>
  <w:style w:type="character" w:customStyle="1" w:styleId="83">
    <w:name w:val="Comment Subject Char"/>
    <w:basedOn w:val="82"/>
    <w:link w:val="22"/>
    <w:semiHidden/>
    <w:qFormat/>
    <w:uiPriority w:val="99"/>
    <w:rPr>
      <w:b/>
      <w:bCs/>
    </w:rPr>
  </w:style>
  <w:style w:type="paragraph" w:customStyle="1" w:styleId="84">
    <w:name w:val="Revision1"/>
    <w:hidden/>
    <w:semiHidden/>
    <w:qFormat/>
    <w:uiPriority w:val="99"/>
    <w:rPr>
      <w:rFonts w:asciiTheme="minorHAnsi" w:hAnsiTheme="minorHAnsi" w:eastAsiaTheme="minorEastAsia" w:cstheme="minorBidi"/>
      <w:lang w:val="en-US" w:eastAsia="zh-TW" w:bidi="ar-SA"/>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柏林">
  <a:themeElements>
    <a:clrScheme name="柏林">
      <a:dk1>
        <a:sysClr val="windowText" lastClr="000000"/>
      </a:dk1>
      <a:lt1>
        <a:sysClr val="window" lastClr="FFFFFF"/>
      </a:lt1>
      <a:dk2>
        <a:srgbClr val="9D360E"/>
      </a:dk2>
      <a:lt2>
        <a:srgbClr val="E7E6E6"/>
      </a:lt2>
      <a:accent1>
        <a:srgbClr val="F09415"/>
      </a:accent1>
      <a:accent2>
        <a:srgbClr val="C1B56B"/>
      </a:accent2>
      <a:accent3>
        <a:srgbClr val="4BAF73"/>
      </a:accent3>
      <a:accent4>
        <a:srgbClr val="5AA6C0"/>
      </a:accent4>
      <a:accent5>
        <a:srgbClr val="D17DF9"/>
      </a:accent5>
      <a:accent6>
        <a:srgbClr val="FA7E5C"/>
      </a:accent6>
      <a:hlink>
        <a:srgbClr val="FFAE3E"/>
      </a:hlink>
      <a:folHlink>
        <a:srgbClr val="FCC77E"/>
      </a:folHlink>
    </a:clrScheme>
    <a:fontScheme name="柏林">
      <a:majorFont>
        <a:latin typeface="Trebuchet MS"/>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rebuchet MS"/>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柏林">
      <a:fillStyleLst>
        <a:solidFill>
          <a:schemeClr val="phClr"/>
        </a:solidFill>
        <a:gradFill rotWithShape="1">
          <a:gsLst>
            <a:gs pos="0">
              <a:schemeClr val="phClr">
                <a:tint val="60000"/>
                <a:satMod val="100000"/>
                <a:lumMod val="110000"/>
              </a:schemeClr>
            </a:gs>
            <a:gs pos="100000">
              <a:schemeClr val="phClr">
                <a:tint val="70000"/>
                <a:satMod val="100000"/>
                <a:lumMod val="100000"/>
              </a:schemeClr>
            </a:gs>
          </a:gsLst>
          <a:lin ang="5400000" scaled="0"/>
        </a:gradFill>
        <a:gradFill rotWithShape="1">
          <a:gsLst>
            <a:gs pos="0">
              <a:schemeClr val="phClr">
                <a:tint val="94000"/>
                <a:satMod val="103000"/>
                <a:lumMod val="102000"/>
              </a:schemeClr>
            </a:gs>
            <a:gs pos="50000">
              <a:schemeClr val="phClr">
                <a:shade val="100000"/>
                <a:satMod val="110000"/>
                <a:lumMod val="100000"/>
              </a:schemeClr>
            </a:gs>
            <a:gs pos="100000">
              <a:schemeClr val="phClr">
                <a:shade val="78000"/>
                <a:satMod val="120000"/>
                <a:lumMod val="99000"/>
              </a:schemeClr>
            </a:gs>
          </a:gsLst>
          <a:lin ang="5400000" scaled="0"/>
        </a:gradFill>
      </a:fillStyleLst>
      <a:lnStyleLst>
        <a:ln w="9525" cap="flat" cmpd="sng" algn="ctr">
          <a:solidFill>
            <a:schemeClr val="phClr"/>
          </a:solidFill>
          <a:prstDash val="solid"/>
        </a:ln>
        <a:ln w="12700" cap="flat" cmpd="sng" algn="ctr">
          <a:solidFill>
            <a:schemeClr val="phClr"/>
          </a:solidFill>
          <a:prstDash val="solid"/>
        </a:ln>
        <a:ln w="19050" cap="flat" cmpd="sng" algn="ctr">
          <a:solidFill>
            <a:schemeClr val="phClr"/>
          </a:solidFill>
          <a:prstDash val="solid"/>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6000"/>
                <a:shade val="100000"/>
                <a:hueMod val="270000"/>
                <a:satMod val="200000"/>
                <a:lumMod val="128000"/>
              </a:schemeClr>
            </a:gs>
            <a:gs pos="50000">
              <a:schemeClr val="phClr">
                <a:shade val="100000"/>
                <a:hueMod val="100000"/>
                <a:satMod val="110000"/>
                <a:lumMod val="130000"/>
              </a:schemeClr>
            </a:gs>
            <a:gs pos="100000">
              <a:schemeClr val="phClr">
                <a:shade val="78000"/>
                <a:hueMod val="44000"/>
                <a:satMod val="200000"/>
                <a:lumMod val="69000"/>
              </a:schemeClr>
            </a:gs>
          </a:gsLst>
          <a:lin ang="252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Hewlett-Packard Company</Company>
  <Pages>6</Pages>
  <Words>2219</Words>
  <Characters>2645</Characters>
  <Lines>32</Lines>
  <Paragraphs>9</Paragraphs>
  <TotalTime>5</TotalTime>
  <ScaleCrop>false</ScaleCrop>
  <LinksUpToDate>false</LinksUpToDate>
  <CharactersWithSpaces>2766</CharactersWithSpaces>
  <Application>WPS Office_12.1.0.21171_F1E327BC-269C-435d-A152-05C5408002CA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2024-09-16T09:38:00Z</dcterms:created>
  <dc:creator>。</dc:creator>
  <cp:lastModifiedBy>Zwx</cp:lastModifiedBy>
  <cp:lastPrinted>2017-05-23T12:03:00Z</cp:lastPrinted>
  <dcterms:modified xsi:type="dcterms:W3CDTF">2025-06-24T08:21:31Z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2052-12.1.0.21171</vt:lpwstr>
  </property>
  <property fmtid="{D5CDD505-2E9C-101B-9397-08002B2CF9AE}" pid="3" name="ICV">
    <vt:lpwstr>8694090288894345A1A951422F1443C9</vt:lpwstr>
  </property>
  <property fmtid="{D5CDD505-2E9C-101B-9397-08002B2CF9AE}" pid="4" name="KSOTemplateDocerSaveRecord">
    <vt:lpwstr>eyJoZGlkIjoiYzE2ODgwMWRiZTk0NDVjMjJlNGNmNWM1OTJhMGZlMzUiLCJ1c2VySWQiOiI4NTgxNTQ1OTEifQ==</vt:lpwstr>
  </property>
</Properties>
</file>